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A56F7" w14:textId="77777777" w:rsidR="00FD48C7" w:rsidRPr="00CA27E3" w:rsidRDefault="00BB04FF" w:rsidP="00CA27E3">
      <w:pPr>
        <w:pStyle w:val="BodyText1"/>
        <w:shd w:val="clear" w:color="auto" w:fill="auto"/>
        <w:spacing w:after="160"/>
        <w:ind w:left="5103" w:firstLine="0"/>
        <w:jc w:val="center"/>
        <w:rPr>
          <w:rFonts w:ascii="Sylfaen" w:hAnsi="Sylfaen" w:cs="Sylfaen"/>
          <w:sz w:val="24"/>
          <w:szCs w:val="24"/>
        </w:rPr>
      </w:pPr>
      <w:r w:rsidRPr="00CA27E3">
        <w:rPr>
          <w:rFonts w:ascii="Sylfaen" w:hAnsi="Sylfaen"/>
          <w:sz w:val="24"/>
          <w:szCs w:val="24"/>
        </w:rPr>
        <w:t>ԸՆԴՈՒՆՎԱԾ Է</w:t>
      </w:r>
    </w:p>
    <w:p w14:paraId="2327137B" w14:textId="77777777" w:rsidR="00FD48C7" w:rsidRPr="00CA27E3" w:rsidRDefault="00BB04FF" w:rsidP="00D619EB">
      <w:pPr>
        <w:pStyle w:val="BodyText1"/>
        <w:shd w:val="clear" w:color="auto" w:fill="auto"/>
        <w:tabs>
          <w:tab w:val="left" w:pos="5954"/>
          <w:tab w:val="left" w:pos="6379"/>
          <w:tab w:val="left" w:pos="7513"/>
        </w:tabs>
        <w:spacing w:after="160"/>
        <w:ind w:left="5103" w:firstLine="0"/>
        <w:jc w:val="center"/>
        <w:rPr>
          <w:rFonts w:ascii="Sylfaen" w:hAnsi="Sylfaen" w:cs="Sylfaen"/>
          <w:sz w:val="24"/>
          <w:szCs w:val="24"/>
        </w:rPr>
      </w:pPr>
      <w:r w:rsidRPr="00CA27E3">
        <w:rPr>
          <w:rFonts w:ascii="Sylfaen" w:hAnsi="Sylfaen"/>
          <w:sz w:val="24"/>
          <w:szCs w:val="24"/>
        </w:rPr>
        <w:t>Եվրասիական տնտեսական հանձնաժողովի խորհրդի</w:t>
      </w:r>
      <w:r w:rsidR="00D619EB">
        <w:rPr>
          <w:rFonts w:ascii="Sylfaen" w:hAnsi="Sylfaen"/>
          <w:sz w:val="24"/>
          <w:szCs w:val="24"/>
        </w:rPr>
        <w:t xml:space="preserve"> </w:t>
      </w:r>
      <w:r w:rsidR="00D619EB">
        <w:rPr>
          <w:rFonts w:ascii="Sylfaen" w:hAnsi="Sylfaen"/>
          <w:sz w:val="24"/>
          <w:szCs w:val="24"/>
        </w:rPr>
        <w:br/>
      </w:r>
      <w:r w:rsidRPr="00CA27E3">
        <w:rPr>
          <w:rFonts w:ascii="Sylfaen" w:hAnsi="Sylfaen"/>
          <w:sz w:val="24"/>
          <w:szCs w:val="24"/>
        </w:rPr>
        <w:t>20</w:t>
      </w:r>
      <w:r w:rsidR="00D619EB">
        <w:rPr>
          <w:rFonts w:ascii="Sylfaen" w:hAnsi="Sylfaen"/>
          <w:sz w:val="24"/>
          <w:szCs w:val="24"/>
        </w:rPr>
        <w:tab/>
      </w:r>
      <w:r w:rsidRPr="00CA27E3">
        <w:rPr>
          <w:rFonts w:ascii="Sylfaen" w:hAnsi="Sylfaen"/>
          <w:sz w:val="24"/>
          <w:szCs w:val="24"/>
        </w:rPr>
        <w:t>թվականի</w:t>
      </w:r>
      <w:r w:rsidR="00D619EB">
        <w:rPr>
          <w:rFonts w:ascii="Sylfaen" w:hAnsi="Sylfaen"/>
          <w:sz w:val="24"/>
          <w:szCs w:val="24"/>
        </w:rPr>
        <w:tab/>
      </w:r>
      <w:r w:rsidRPr="00CA27E3">
        <w:rPr>
          <w:rFonts w:ascii="Sylfaen" w:hAnsi="Sylfaen"/>
          <w:sz w:val="24"/>
          <w:szCs w:val="24"/>
        </w:rPr>
        <w:t xml:space="preserve">ի </w:t>
      </w:r>
      <w:r w:rsidR="00D619EB">
        <w:rPr>
          <w:rFonts w:ascii="Sylfaen" w:hAnsi="Sylfaen"/>
          <w:sz w:val="24"/>
          <w:szCs w:val="24"/>
        </w:rPr>
        <w:br/>
      </w:r>
      <w:r w:rsidRPr="00CA27E3">
        <w:rPr>
          <w:rFonts w:ascii="Sylfaen" w:hAnsi="Sylfaen"/>
          <w:sz w:val="24"/>
          <w:szCs w:val="24"/>
        </w:rPr>
        <w:t>թիվ</w:t>
      </w:r>
      <w:r w:rsidR="00CA27E3">
        <w:rPr>
          <w:rFonts w:ascii="Sylfaen" w:hAnsi="Sylfaen"/>
          <w:sz w:val="24"/>
          <w:szCs w:val="24"/>
        </w:rPr>
        <w:t xml:space="preserve"> </w:t>
      </w:r>
      <w:r w:rsidR="00D619EB">
        <w:rPr>
          <w:rFonts w:ascii="Sylfaen" w:hAnsi="Sylfaen"/>
          <w:sz w:val="24"/>
          <w:szCs w:val="24"/>
        </w:rPr>
        <w:tab/>
      </w:r>
      <w:r w:rsidRPr="00CA27E3">
        <w:rPr>
          <w:rFonts w:ascii="Sylfaen" w:hAnsi="Sylfaen"/>
          <w:sz w:val="24"/>
          <w:szCs w:val="24"/>
        </w:rPr>
        <w:t>որոշմամբ</w:t>
      </w:r>
    </w:p>
    <w:p w14:paraId="2D230FAE" w14:textId="77777777" w:rsidR="004657BA" w:rsidRPr="00CA27E3" w:rsidRDefault="004657BA" w:rsidP="00D619EB">
      <w:pPr>
        <w:pStyle w:val="BodyText1"/>
        <w:shd w:val="clear" w:color="auto" w:fill="auto"/>
        <w:spacing w:after="160"/>
        <w:ind w:firstLine="0"/>
        <w:jc w:val="center"/>
        <w:rPr>
          <w:rFonts w:ascii="Sylfaen" w:hAnsi="Sylfaen" w:cs="Sylfaen"/>
          <w:sz w:val="24"/>
          <w:szCs w:val="24"/>
        </w:rPr>
      </w:pPr>
    </w:p>
    <w:p w14:paraId="351D5051" w14:textId="77777777" w:rsidR="004657BA" w:rsidRPr="00CA27E3" w:rsidRDefault="00BB04FF" w:rsidP="00BF7FB9">
      <w:pPr>
        <w:pStyle w:val="BodyText1"/>
        <w:shd w:val="clear" w:color="auto" w:fill="auto"/>
        <w:spacing w:after="160"/>
        <w:ind w:left="567" w:right="566" w:firstLine="0"/>
        <w:jc w:val="center"/>
        <w:rPr>
          <w:rFonts w:ascii="Sylfaen" w:hAnsi="Sylfaen" w:cs="Sylfaen"/>
          <w:b/>
          <w:bCs/>
          <w:sz w:val="24"/>
          <w:szCs w:val="24"/>
        </w:rPr>
      </w:pPr>
      <w:r w:rsidRPr="00CA27E3">
        <w:rPr>
          <w:rFonts w:ascii="Sylfaen" w:hAnsi="Sylfaen"/>
          <w:b/>
          <w:sz w:val="24"/>
          <w:szCs w:val="24"/>
        </w:rPr>
        <w:t>ՏԵԽՆԻԿԱԿԱՆ ԿԱՆՈՆԱԿԱՐԳ</w:t>
      </w:r>
    </w:p>
    <w:p w14:paraId="409EFF8E" w14:textId="77777777" w:rsidR="00FD48C7" w:rsidRPr="00BF7FB9" w:rsidRDefault="00BB04FF" w:rsidP="00BF7FB9">
      <w:pPr>
        <w:pStyle w:val="BodyText1"/>
        <w:shd w:val="clear" w:color="auto" w:fill="auto"/>
        <w:spacing w:after="160"/>
        <w:ind w:left="567" w:right="566" w:firstLine="0"/>
        <w:jc w:val="center"/>
        <w:rPr>
          <w:rFonts w:ascii="Sylfaen" w:hAnsi="Sylfaen" w:cs="Sylfaen"/>
          <w:b/>
          <w:sz w:val="24"/>
          <w:szCs w:val="24"/>
        </w:rPr>
      </w:pPr>
      <w:r w:rsidRPr="00CA27E3">
        <w:rPr>
          <w:rFonts w:ascii="Sylfaen" w:hAnsi="Sylfaen"/>
          <w:b/>
          <w:sz w:val="24"/>
          <w:szCs w:val="24"/>
        </w:rPr>
        <w:t xml:space="preserve">Եվրասիական տնտեսական միության «Էներգասպառող սարքվածքների էներգետիկ արդյունավետությանը ներկայացվող պահանջների մասին» </w:t>
      </w:r>
      <w:bookmarkStart w:id="0" w:name="bookmark7"/>
      <w:bookmarkStart w:id="1" w:name="bookmark8"/>
      <w:r w:rsidRPr="00BF7FB9">
        <w:rPr>
          <w:rFonts w:ascii="Sylfaen" w:hAnsi="Sylfaen"/>
          <w:b/>
          <w:sz w:val="24"/>
          <w:szCs w:val="24"/>
        </w:rPr>
        <w:t>(ԵԱՏՄ ՏԿ</w:t>
      </w:r>
      <w:r w:rsidR="00D619EB" w:rsidRPr="00BF7FB9">
        <w:rPr>
          <w:rFonts w:ascii="Sylfaen" w:hAnsi="Sylfaen"/>
          <w:b/>
          <w:sz w:val="24"/>
          <w:szCs w:val="24"/>
        </w:rPr>
        <w:tab/>
      </w:r>
      <w:r w:rsidRPr="00BF7FB9">
        <w:rPr>
          <w:rFonts w:ascii="Sylfaen" w:hAnsi="Sylfaen"/>
          <w:b/>
          <w:sz w:val="24"/>
          <w:szCs w:val="24"/>
        </w:rPr>
        <w:t>/20</w:t>
      </w:r>
      <w:r w:rsidR="00D619EB" w:rsidRPr="00BF7FB9">
        <w:rPr>
          <w:rFonts w:ascii="Sylfaen" w:hAnsi="Sylfaen"/>
          <w:b/>
          <w:sz w:val="24"/>
          <w:szCs w:val="24"/>
        </w:rPr>
        <w:tab/>
      </w:r>
      <w:r w:rsidRPr="00BF7FB9">
        <w:rPr>
          <w:rFonts w:ascii="Sylfaen" w:hAnsi="Sylfaen"/>
          <w:b/>
          <w:sz w:val="24"/>
          <w:szCs w:val="24"/>
        </w:rPr>
        <w:t>)</w:t>
      </w:r>
      <w:bookmarkEnd w:id="0"/>
      <w:bookmarkEnd w:id="1"/>
    </w:p>
    <w:p w14:paraId="2EBEB30B" w14:textId="77777777" w:rsidR="004657BA" w:rsidRPr="00CA27E3" w:rsidRDefault="004657BA" w:rsidP="00CA27E3">
      <w:pPr>
        <w:pStyle w:val="Heading20"/>
        <w:shd w:val="clear" w:color="auto" w:fill="auto"/>
        <w:spacing w:after="160" w:line="360" w:lineRule="auto"/>
        <w:ind w:left="1134" w:right="1135"/>
        <w:outlineLvl w:val="9"/>
        <w:rPr>
          <w:rFonts w:ascii="Sylfaen" w:hAnsi="Sylfaen" w:cs="Sylfaen"/>
          <w:sz w:val="24"/>
          <w:szCs w:val="24"/>
        </w:rPr>
      </w:pPr>
    </w:p>
    <w:p w14:paraId="64E77945" w14:textId="77777777" w:rsidR="00FD48C7" w:rsidRPr="00CA27E3" w:rsidRDefault="004657BA"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I Կիրառության ոլորտը</w:t>
      </w:r>
    </w:p>
    <w:p w14:paraId="1F2448D3"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D619EB">
        <w:rPr>
          <w:rFonts w:ascii="Sylfaen" w:hAnsi="Sylfaen"/>
          <w:sz w:val="24"/>
          <w:szCs w:val="24"/>
        </w:rPr>
        <w:tab/>
      </w:r>
      <w:r w:rsidRPr="00CA27E3">
        <w:rPr>
          <w:rFonts w:ascii="Sylfaen" w:hAnsi="Sylfaen"/>
          <w:sz w:val="24"/>
          <w:szCs w:val="24"/>
        </w:rPr>
        <w:t>Սույն տեխնիկական կանոնակարգը մշակվել է Եվրասիական տնտեսական միության (այսուհետ՝ Միություն) շրջանակներում էներգետիկ արդյունավետության եւ ռեսուրսախնայողության ապահովման նպատակով, ինչպես նաեւ էներգասպառող սարքվածքների էներգետիկ արդյունավետության առնչությամբ սպառողներին մոլորության մեջ գցող գործողություններ</w:t>
      </w:r>
      <w:r w:rsidR="004E151F" w:rsidRPr="00CA27E3">
        <w:rPr>
          <w:rFonts w:ascii="Sylfaen" w:hAnsi="Sylfaen"/>
          <w:sz w:val="24"/>
          <w:szCs w:val="24"/>
        </w:rPr>
        <w:t>ը</w:t>
      </w:r>
      <w:r w:rsidRPr="00CA27E3">
        <w:rPr>
          <w:rFonts w:ascii="Sylfaen" w:hAnsi="Sylfaen"/>
          <w:sz w:val="24"/>
          <w:szCs w:val="24"/>
        </w:rPr>
        <w:t xml:space="preserve"> կանխարգել</w:t>
      </w:r>
      <w:r w:rsidR="00DA6FDE" w:rsidRPr="00CA27E3">
        <w:rPr>
          <w:rFonts w:ascii="Sylfaen" w:hAnsi="Sylfaen"/>
          <w:sz w:val="24"/>
          <w:szCs w:val="24"/>
        </w:rPr>
        <w:t>ելու</w:t>
      </w:r>
      <w:r w:rsidRPr="00CA27E3">
        <w:rPr>
          <w:rFonts w:ascii="Sylfaen" w:hAnsi="Sylfaen"/>
          <w:sz w:val="24"/>
          <w:szCs w:val="24"/>
        </w:rPr>
        <w:t xml:space="preserve"> նպատակով։</w:t>
      </w:r>
    </w:p>
    <w:p w14:paraId="4E0A8AB0"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D619EB">
        <w:rPr>
          <w:rFonts w:ascii="Sylfaen" w:hAnsi="Sylfaen"/>
          <w:sz w:val="24"/>
          <w:szCs w:val="24"/>
        </w:rPr>
        <w:tab/>
      </w:r>
      <w:r w:rsidRPr="00CA27E3">
        <w:rPr>
          <w:rFonts w:ascii="Sylfaen" w:hAnsi="Sylfaen"/>
          <w:sz w:val="24"/>
          <w:szCs w:val="24"/>
        </w:rPr>
        <w:t>Սույն տեխնիկական կանոնակարգը տարածվում է Միության մաքսային տարածքում շրջանառության մեջ դրվող էներգասպառող սարքվածքների վրա</w:t>
      </w:r>
      <w:r w:rsidR="00BE6AC0" w:rsidRPr="00CA27E3">
        <w:rPr>
          <w:rFonts w:ascii="Sylfaen" w:hAnsi="Sylfaen"/>
          <w:sz w:val="24"/>
          <w:szCs w:val="24"/>
        </w:rPr>
        <w:t>՝ ըստ թիվ 1 հավելվածով սահմանված ցանկի</w:t>
      </w:r>
      <w:r w:rsidR="00CD2519" w:rsidRPr="00CA27E3">
        <w:rPr>
          <w:rFonts w:ascii="Sylfaen" w:hAnsi="Sylfaen"/>
          <w:sz w:val="24"/>
          <w:szCs w:val="24"/>
        </w:rPr>
        <w:t xml:space="preserve"> (այսուհետ՝ սարքվածքներ)</w:t>
      </w:r>
      <w:r w:rsidRPr="00CA27E3">
        <w:rPr>
          <w:rFonts w:ascii="Sylfaen" w:hAnsi="Sylfaen"/>
          <w:sz w:val="24"/>
          <w:szCs w:val="24"/>
        </w:rPr>
        <w:t>։</w:t>
      </w:r>
    </w:p>
    <w:p w14:paraId="05775915" w14:textId="77777777" w:rsidR="00D619EB" w:rsidRDefault="00060D28" w:rsidP="00D619EB">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3.</w:t>
      </w:r>
      <w:r w:rsidR="00D619EB">
        <w:rPr>
          <w:rFonts w:ascii="Sylfaen" w:hAnsi="Sylfaen"/>
          <w:sz w:val="24"/>
          <w:szCs w:val="24"/>
        </w:rPr>
        <w:tab/>
      </w:r>
      <w:r w:rsidRPr="00CA27E3">
        <w:rPr>
          <w:rFonts w:ascii="Sylfaen" w:hAnsi="Sylfaen"/>
          <w:sz w:val="24"/>
          <w:szCs w:val="24"/>
        </w:rPr>
        <w:t>Սույն տեխնիկական կանոնոնակարգով սահմանվում են Միության մաքսային տարածքում կիրառման ու կատարման համար պարտադիր՝ սարքվածքներին ներկայացվող պահանջները՝ դրանց էներգետիկ արդյունավետության եւ մակնշման մասով։</w:t>
      </w:r>
    </w:p>
    <w:p w14:paraId="4EA1379F" w14:textId="77777777" w:rsidR="00D619EB" w:rsidRDefault="00D619EB">
      <w:pPr>
        <w:rPr>
          <w:rFonts w:ascii="Sylfaen" w:eastAsia="Times New Roman" w:hAnsi="Sylfaen" w:cs="Times New Roman"/>
        </w:rPr>
      </w:pPr>
      <w:r>
        <w:rPr>
          <w:rFonts w:ascii="Sylfaen" w:hAnsi="Sylfaen"/>
        </w:rPr>
        <w:br w:type="page"/>
      </w:r>
    </w:p>
    <w:p w14:paraId="19DFA30F"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4.</w:t>
      </w:r>
      <w:r w:rsidR="00D619EB">
        <w:rPr>
          <w:rFonts w:ascii="Sylfaen" w:hAnsi="Sylfaen"/>
          <w:sz w:val="24"/>
          <w:szCs w:val="24"/>
        </w:rPr>
        <w:tab/>
      </w:r>
      <w:r w:rsidRPr="00CA27E3">
        <w:rPr>
          <w:rFonts w:ascii="Sylfaen" w:hAnsi="Sylfaen"/>
          <w:sz w:val="24"/>
          <w:szCs w:val="24"/>
        </w:rPr>
        <w:t>Եթե սարքվածքների մասով ընդունվել են Միության (Մաքսային միության) այլ տեխնիկական կանոնակարգեր, որոնցով սահմանվում են դրանց ներկայացվող պահանջները, ապա սարքվածքները պետք է համապատասխանեն Միության (Մաքսային միության) բոլոր այն տեխնիկական կանոնակարգերի</w:t>
      </w:r>
      <w:r w:rsidR="00CA27E3">
        <w:rPr>
          <w:rFonts w:ascii="Sylfaen" w:hAnsi="Sylfaen"/>
          <w:sz w:val="24"/>
          <w:szCs w:val="24"/>
        </w:rPr>
        <w:t xml:space="preserve"> </w:t>
      </w:r>
      <w:r w:rsidRPr="00CA27E3">
        <w:rPr>
          <w:rFonts w:ascii="Sylfaen" w:hAnsi="Sylfaen"/>
          <w:sz w:val="24"/>
          <w:szCs w:val="24"/>
        </w:rPr>
        <w:t>պահանջներին, որոնց գործողությունը տարածվում է դրանց վրա։</w:t>
      </w:r>
    </w:p>
    <w:p w14:paraId="337F3730"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327503E1" w14:textId="77777777" w:rsidR="00FD48C7" w:rsidRPr="00CA27E3" w:rsidRDefault="00060D28"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4E22A79A"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D619EB">
        <w:rPr>
          <w:rFonts w:ascii="Sylfaen" w:hAnsi="Sylfaen"/>
          <w:sz w:val="24"/>
          <w:szCs w:val="24"/>
        </w:rPr>
        <w:tab/>
      </w:r>
      <w:r w:rsidRPr="00CA27E3">
        <w:rPr>
          <w:rFonts w:ascii="Sylfaen" w:hAnsi="Sylfaen"/>
          <w:sz w:val="24"/>
          <w:szCs w:val="24"/>
        </w:rPr>
        <w:t>Սույն տեխնիկական կանոնակարգի կիրառման նպատակներով օգտագործվում են հասկացություններ, որոնք ունեն հետ</w:t>
      </w:r>
      <w:r w:rsidR="00CA27E3">
        <w:rPr>
          <w:rFonts w:ascii="Sylfaen" w:hAnsi="Sylfaen"/>
          <w:sz w:val="24"/>
          <w:szCs w:val="24"/>
        </w:rPr>
        <w:t>եւ</w:t>
      </w:r>
      <w:r w:rsidRPr="00CA27E3">
        <w:rPr>
          <w:rFonts w:ascii="Sylfaen" w:hAnsi="Sylfaen"/>
          <w:sz w:val="24"/>
          <w:szCs w:val="24"/>
        </w:rPr>
        <w:t>յալ իմաստը՝</w:t>
      </w:r>
    </w:p>
    <w:p w14:paraId="2284A91F"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անվանական արժեք՝</w:t>
      </w:r>
      <w:r w:rsidRPr="00CA27E3">
        <w:rPr>
          <w:rFonts w:ascii="Sylfaen" w:hAnsi="Sylfaen"/>
          <w:sz w:val="24"/>
          <w:szCs w:val="24"/>
        </w:rPr>
        <w:t xml:space="preserve"> սարքվածքն արտադրողի կողմից սարքվածքի շահագործման փաստաթղթերում նշված արժեքը (օրինակ՝ ծավալը, սնուցման լարումը եւ այլն).</w:t>
      </w:r>
    </w:p>
    <w:p w14:paraId="5658CC7F"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սարքվածքների խմբաքանակ՝</w:t>
      </w:r>
      <w:r w:rsidRPr="00CA27E3">
        <w:rPr>
          <w:rFonts w:ascii="Sylfaen" w:hAnsi="Sylfaen"/>
          <w:sz w:val="24"/>
          <w:szCs w:val="24"/>
        </w:rPr>
        <w:t xml:space="preserve"> միեւնույն անվանումով եւ (կամ) նշագրով սարքվածքների ամբողջություն, որոնք արտադրվել են որոշակի ժամանակահատվածում՝ միեւնույն արտադրական պայմաններում եւ ուղեկցվում են մեկ ապրանքաուղեկից փաստաթղթով.</w:t>
      </w:r>
    </w:p>
    <w:p w14:paraId="27AA13D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էներգետիկ արդյունավետության ցուցանիշ՝</w:t>
      </w:r>
      <w:r w:rsidRPr="00CA27E3">
        <w:rPr>
          <w:rFonts w:ascii="Sylfaen" w:hAnsi="Sylfaen"/>
          <w:sz w:val="24"/>
          <w:szCs w:val="24"/>
        </w:rPr>
        <w:t xml:space="preserve"> սարքվածքի էներգետիկ ռեսուրսների սպառման կամ կոր</w:t>
      </w:r>
      <w:r w:rsidR="005170ED" w:rsidRPr="00CA27E3">
        <w:rPr>
          <w:rFonts w:ascii="Sylfaen" w:hAnsi="Sylfaen"/>
          <w:sz w:val="24"/>
          <w:szCs w:val="24"/>
        </w:rPr>
        <w:t>ու</w:t>
      </w:r>
      <w:r w:rsidRPr="00CA27E3">
        <w:rPr>
          <w:rFonts w:ascii="Sylfaen" w:hAnsi="Sylfaen"/>
          <w:sz w:val="24"/>
          <w:szCs w:val="24"/>
        </w:rPr>
        <w:t>ստ</w:t>
      </w:r>
      <w:r w:rsidR="005170ED" w:rsidRPr="00CA27E3">
        <w:rPr>
          <w:rFonts w:ascii="Sylfaen" w:hAnsi="Sylfaen"/>
          <w:sz w:val="24"/>
          <w:szCs w:val="24"/>
        </w:rPr>
        <w:t>ներ</w:t>
      </w:r>
      <w:r w:rsidRPr="00CA27E3">
        <w:rPr>
          <w:rFonts w:ascii="Sylfaen" w:hAnsi="Sylfaen"/>
          <w:sz w:val="24"/>
          <w:szCs w:val="24"/>
        </w:rPr>
        <w:t>ի բացարձակ, տեսակարար կամ հարաբերական մեծությունը</w:t>
      </w:r>
      <w:r w:rsidR="00AE7E95" w:rsidRPr="00CA27E3">
        <w:rPr>
          <w:rFonts w:ascii="Sylfaen" w:hAnsi="Sylfaen"/>
          <w:sz w:val="24"/>
          <w:szCs w:val="24"/>
        </w:rPr>
        <w:t>.</w:t>
      </w:r>
    </w:p>
    <w:p w14:paraId="42C88BB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 xml:space="preserve">սարքվածքի կիրառում </w:t>
      </w:r>
      <w:r w:rsidR="00D619EB" w:rsidRPr="00D619EB">
        <w:rPr>
          <w:rFonts w:ascii="Sylfaen" w:hAnsi="Sylfaen"/>
          <w:b/>
          <w:sz w:val="24"/>
          <w:szCs w:val="24"/>
        </w:rPr>
        <w:t>ըստ նշանակության</w:t>
      </w:r>
      <w:r w:rsidRPr="00D619EB">
        <w:rPr>
          <w:rFonts w:ascii="Sylfaen" w:hAnsi="Sylfaen"/>
          <w:b/>
          <w:sz w:val="24"/>
          <w:szCs w:val="24"/>
        </w:rPr>
        <w:t>՝</w:t>
      </w:r>
      <w:r w:rsidRPr="00CA27E3">
        <w:rPr>
          <w:rFonts w:ascii="Sylfaen" w:hAnsi="Sylfaen"/>
          <w:sz w:val="24"/>
          <w:szCs w:val="24"/>
        </w:rPr>
        <w:t xml:space="preserve"> սարքվածքի օգտագործում՝ սարքվածքն արտադրողի կողմից այդ սարքվածքի վրա </w:t>
      </w:r>
      <w:r w:rsidR="00CA27E3">
        <w:rPr>
          <w:rFonts w:ascii="Sylfaen" w:hAnsi="Sylfaen"/>
          <w:sz w:val="24"/>
          <w:szCs w:val="24"/>
        </w:rPr>
        <w:t>եւ</w:t>
      </w:r>
      <w:r w:rsidRPr="00CA27E3">
        <w:rPr>
          <w:rFonts w:ascii="Sylfaen" w:hAnsi="Sylfaen"/>
          <w:sz w:val="24"/>
          <w:szCs w:val="24"/>
        </w:rPr>
        <w:t xml:space="preserve"> (կամ) շահագործման փաստաթղթերում նշված նշանակությանը համապատասխան.</w:t>
      </w:r>
    </w:p>
    <w:p w14:paraId="22A5503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վաճառող՝</w:t>
      </w:r>
      <w:r w:rsidRPr="00CA27E3">
        <w:rPr>
          <w:rFonts w:ascii="Sylfaen" w:hAnsi="Sylfaen"/>
          <w:sz w:val="24"/>
          <w:szCs w:val="24"/>
        </w:rPr>
        <w:t xml:space="preserve"> իրավաբանական անձ (անկախ կազմակերպաիրավական ձեւից) կամ որպես անհատ ձեռնարկատեր գրանցված ֆիզիկական անձ, որն իրացնում է սարքվածքներն ըստ առքուվաճառքի պայմանագրի.</w:t>
      </w:r>
    </w:p>
    <w:p w14:paraId="3B03FCB1"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տեխնիկական թերթ՝</w:t>
      </w:r>
      <w:r w:rsidRPr="00CA27E3">
        <w:rPr>
          <w:rFonts w:ascii="Sylfaen" w:hAnsi="Sylfaen"/>
          <w:sz w:val="24"/>
          <w:szCs w:val="24"/>
        </w:rPr>
        <w:t xml:space="preserve"> փաստաթուղթ, որը պարունակում է տեղեկատվություն սարքվածքի այն գործառութային հնարավորությունների ու </w:t>
      </w:r>
      <w:r w:rsidRPr="00CA27E3">
        <w:rPr>
          <w:rFonts w:ascii="Sylfaen" w:hAnsi="Sylfaen"/>
          <w:sz w:val="24"/>
          <w:szCs w:val="24"/>
        </w:rPr>
        <w:lastRenderedPageBreak/>
        <w:t>առանձնահատկությունների մասին, որոնք անհրաժեշտ են սարքվածքի էներգետիկ արդյունավետության դասը որոշելիս, ինչպես նաեւ այդ սարքվածքի պիտակի վրա նշված տեղեկատվությունը.</w:t>
      </w:r>
      <w:r w:rsidR="00CA27E3">
        <w:rPr>
          <w:rFonts w:ascii="Sylfaen" w:hAnsi="Sylfaen"/>
          <w:sz w:val="24"/>
          <w:szCs w:val="24"/>
        </w:rPr>
        <w:t xml:space="preserve"> </w:t>
      </w:r>
    </w:p>
    <w:p w14:paraId="2301E58C"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վառելիքաէներգետիկ ռեսուրսներ՝</w:t>
      </w:r>
      <w:r w:rsidRPr="00CA27E3">
        <w:rPr>
          <w:rFonts w:ascii="Sylfaen" w:hAnsi="Sylfaen"/>
          <w:sz w:val="24"/>
          <w:szCs w:val="24"/>
        </w:rPr>
        <w:t xml:space="preserve"> բնական եւ արտադրական էներգակիրների ամբողջություն, որոնց կուտակած էներգիան տեխնիկայի ու տեխնոլոգիայի զարգացման առկա մակարդակի դեպքում հասանելի է տնտեսական գործունեության մեջ օգտագործելու համար.</w:t>
      </w:r>
    </w:p>
    <w:p w14:paraId="1ACFFE2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D619EB">
        <w:rPr>
          <w:rFonts w:ascii="Sylfaen" w:hAnsi="Sylfaen"/>
          <w:b/>
          <w:sz w:val="24"/>
          <w:szCs w:val="24"/>
        </w:rPr>
        <w:t>պիտակ՝</w:t>
      </w:r>
      <w:r w:rsidRPr="00CA27E3">
        <w:rPr>
          <w:rFonts w:ascii="Sylfaen" w:hAnsi="Sylfaen"/>
          <w:sz w:val="24"/>
          <w:szCs w:val="24"/>
        </w:rPr>
        <w:t xml:space="preserve"> փաստաթուղթ, որը պարունակում է արտադրողի կողմից երաշխավորված տեղեկություններ սարքվածքի էներգետիկ արդյունավետության դասի, հիմնական ցուցանիշների եւ սպառողական բնութագրերի մասին։</w:t>
      </w:r>
    </w:p>
    <w:p w14:paraId="385522C3" w14:textId="77777777" w:rsidR="00FD48C7" w:rsidRPr="00CA27E3" w:rsidRDefault="00FD48C7" w:rsidP="00CA27E3">
      <w:pPr>
        <w:spacing w:after="160" w:line="360" w:lineRule="auto"/>
        <w:rPr>
          <w:rFonts w:ascii="Sylfaen" w:hAnsi="Sylfaen" w:cs="Sylfaen"/>
        </w:rPr>
      </w:pPr>
    </w:p>
    <w:p w14:paraId="35236676" w14:textId="77777777" w:rsidR="00FD48C7" w:rsidRPr="00CA27E3" w:rsidRDefault="00060D28"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III. Սարքվածքի նույնականացման կանոնները</w:t>
      </w:r>
    </w:p>
    <w:p w14:paraId="2A1E8B9E"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D619EB">
        <w:rPr>
          <w:rFonts w:ascii="Sylfaen" w:hAnsi="Sylfaen"/>
          <w:sz w:val="24"/>
          <w:szCs w:val="24"/>
        </w:rPr>
        <w:tab/>
      </w:r>
      <w:r w:rsidRPr="00CA27E3">
        <w:rPr>
          <w:rFonts w:ascii="Sylfaen" w:hAnsi="Sylfaen"/>
          <w:sz w:val="24"/>
          <w:szCs w:val="24"/>
        </w:rPr>
        <w:t xml:space="preserve">Սարքվածքը տեխնիկական կանոնակարգման այն օբյեկտներին վերագրելու նպատակով, որոնց </w:t>
      </w:r>
      <w:r w:rsidR="006646CA" w:rsidRPr="00CA27E3">
        <w:rPr>
          <w:rFonts w:ascii="Sylfaen" w:hAnsi="Sylfaen"/>
          <w:sz w:val="24"/>
          <w:szCs w:val="24"/>
        </w:rPr>
        <w:t>մասով</w:t>
      </w:r>
      <w:r w:rsidRPr="00CA27E3">
        <w:rPr>
          <w:rFonts w:ascii="Sylfaen" w:hAnsi="Sylfaen"/>
          <w:sz w:val="24"/>
          <w:szCs w:val="24"/>
        </w:rPr>
        <w:t xml:space="preserve"> կիրառվում է սույն տեխնիկական կանոնակարգը, սարքվածքի նույնականացումն իրականացվում է հայտատուի, Միության անդամ պետությունների (այսուհետ՝ անդամ պետություններ) պետական հսկողության (վերահսկողության) մարմինների, անդամ պետությունների՝ մաքսային հսկողություն իրականացնող մարմինների, անդամ պետությունների՝ համապատասխանության գնահատման մարմինների, ինչպես նաեւ շահագրգիռ անձանց կողմից՝ թիվ 2-19 հավելվածների համաձայն պահանջներով սահմանված</w:t>
      </w:r>
      <w:r w:rsidR="00F500B5" w:rsidRPr="00CA27E3">
        <w:rPr>
          <w:rFonts w:ascii="Sylfaen" w:hAnsi="Sylfaen"/>
          <w:sz w:val="24"/>
          <w:szCs w:val="24"/>
        </w:rPr>
        <w:t xml:space="preserve"> պարամետրերին</w:t>
      </w:r>
      <w:r w:rsidRPr="00CA27E3">
        <w:rPr>
          <w:rFonts w:ascii="Sylfaen" w:hAnsi="Sylfaen"/>
          <w:sz w:val="24"/>
          <w:szCs w:val="24"/>
        </w:rPr>
        <w:t xml:space="preserve"> եւ սարքվածքին </w:t>
      </w:r>
      <w:r w:rsidR="009D445D" w:rsidRPr="00CA27E3">
        <w:rPr>
          <w:rFonts w:ascii="Sylfaen" w:hAnsi="Sylfaen"/>
          <w:sz w:val="24"/>
          <w:szCs w:val="24"/>
        </w:rPr>
        <w:t>կ</w:t>
      </w:r>
      <w:r w:rsidRPr="00CA27E3">
        <w:rPr>
          <w:rFonts w:ascii="Sylfaen" w:hAnsi="Sylfaen"/>
          <w:sz w:val="24"/>
          <w:szCs w:val="24"/>
        </w:rPr>
        <w:t xml:space="preserve">ցվող </w:t>
      </w:r>
      <w:r w:rsidR="00F500B5" w:rsidRPr="00CA27E3">
        <w:rPr>
          <w:rFonts w:ascii="Sylfaen" w:hAnsi="Sylfaen"/>
          <w:sz w:val="24"/>
          <w:szCs w:val="24"/>
        </w:rPr>
        <w:t>ո</w:t>
      </w:r>
      <w:r w:rsidRPr="00CA27E3">
        <w:rPr>
          <w:rFonts w:ascii="Sylfaen" w:hAnsi="Sylfaen"/>
          <w:sz w:val="24"/>
          <w:szCs w:val="24"/>
        </w:rPr>
        <w:t>ւ սպառողի (օգտագործողի) համար նախատեսված շահագործման փաստաթղթերում (այսուհետ՝ շահագործման փաստաթղթեր) նշված պարամետրերին սարքվածքի անվանման եւ բնութագրերի համապատասխանությունը որոշելու միջոցով։</w:t>
      </w:r>
    </w:p>
    <w:p w14:paraId="70DF0290" w14:textId="77777777" w:rsidR="00FD48C7" w:rsidRDefault="00FD48C7" w:rsidP="00CA27E3">
      <w:pPr>
        <w:spacing w:after="160" w:line="360" w:lineRule="auto"/>
        <w:rPr>
          <w:rFonts w:ascii="Sylfaen" w:hAnsi="Sylfaen" w:cs="Sylfaen"/>
        </w:rPr>
      </w:pPr>
    </w:p>
    <w:p w14:paraId="36724A2B" w14:textId="77777777" w:rsidR="00D619EB" w:rsidRDefault="00D619EB">
      <w:pPr>
        <w:rPr>
          <w:rFonts w:ascii="Sylfaen" w:hAnsi="Sylfaen" w:cs="Sylfaen"/>
        </w:rPr>
      </w:pPr>
      <w:r>
        <w:rPr>
          <w:rFonts w:ascii="Sylfaen" w:hAnsi="Sylfaen" w:cs="Sylfaen"/>
        </w:rPr>
        <w:br w:type="page"/>
      </w:r>
    </w:p>
    <w:p w14:paraId="59943733" w14:textId="77777777" w:rsidR="00FD48C7" w:rsidRPr="00CA27E3" w:rsidRDefault="00060D28" w:rsidP="00D619EB">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IV. Միության մաքսային տարածքում </w:t>
      </w:r>
      <w:r w:rsidR="007209C7" w:rsidRPr="00CA27E3">
        <w:rPr>
          <w:rFonts w:ascii="Sylfaen" w:hAnsi="Sylfaen"/>
          <w:sz w:val="24"/>
          <w:szCs w:val="24"/>
        </w:rPr>
        <w:t>սարք</w:t>
      </w:r>
      <w:r w:rsidRPr="00CA27E3">
        <w:rPr>
          <w:rFonts w:ascii="Sylfaen" w:hAnsi="Sylfaen"/>
          <w:sz w:val="24"/>
          <w:szCs w:val="24"/>
        </w:rPr>
        <w:t xml:space="preserve">վածքների </w:t>
      </w:r>
      <w:r w:rsidR="00D619EB">
        <w:rPr>
          <w:rFonts w:ascii="Sylfaen" w:hAnsi="Sylfaen"/>
          <w:sz w:val="24"/>
          <w:szCs w:val="24"/>
        </w:rPr>
        <w:br/>
      </w:r>
      <w:r w:rsidRPr="00CA27E3">
        <w:rPr>
          <w:rFonts w:ascii="Sylfaen" w:hAnsi="Sylfaen"/>
          <w:sz w:val="24"/>
          <w:szCs w:val="24"/>
        </w:rPr>
        <w:t>շրջանառության կանոնները</w:t>
      </w:r>
    </w:p>
    <w:p w14:paraId="261688BB"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D619EB">
        <w:rPr>
          <w:rFonts w:ascii="Sylfaen" w:hAnsi="Sylfaen"/>
          <w:sz w:val="24"/>
          <w:szCs w:val="24"/>
        </w:rPr>
        <w:tab/>
      </w:r>
      <w:r w:rsidRPr="00CA27E3">
        <w:rPr>
          <w:rFonts w:ascii="Sylfaen" w:hAnsi="Sylfaen"/>
          <w:sz w:val="24"/>
          <w:szCs w:val="24"/>
        </w:rPr>
        <w:t>Սարքվածքը Միության մաքսային տարածքում շրջանառության մեջ է դրվում սույն տեխնիկական կանոնակարգի, ինչպես նա</w:t>
      </w:r>
      <w:r w:rsidR="00CA27E3">
        <w:rPr>
          <w:rFonts w:ascii="Sylfaen" w:hAnsi="Sylfaen"/>
          <w:sz w:val="24"/>
          <w:szCs w:val="24"/>
        </w:rPr>
        <w:t>եւ</w:t>
      </w:r>
      <w:r w:rsidRPr="00CA27E3">
        <w:rPr>
          <w:rFonts w:ascii="Sylfaen" w:hAnsi="Sylfaen"/>
          <w:sz w:val="24"/>
          <w:szCs w:val="24"/>
        </w:rPr>
        <w:t xml:space="preserve"> Միության (Մաքսային միության) այն տեխնիկական կանոնակարգերի պահանջներին դրա համապատասխանության դեպքում, որոնց գործողությունը տարածվում է դրա վրա, </w:t>
      </w:r>
      <w:r w:rsidR="00CA27E3">
        <w:rPr>
          <w:rFonts w:ascii="Sylfaen" w:hAnsi="Sylfaen"/>
          <w:sz w:val="24"/>
          <w:szCs w:val="24"/>
        </w:rPr>
        <w:t>եւ</w:t>
      </w:r>
      <w:r w:rsidRPr="00CA27E3">
        <w:rPr>
          <w:rFonts w:ascii="Sylfaen" w:hAnsi="Sylfaen"/>
          <w:sz w:val="24"/>
          <w:szCs w:val="24"/>
        </w:rPr>
        <w:t xml:space="preserve"> պայմանով, որ այն անցել է համապատասխանության գնահատման ընթացակարգը՝ սույն տեխնիկական կանոնակարգի VII բաժնի, ինչպես նա</w:t>
      </w:r>
      <w:r w:rsidR="00CA27E3">
        <w:rPr>
          <w:rFonts w:ascii="Sylfaen" w:hAnsi="Sylfaen"/>
          <w:sz w:val="24"/>
          <w:szCs w:val="24"/>
        </w:rPr>
        <w:t>եւ</w:t>
      </w:r>
      <w:r w:rsidRPr="00CA27E3">
        <w:rPr>
          <w:rFonts w:ascii="Sylfaen" w:hAnsi="Sylfaen"/>
          <w:sz w:val="24"/>
          <w:szCs w:val="24"/>
        </w:rPr>
        <w:t xml:space="preserve"> Միության (Մաքսային միության) </w:t>
      </w:r>
      <w:r w:rsidR="009B70B7" w:rsidRPr="00CA27E3">
        <w:rPr>
          <w:rFonts w:ascii="Sylfaen" w:hAnsi="Sylfaen"/>
          <w:sz w:val="24"/>
          <w:szCs w:val="24"/>
        </w:rPr>
        <w:t>մյուս այն</w:t>
      </w:r>
      <w:r w:rsidRPr="00CA27E3">
        <w:rPr>
          <w:rFonts w:ascii="Sylfaen" w:hAnsi="Sylfaen"/>
          <w:sz w:val="24"/>
          <w:szCs w:val="24"/>
        </w:rPr>
        <w:t xml:space="preserve"> տեխնիկական կանոնակարգերի համաձայն, որոնց գործողությունը տարածվում է դրա վրա։</w:t>
      </w:r>
    </w:p>
    <w:p w14:paraId="4988224F"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8.</w:t>
      </w:r>
      <w:r w:rsidR="00D619EB">
        <w:rPr>
          <w:rFonts w:ascii="Sylfaen" w:hAnsi="Sylfaen"/>
          <w:sz w:val="24"/>
          <w:szCs w:val="24"/>
        </w:rPr>
        <w:tab/>
      </w:r>
      <w:r w:rsidRPr="00CA27E3">
        <w:rPr>
          <w:rFonts w:ascii="Sylfaen" w:hAnsi="Sylfaen"/>
          <w:sz w:val="24"/>
          <w:szCs w:val="24"/>
        </w:rPr>
        <w:t>Չի թույլա</w:t>
      </w:r>
      <w:r w:rsidR="009512C8" w:rsidRPr="00CA27E3">
        <w:rPr>
          <w:rFonts w:ascii="Sylfaen" w:hAnsi="Sylfaen"/>
          <w:sz w:val="24"/>
          <w:szCs w:val="24"/>
        </w:rPr>
        <w:t>տ</w:t>
      </w:r>
      <w:r w:rsidRPr="00CA27E3">
        <w:rPr>
          <w:rFonts w:ascii="Sylfaen" w:hAnsi="Sylfaen"/>
          <w:sz w:val="24"/>
          <w:szCs w:val="24"/>
        </w:rPr>
        <w:t xml:space="preserve">րվում Միության մաքսային տարածքում այն սարքվածքի շրջանառությունը, որը չի համապատասխանում սույն տեխնիկական կանոնակարգի եւ Միության (Մաքսային միության) </w:t>
      </w:r>
      <w:r w:rsidR="00667625" w:rsidRPr="00CA27E3">
        <w:rPr>
          <w:rFonts w:ascii="Sylfaen" w:hAnsi="Sylfaen"/>
          <w:sz w:val="24"/>
          <w:szCs w:val="24"/>
        </w:rPr>
        <w:t>մյուս այն</w:t>
      </w:r>
      <w:r w:rsidRPr="00CA27E3">
        <w:rPr>
          <w:rFonts w:ascii="Sylfaen" w:hAnsi="Sylfaen"/>
          <w:sz w:val="24"/>
          <w:szCs w:val="24"/>
        </w:rPr>
        <w:t xml:space="preserve"> տեխնիկական կանոնակարգերի պահանջներին, որոնց գործողությունը տարածվում է դրա վրա։</w:t>
      </w:r>
    </w:p>
    <w:p w14:paraId="06990945"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38054401" w14:textId="77777777" w:rsidR="00FD48C7" w:rsidRPr="00CA27E3" w:rsidRDefault="00060D28" w:rsidP="00D619EB">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V. Սարքվածքների էներգետիկ արդյունավետությանը, </w:t>
      </w:r>
      <w:r w:rsidR="00D619EB">
        <w:rPr>
          <w:rFonts w:ascii="Sylfaen" w:hAnsi="Sylfaen"/>
          <w:sz w:val="24"/>
          <w:szCs w:val="24"/>
        </w:rPr>
        <w:br/>
      </w:r>
      <w:r w:rsidRPr="00CA27E3">
        <w:rPr>
          <w:rFonts w:ascii="Sylfaen" w:hAnsi="Sylfaen"/>
          <w:sz w:val="24"/>
          <w:szCs w:val="24"/>
        </w:rPr>
        <w:t>ինչպես նաեւ դրանց մակնշմանն ու շահագործման փաստաթղթերին ներկայացվող պահանջները</w:t>
      </w:r>
    </w:p>
    <w:p w14:paraId="3D0EAD16"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D619EB">
        <w:rPr>
          <w:rFonts w:ascii="Sylfaen" w:hAnsi="Sylfaen"/>
          <w:sz w:val="24"/>
          <w:szCs w:val="24"/>
        </w:rPr>
        <w:tab/>
      </w:r>
      <w:r w:rsidRPr="00CA27E3">
        <w:rPr>
          <w:rFonts w:ascii="Sylfaen" w:hAnsi="Sylfaen"/>
          <w:sz w:val="24"/>
          <w:szCs w:val="24"/>
        </w:rPr>
        <w:t>Սարքվածքը մշակվում եւ արտադրվում է այնպես, որ ըստ նշանակության օգտագործ</w:t>
      </w:r>
      <w:r w:rsidR="00853BFD" w:rsidRPr="00CA27E3">
        <w:rPr>
          <w:rFonts w:ascii="Sylfaen" w:hAnsi="Sylfaen"/>
          <w:sz w:val="24"/>
          <w:szCs w:val="24"/>
        </w:rPr>
        <w:t>ելու</w:t>
      </w:r>
      <w:r w:rsidRPr="00CA27E3">
        <w:rPr>
          <w:rFonts w:ascii="Sylfaen" w:hAnsi="Sylfaen"/>
          <w:sz w:val="24"/>
          <w:szCs w:val="24"/>
        </w:rPr>
        <w:t xml:space="preserve"> դեպքում այդ սարքվածքը համապատասխանի սույն տեխնիկական կանոնակարգի համապատասխան հավելվածով սահմանված՝ էներգետիկ արդյունավետությանը ներկայացվող պահանջներին։</w:t>
      </w:r>
    </w:p>
    <w:p w14:paraId="7712ECD8"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10.</w:t>
      </w:r>
      <w:r w:rsidR="00D619EB">
        <w:rPr>
          <w:rFonts w:ascii="Sylfaen" w:hAnsi="Sylfaen"/>
          <w:sz w:val="24"/>
          <w:szCs w:val="24"/>
        </w:rPr>
        <w:tab/>
      </w:r>
      <w:r w:rsidRPr="00CA27E3">
        <w:rPr>
          <w:rFonts w:ascii="Sylfaen" w:hAnsi="Sylfaen"/>
          <w:sz w:val="24"/>
          <w:szCs w:val="24"/>
        </w:rPr>
        <w:t>Սարքվածքի մականշվածքը պետք է պա</w:t>
      </w:r>
      <w:r w:rsidR="005A4FA0" w:rsidRPr="00CA27E3">
        <w:rPr>
          <w:rFonts w:ascii="Sylfaen" w:hAnsi="Sylfaen"/>
          <w:sz w:val="24"/>
          <w:szCs w:val="24"/>
        </w:rPr>
        <w:t>ր</w:t>
      </w:r>
      <w:r w:rsidRPr="00CA27E3">
        <w:rPr>
          <w:rFonts w:ascii="Sylfaen" w:hAnsi="Sylfaen"/>
          <w:sz w:val="24"/>
          <w:szCs w:val="24"/>
        </w:rPr>
        <w:t>ունակի սարքվածքի անվանումը եւ (կամ) նշագիրը (տ</w:t>
      </w:r>
      <w:r w:rsidR="00C87384" w:rsidRPr="00CA27E3">
        <w:rPr>
          <w:rFonts w:ascii="Sylfaen" w:hAnsi="Sylfaen"/>
          <w:sz w:val="24"/>
          <w:szCs w:val="24"/>
        </w:rPr>
        <w:t>իպ</w:t>
      </w:r>
      <w:r w:rsidRPr="00CA27E3">
        <w:rPr>
          <w:rFonts w:ascii="Sylfaen" w:hAnsi="Sylfaen"/>
          <w:sz w:val="24"/>
          <w:szCs w:val="24"/>
        </w:rPr>
        <w:t>ը, մակնիշը, մոդելը), դրա հիմնական պարամետրերը, արտադրողի անվանումը եւ (կամ) ապրանքային նշանը (առկայության դեպքում), այն երկրի անվանումը, որի տարածքում արտադրվել է սարքվածքը։ Նշված տեղեկությունները զետեղվում են ս</w:t>
      </w:r>
      <w:r w:rsidR="00F963AF" w:rsidRPr="00CA27E3">
        <w:rPr>
          <w:rFonts w:ascii="Sylfaen" w:hAnsi="Sylfaen"/>
          <w:sz w:val="24"/>
          <w:szCs w:val="24"/>
        </w:rPr>
        <w:t>արքվածքի վրա եւ նշվում դրան կց</w:t>
      </w:r>
      <w:r w:rsidRPr="00CA27E3">
        <w:rPr>
          <w:rFonts w:ascii="Sylfaen" w:hAnsi="Sylfaen"/>
          <w:sz w:val="24"/>
          <w:szCs w:val="24"/>
        </w:rPr>
        <w:t>վող շահագործման փաստաթղթերում։</w:t>
      </w:r>
    </w:p>
    <w:p w14:paraId="2C15221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Արտադրողի անվանումը եւ (կամ) ապրանքային նշանը (առկայության դեպքում), սարքվածքի անվանումը եւ (կամ) նշագիրը (տ</w:t>
      </w:r>
      <w:r w:rsidR="00BE2DE9" w:rsidRPr="00CA27E3">
        <w:rPr>
          <w:rFonts w:ascii="Sylfaen" w:hAnsi="Sylfaen"/>
          <w:sz w:val="24"/>
          <w:szCs w:val="24"/>
        </w:rPr>
        <w:t>իպ</w:t>
      </w:r>
      <w:r w:rsidRPr="00CA27E3">
        <w:rPr>
          <w:rFonts w:ascii="Sylfaen" w:hAnsi="Sylfaen"/>
          <w:sz w:val="24"/>
          <w:szCs w:val="24"/>
        </w:rPr>
        <w:t>ը, մակնիշը, մոդելը) զետեղվում են սարքվածքի փաթեթվածքի վրա։</w:t>
      </w:r>
    </w:p>
    <w:p w14:paraId="41C99D81" w14:textId="77777777" w:rsidR="00FD48C7" w:rsidRPr="00CA27E3" w:rsidRDefault="00EC09C9"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11</w:t>
      </w:r>
      <w:r w:rsidR="00BB04FF" w:rsidRPr="00CA27E3">
        <w:rPr>
          <w:rFonts w:ascii="Sylfaen" w:hAnsi="Sylfaen"/>
          <w:sz w:val="24"/>
          <w:szCs w:val="24"/>
        </w:rPr>
        <w:t>.</w:t>
      </w:r>
      <w:r w:rsidR="00D619EB">
        <w:rPr>
          <w:rFonts w:ascii="Sylfaen" w:hAnsi="Sylfaen"/>
          <w:sz w:val="24"/>
          <w:szCs w:val="24"/>
        </w:rPr>
        <w:tab/>
      </w:r>
      <w:r w:rsidR="00BB04FF" w:rsidRPr="00CA27E3">
        <w:rPr>
          <w:rFonts w:ascii="Sylfaen" w:hAnsi="Sylfaen"/>
          <w:sz w:val="24"/>
          <w:szCs w:val="24"/>
        </w:rPr>
        <w:t xml:space="preserve">Եթե սույն տեխնիկական կանոնակարգի 10-րդ կետով նախատեսված տեղեկությունները հնարավոր չէ զետեղել սարքվածքի վրա, ապա դրանք նշվում են միայն այդ սարքվածքին </w:t>
      </w:r>
      <w:r w:rsidR="00C76B19" w:rsidRPr="00CA27E3">
        <w:rPr>
          <w:rFonts w:ascii="Sylfaen" w:hAnsi="Sylfaen"/>
          <w:sz w:val="24"/>
          <w:szCs w:val="24"/>
        </w:rPr>
        <w:t>կ</w:t>
      </w:r>
      <w:r w:rsidR="00BB04FF" w:rsidRPr="00CA27E3">
        <w:rPr>
          <w:rFonts w:ascii="Sylfaen" w:hAnsi="Sylfaen"/>
          <w:sz w:val="24"/>
          <w:szCs w:val="24"/>
        </w:rPr>
        <w:t>ցվող շահագործման փաստաթղթերում:</w:t>
      </w:r>
    </w:p>
    <w:p w14:paraId="6EAC2CD6" w14:textId="77777777" w:rsidR="00FD48C7" w:rsidRPr="00CA27E3" w:rsidRDefault="00060D28"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12.</w:t>
      </w:r>
      <w:r w:rsidR="00D619EB">
        <w:rPr>
          <w:rFonts w:ascii="Sylfaen" w:hAnsi="Sylfaen"/>
          <w:sz w:val="24"/>
          <w:szCs w:val="24"/>
        </w:rPr>
        <w:tab/>
      </w:r>
      <w:r w:rsidRPr="00CA27E3">
        <w:rPr>
          <w:rFonts w:ascii="Sylfaen" w:hAnsi="Sylfaen"/>
          <w:sz w:val="24"/>
          <w:szCs w:val="24"/>
        </w:rPr>
        <w:t>Սարքվածքի մականշվածքը պետք է լինի պարզ, դյուրընթեռնելի եւ սարքվածքի վրա զետեղված լինի այնպիսի տեղում, որը հասանելի է տեսազննման համար՝ առանց գործիքի կիրառմամբ իրականացվող կազմատման՝ ռուսերենով, եւ անդամ պետությունների օրենսդրության համապատասխան պահանջների առկայության դեպքում՝ այն անդամ պետության պետական լեզվով (լեզուներով), որի տարածքում իրացվում է սարքվածքը։</w:t>
      </w:r>
    </w:p>
    <w:p w14:paraId="5E40F8D0" w14:textId="77777777" w:rsidR="00FD48C7" w:rsidRPr="00CA27E3" w:rsidRDefault="00060D28"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13.</w:t>
      </w:r>
      <w:r w:rsidR="00D619EB">
        <w:rPr>
          <w:rFonts w:ascii="Sylfaen" w:hAnsi="Sylfaen"/>
          <w:sz w:val="24"/>
          <w:szCs w:val="24"/>
        </w:rPr>
        <w:tab/>
      </w:r>
      <w:r w:rsidRPr="00CA27E3">
        <w:rPr>
          <w:rFonts w:ascii="Sylfaen" w:hAnsi="Sylfaen"/>
          <w:sz w:val="24"/>
          <w:szCs w:val="24"/>
        </w:rPr>
        <w:t>Շահագործման փաստաթղթերը պետք է պարունակեն՝</w:t>
      </w:r>
    </w:p>
    <w:p w14:paraId="7D963321" w14:textId="77777777" w:rsidR="00FD48C7" w:rsidRPr="00CA27E3" w:rsidRDefault="00BB04FF"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ա)</w:t>
      </w:r>
      <w:r w:rsidR="00D619EB">
        <w:rPr>
          <w:rFonts w:ascii="Sylfaen" w:hAnsi="Sylfaen"/>
          <w:sz w:val="24"/>
          <w:szCs w:val="24"/>
        </w:rPr>
        <w:tab/>
      </w:r>
      <w:r w:rsidRPr="00CA27E3">
        <w:rPr>
          <w:rFonts w:ascii="Sylfaen" w:hAnsi="Sylfaen"/>
          <w:sz w:val="24"/>
          <w:szCs w:val="24"/>
        </w:rPr>
        <w:t>սույն տեխնիկական կանոնակարգի 10-րդ կետով նախատեսված տեղեկատվությունը</w:t>
      </w:r>
      <w:r w:rsidR="004017F0" w:rsidRPr="00CA27E3">
        <w:rPr>
          <w:rFonts w:ascii="Sylfaen" w:hAnsi="Sylfaen"/>
          <w:sz w:val="24"/>
          <w:szCs w:val="24"/>
        </w:rPr>
        <w:t>.</w:t>
      </w:r>
    </w:p>
    <w:p w14:paraId="06346497" w14:textId="77777777" w:rsidR="00FD48C7" w:rsidRPr="00CA27E3" w:rsidRDefault="00BB04FF"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բ)</w:t>
      </w:r>
      <w:r w:rsidR="00D619EB">
        <w:rPr>
          <w:rFonts w:ascii="Sylfaen" w:hAnsi="Sylfaen"/>
          <w:sz w:val="24"/>
          <w:szCs w:val="24"/>
        </w:rPr>
        <w:tab/>
      </w:r>
      <w:r w:rsidRPr="00CA27E3">
        <w:rPr>
          <w:rFonts w:ascii="Sylfaen" w:hAnsi="Sylfaen"/>
          <w:sz w:val="24"/>
          <w:szCs w:val="24"/>
        </w:rPr>
        <w:t>սարքվածքի նշանակության մասին տեղեկատվությունը</w:t>
      </w:r>
      <w:r w:rsidR="004017F0" w:rsidRPr="00CA27E3">
        <w:rPr>
          <w:rFonts w:ascii="Sylfaen" w:hAnsi="Sylfaen"/>
          <w:sz w:val="24"/>
          <w:szCs w:val="24"/>
        </w:rPr>
        <w:t>.</w:t>
      </w:r>
    </w:p>
    <w:p w14:paraId="2303A20A" w14:textId="77777777" w:rsidR="00FD48C7" w:rsidRPr="00CA27E3" w:rsidRDefault="00BB04FF"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գ)</w:t>
      </w:r>
      <w:r w:rsidR="00D619EB">
        <w:rPr>
          <w:rFonts w:ascii="Sylfaen" w:hAnsi="Sylfaen"/>
          <w:sz w:val="24"/>
          <w:szCs w:val="24"/>
        </w:rPr>
        <w:tab/>
      </w:r>
      <w:r w:rsidRPr="00CA27E3">
        <w:rPr>
          <w:rFonts w:ascii="Sylfaen" w:hAnsi="Sylfaen"/>
          <w:sz w:val="24"/>
          <w:szCs w:val="24"/>
        </w:rPr>
        <w:t xml:space="preserve">սարքվածքի մոնտաժման, ցանցին եւ սարքվածքն ըստ նշանակության կիրառելու համար անհրաժեշտ վառելիքաէներգետիկ ռեսուրսների այլ աղբյուրներին դրա միացման, գործարկման, կարգավորման եւ շահագործման մեջ դնելու կանոններն ու պայմանները (այն դեպքում, երբ նշված կանոնների եւ պայմանների </w:t>
      </w:r>
      <w:r w:rsidR="00853BFD" w:rsidRPr="00CA27E3">
        <w:rPr>
          <w:rFonts w:ascii="Sylfaen" w:hAnsi="Sylfaen"/>
          <w:sz w:val="24"/>
          <w:szCs w:val="24"/>
        </w:rPr>
        <w:t>ս</w:t>
      </w:r>
      <w:r w:rsidRPr="00CA27E3">
        <w:rPr>
          <w:rFonts w:ascii="Sylfaen" w:hAnsi="Sylfaen"/>
          <w:sz w:val="24"/>
          <w:szCs w:val="24"/>
        </w:rPr>
        <w:t>ահմանումն անհրաժեշտ է սույն տեխնիկական կանոնակարգի պահանջներին սարքվածքի համապատասխանությունն ապահովելու համար).</w:t>
      </w:r>
    </w:p>
    <w:p w14:paraId="5D6C216A" w14:textId="77777777" w:rsidR="00FD48C7" w:rsidRPr="00CA27E3" w:rsidRDefault="00BB04FF"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դ)</w:t>
      </w:r>
      <w:r w:rsidR="00D619EB">
        <w:rPr>
          <w:rFonts w:ascii="Sylfaen" w:hAnsi="Sylfaen"/>
          <w:sz w:val="24"/>
          <w:szCs w:val="24"/>
        </w:rPr>
        <w:tab/>
      </w:r>
      <w:r w:rsidRPr="00CA27E3">
        <w:rPr>
          <w:rFonts w:ascii="Sylfaen" w:hAnsi="Sylfaen"/>
          <w:sz w:val="24"/>
          <w:szCs w:val="24"/>
        </w:rPr>
        <w:t>բնութագրերը եւ պարամետրերը, այդ թվում՝ սույն տեխնիկական կանոնակարգի համապատասխան հավելվածով սահմանված բնութագրերն ու պարամետրերը.</w:t>
      </w:r>
    </w:p>
    <w:p w14:paraId="184AB9CD" w14:textId="77777777" w:rsidR="00FD48C7" w:rsidRPr="00CA27E3" w:rsidRDefault="00BB04FF" w:rsidP="00D619EB">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ե)</w:t>
      </w:r>
      <w:r w:rsidR="00D619EB">
        <w:rPr>
          <w:rFonts w:ascii="Sylfaen" w:hAnsi="Sylfaen"/>
          <w:sz w:val="24"/>
          <w:szCs w:val="24"/>
        </w:rPr>
        <w:tab/>
      </w:r>
      <w:r w:rsidRPr="00CA27E3">
        <w:rPr>
          <w:rFonts w:ascii="Sylfaen" w:hAnsi="Sylfaen"/>
          <w:sz w:val="24"/>
          <w:szCs w:val="24"/>
        </w:rPr>
        <w:t>արտադրողի (արտադրողի կողմից լիազորված անձի), ներմուծողի անվանումները եւ գտնվելու վայրերը (հասցեները), հեռախոսահամարները եւ էլեկտրոնային փոստի հասցեները.</w:t>
      </w:r>
    </w:p>
    <w:p w14:paraId="05C69C3B" w14:textId="77777777" w:rsidR="00FD48C7" w:rsidRPr="00CA27E3" w:rsidRDefault="00BB04FF" w:rsidP="00D619EB">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lastRenderedPageBreak/>
        <w:t>զ)</w:t>
      </w:r>
      <w:r w:rsidR="00D619EB" w:rsidRPr="00D619EB">
        <w:rPr>
          <w:rFonts w:ascii="Sylfaen" w:hAnsi="Sylfaen"/>
          <w:sz w:val="24"/>
          <w:szCs w:val="24"/>
        </w:rPr>
        <w:tab/>
      </w:r>
      <w:r w:rsidRPr="00CA27E3">
        <w:rPr>
          <w:rFonts w:ascii="Sylfaen" w:hAnsi="Sylfaen"/>
          <w:sz w:val="24"/>
          <w:szCs w:val="24"/>
        </w:rPr>
        <w:t xml:space="preserve">սարքվածքի արտադրման ամիսն ու տարին </w:t>
      </w:r>
      <w:r w:rsidR="00CA27E3">
        <w:rPr>
          <w:rFonts w:ascii="Sylfaen" w:hAnsi="Sylfaen"/>
          <w:sz w:val="24"/>
          <w:szCs w:val="24"/>
        </w:rPr>
        <w:t>եւ</w:t>
      </w:r>
      <w:r w:rsidRPr="00CA27E3">
        <w:rPr>
          <w:rFonts w:ascii="Sylfaen" w:hAnsi="Sylfaen"/>
          <w:sz w:val="24"/>
          <w:szCs w:val="24"/>
        </w:rPr>
        <w:t xml:space="preserve"> (կամ) այդ տեղեկությունների զետեղման տեղի կամ դրանց որոշման եղանակի մասին տեղեկատվությունը.</w:t>
      </w:r>
    </w:p>
    <w:p w14:paraId="2F644419" w14:textId="77777777" w:rsidR="00FD48C7" w:rsidRPr="00CA27E3" w:rsidRDefault="00BB04FF" w:rsidP="00D619EB">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է)</w:t>
      </w:r>
      <w:r w:rsidR="00D619EB" w:rsidRPr="00D619EB">
        <w:rPr>
          <w:rFonts w:ascii="Sylfaen" w:hAnsi="Sylfaen"/>
          <w:sz w:val="24"/>
          <w:szCs w:val="24"/>
        </w:rPr>
        <w:tab/>
      </w:r>
      <w:r w:rsidRPr="00CA27E3">
        <w:rPr>
          <w:rFonts w:ascii="Sylfaen" w:hAnsi="Sylfaen"/>
          <w:sz w:val="24"/>
          <w:szCs w:val="24"/>
        </w:rPr>
        <w:t xml:space="preserve">պիտակը եւ տեխնիկական թերթը (այն դեպքում, երբ դրանց առկայության վերաբերյալ պահանջը եւ դրանցում նշվող տեղեկությունների կազմը սարքվածքի մասով սահմանված են Եվրասիական տնտեսական հանձնաժողովի (այսուհետ՝ Հանձնաժողով) խորհրդի կողմից)։ </w:t>
      </w:r>
    </w:p>
    <w:p w14:paraId="3495438E" w14:textId="77777777" w:rsidR="00FD48C7" w:rsidRPr="00CA27E3" w:rsidRDefault="00060D28" w:rsidP="00D619EB">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14.</w:t>
      </w:r>
      <w:r w:rsidR="00D619EB" w:rsidRPr="00D619EB">
        <w:rPr>
          <w:rFonts w:ascii="Sylfaen" w:hAnsi="Sylfaen"/>
          <w:sz w:val="24"/>
          <w:szCs w:val="24"/>
        </w:rPr>
        <w:tab/>
      </w:r>
      <w:r w:rsidRPr="00CA27E3">
        <w:rPr>
          <w:rFonts w:ascii="Sylfaen" w:hAnsi="Sylfaen"/>
          <w:sz w:val="24"/>
          <w:szCs w:val="24"/>
        </w:rPr>
        <w:t>Տեխնիկական թերթերի եւ պիտակների բովանդակությանը ներկայացվող պահանջները, այդ թվում՝ պիտակների ձեւերը եւ դրանց լրացման կանոնները, ինչպես նաեւ դրանց էներգետիկ արդյունավետության դասերը (այսուհետ սույն բաժնում՝ պահանջներ) հաստատվում են Հանձնաժողովի խորհրդի կողմից։</w:t>
      </w:r>
    </w:p>
    <w:p w14:paraId="5D4D7B92" w14:textId="77777777" w:rsidR="00FD48C7" w:rsidRPr="00CA27E3" w:rsidRDefault="00BB04FF" w:rsidP="00D619EB">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Արտադրողը կամ ներմուծողը պահանջներին համապատասխան որոշում է սարքվածքի էներգետիկ արդյունավետության դասը եւ դրա էներգետիկ արդյունավետությունը։</w:t>
      </w:r>
    </w:p>
    <w:p w14:paraId="008A79D8" w14:textId="77777777" w:rsidR="00FD48C7" w:rsidRPr="00CA27E3" w:rsidRDefault="00BB04FF" w:rsidP="00D619EB">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Սարքվածքի էներգետիկ արդյունավետության դասի եւ դրա էներգետիկ արդյունավետության մասին տեղեկատվությունն արտադրողի, ներմուծողի կողմից զետեղվում է վաճառքի հանվող սարքվածքների ցուցանմուշների մակնշման համար նախատեսված պիտակի վրա։</w:t>
      </w:r>
      <w:r w:rsidR="00CA27E3">
        <w:rPr>
          <w:rFonts w:ascii="Sylfaen" w:hAnsi="Sylfaen"/>
          <w:sz w:val="24"/>
          <w:szCs w:val="24"/>
        </w:rPr>
        <w:t xml:space="preserve"> </w:t>
      </w:r>
    </w:p>
    <w:p w14:paraId="5B70F2DD" w14:textId="77777777" w:rsidR="00FD48C7" w:rsidRPr="00CA27E3" w:rsidRDefault="00BB04FF" w:rsidP="00D619EB">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Արտադրողը, ներմուծողը պահանջներին համապատասխան ապահովում են պիտակի, այդ թվում՝ վաճառքի հանվող սարքվածքների ցուցանմուշների մակնշման համար նախատեսված պիտակի, եւ շահագործման փաստաթղթերի առկայությունը։ </w:t>
      </w:r>
    </w:p>
    <w:p w14:paraId="1721E640" w14:textId="77777777" w:rsidR="00FD48C7" w:rsidRPr="00CA27E3" w:rsidRDefault="00BB04FF" w:rsidP="00D619EB">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Վաճառողը վաճառքի վայրում զետեղում է պիտակը սարքվածքի նմուշի վրա։ Պիտակները պետք է տեղադրվեն տեսանելի տեղում, լինեն դյուրընթեռնելի եւ ձեւակերպվեն պահանջներին համապատասխան։</w:t>
      </w:r>
    </w:p>
    <w:p w14:paraId="0A8ADBA7" w14:textId="77777777" w:rsidR="00FD48C7" w:rsidRPr="00CA27E3" w:rsidRDefault="00BB04FF" w:rsidP="00D619EB">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Սարքվածքը հեռակա եղանակով վաճառելու դեպքում վաճառողը</w:t>
      </w:r>
      <w:r w:rsidR="00853BFD" w:rsidRPr="00CA27E3">
        <w:rPr>
          <w:rFonts w:ascii="Sylfaen" w:hAnsi="Sylfaen"/>
          <w:sz w:val="24"/>
          <w:szCs w:val="24"/>
        </w:rPr>
        <w:t>,</w:t>
      </w:r>
      <w:r w:rsidRPr="00CA27E3">
        <w:rPr>
          <w:rFonts w:ascii="Sylfaen" w:hAnsi="Sylfaen"/>
          <w:sz w:val="24"/>
          <w:szCs w:val="24"/>
        </w:rPr>
        <w:t xml:space="preserve"> նախքան առքուվաճառքի պայմանագիր կնքելը</w:t>
      </w:r>
      <w:r w:rsidR="00853BFD" w:rsidRPr="00CA27E3">
        <w:rPr>
          <w:rFonts w:ascii="Sylfaen" w:hAnsi="Sylfaen"/>
          <w:sz w:val="24"/>
          <w:szCs w:val="24"/>
        </w:rPr>
        <w:t>,</w:t>
      </w:r>
      <w:r w:rsidRPr="00CA27E3">
        <w:rPr>
          <w:rFonts w:ascii="Sylfaen" w:hAnsi="Sylfaen"/>
          <w:sz w:val="24"/>
          <w:szCs w:val="24"/>
        </w:rPr>
        <w:t xml:space="preserve"> սպառողին տրամադրում է տեղեկատվություն էներգետիկ արդյունավետության ցուցանիշների մասին։</w:t>
      </w:r>
    </w:p>
    <w:p w14:paraId="0C19443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Տեխնիկական թերթը եւ պիտակը (եթե դրանց առկայության վերաբերյալ պահանջը սարքվածքի մասով սահմանված է Հանձնաժողովի կողմից) պետք է ներառեն հետեւյալ տեղեկությունները՝</w:t>
      </w:r>
    </w:p>
    <w:p w14:paraId="405A2AA6"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արտադրողի, ներմուծողի անվանումը եւ ապրանքային նշանը (առկայության դեպքում), մոդելի նշագիրը</w:t>
      </w:r>
      <w:r w:rsidR="00E30204" w:rsidRPr="00CA27E3">
        <w:rPr>
          <w:rFonts w:ascii="Sylfaen" w:hAnsi="Sylfaen"/>
          <w:sz w:val="24"/>
          <w:szCs w:val="24"/>
        </w:rPr>
        <w:t>,</w:t>
      </w:r>
    </w:p>
    <w:p w14:paraId="5E22FF2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սարքվածքի էներգետիկ արդյունավետության դասի մասին տեղեկատվությունը,</w:t>
      </w:r>
    </w:p>
    <w:p w14:paraId="7FA2E3F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էներգետիկ արդյունավետության ցուցանիշների անվանումները եւ դրանց անվանական արժեքները,</w:t>
      </w:r>
    </w:p>
    <w:p w14:paraId="270F628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սարքվածքների առանձին տեսակների համար պահանջներով սահմանված այլ տեղեկություններ։</w:t>
      </w:r>
    </w:p>
    <w:p w14:paraId="14449883"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Տեխնիկական թերթի եւ պիտակի առկայությունը (եթե դրանց առկայության վերաբերյալ պահանջը սարքվածքի մասով սահմանված է Հանձնաժողովի կողմից) պարտադիր պայման է սարքվածքը Միության մաքսային տարածքում</w:t>
      </w:r>
      <w:r w:rsidR="00CA27E3">
        <w:rPr>
          <w:rFonts w:ascii="Sylfaen" w:hAnsi="Sylfaen"/>
          <w:sz w:val="24"/>
          <w:szCs w:val="24"/>
        </w:rPr>
        <w:t xml:space="preserve"> </w:t>
      </w:r>
      <w:r w:rsidRPr="00CA27E3">
        <w:rPr>
          <w:rFonts w:ascii="Sylfaen" w:hAnsi="Sylfaen"/>
          <w:sz w:val="24"/>
          <w:szCs w:val="24"/>
        </w:rPr>
        <w:t>շրջանառության մեջ դնելու համար։ Տեխնիկական թերթը եւ պիտակը ձեւակերպվում են արտադրողի (արտադրողի կողմից լիազորված անձի) կամ ներմուծողի կողմից։</w:t>
      </w:r>
    </w:p>
    <w:p w14:paraId="269B928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Տեխնիկական թերթը լրացվում է ռուսերենով </w:t>
      </w:r>
      <w:r w:rsidR="00CA27E3">
        <w:rPr>
          <w:rFonts w:ascii="Sylfaen" w:hAnsi="Sylfaen"/>
          <w:sz w:val="24"/>
          <w:szCs w:val="24"/>
        </w:rPr>
        <w:t>եւ</w:t>
      </w:r>
      <w:r w:rsidRPr="00CA27E3">
        <w:rPr>
          <w:rFonts w:ascii="Sylfaen" w:hAnsi="Sylfaen"/>
          <w:sz w:val="24"/>
          <w:szCs w:val="24"/>
        </w:rPr>
        <w:t xml:space="preserve"> անդամ պետության </w:t>
      </w:r>
      <w:r w:rsidR="003222DC" w:rsidRPr="00CA27E3">
        <w:rPr>
          <w:rFonts w:ascii="Sylfaen" w:hAnsi="Sylfaen"/>
          <w:sz w:val="24"/>
          <w:szCs w:val="24"/>
        </w:rPr>
        <w:t>օրենսդրության համապատասխան</w:t>
      </w:r>
      <w:r w:rsidRPr="00CA27E3">
        <w:rPr>
          <w:rFonts w:ascii="Sylfaen" w:hAnsi="Sylfaen"/>
          <w:sz w:val="24"/>
          <w:szCs w:val="24"/>
        </w:rPr>
        <w:t xml:space="preserve"> պահանջի առկայության դեպքում՝ այն անդամ պետության պետական լեզվով (լեզուներով), որտեղ լրացվում է տ</w:t>
      </w:r>
      <w:r w:rsidR="00B04AE0" w:rsidRPr="00CA27E3">
        <w:rPr>
          <w:rFonts w:ascii="Sylfaen" w:hAnsi="Sylfaen"/>
          <w:sz w:val="24"/>
          <w:szCs w:val="24"/>
        </w:rPr>
        <w:t>ե</w:t>
      </w:r>
      <w:r w:rsidRPr="00CA27E3">
        <w:rPr>
          <w:rFonts w:ascii="Sylfaen" w:hAnsi="Sylfaen"/>
          <w:sz w:val="24"/>
          <w:szCs w:val="24"/>
        </w:rPr>
        <w:t>խնիկական թերթը: Արտադրողի անվանումը եւ ապրանքային նշանը (առկայության դեպքում), ինչպես նաեւ գրանցված ապրանքային նշանի (առկայության դեպքում) կամ արդյունաբերական նմուշի վերաբերյալ այլ տեղեկություններ, մոդելի նշագիրը կարող են նշվել լատինական այբուբենի տառերի օգտագործմամբ։</w:t>
      </w:r>
    </w:p>
    <w:p w14:paraId="39516D68"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15.</w:t>
      </w:r>
      <w:r w:rsidR="00D619EB" w:rsidRPr="00D619EB">
        <w:rPr>
          <w:rFonts w:ascii="Sylfaen" w:hAnsi="Sylfaen"/>
          <w:sz w:val="24"/>
          <w:szCs w:val="24"/>
        </w:rPr>
        <w:tab/>
      </w:r>
      <w:r w:rsidRPr="00CA27E3">
        <w:rPr>
          <w:rFonts w:ascii="Sylfaen" w:hAnsi="Sylfaen"/>
          <w:sz w:val="24"/>
          <w:szCs w:val="24"/>
        </w:rPr>
        <w:t xml:space="preserve">Շահագործման փաստաթղթերը կազմվում են ռուսերենով </w:t>
      </w:r>
      <w:r w:rsidR="00CA27E3">
        <w:rPr>
          <w:rFonts w:ascii="Sylfaen" w:hAnsi="Sylfaen"/>
          <w:sz w:val="24"/>
          <w:szCs w:val="24"/>
        </w:rPr>
        <w:t>եւ</w:t>
      </w:r>
      <w:r w:rsidRPr="00CA27E3">
        <w:rPr>
          <w:rFonts w:ascii="Sylfaen" w:hAnsi="Sylfaen"/>
          <w:sz w:val="24"/>
          <w:szCs w:val="24"/>
        </w:rPr>
        <w:t xml:space="preserve"> անդամ պետությունների օրենսդրության համապատասխան պահանջների առկայության դեպքում՝ այն անդամ պետության պետական լեզվով (լեզուներով), որի տարածքում իրացվում է սարքվածքը։ Չափման միավորները, տառային </w:t>
      </w:r>
      <w:r w:rsidRPr="00CA27E3">
        <w:rPr>
          <w:rFonts w:ascii="Sylfaen" w:hAnsi="Sylfaen"/>
          <w:sz w:val="24"/>
          <w:szCs w:val="24"/>
        </w:rPr>
        <w:lastRenderedPageBreak/>
        <w:t xml:space="preserve">ապրանքային նշանները (առկայության դեպքում), հատուկ անունները, բնակավայրերի անվանումները </w:t>
      </w:r>
      <w:r w:rsidR="00CA27E3">
        <w:rPr>
          <w:rFonts w:ascii="Sylfaen" w:hAnsi="Sylfaen"/>
          <w:sz w:val="24"/>
          <w:szCs w:val="24"/>
        </w:rPr>
        <w:t>եւ</w:t>
      </w:r>
      <w:r w:rsidRPr="00CA27E3">
        <w:rPr>
          <w:rFonts w:ascii="Sylfaen" w:hAnsi="Sylfaen"/>
          <w:sz w:val="24"/>
          <w:szCs w:val="24"/>
        </w:rPr>
        <w:t xml:space="preserve"> այլ տեղեկություններ շահագործման փաստաթղթերում կարող են ներկայացվել այլ լեզուներով։</w:t>
      </w:r>
    </w:p>
    <w:p w14:paraId="03DF0E3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Շահագործման փաստաթղթերը կազմվում են թղթային կրիչով</w:t>
      </w:r>
      <w:r w:rsidR="00B04AE0" w:rsidRPr="00CA27E3">
        <w:rPr>
          <w:rFonts w:ascii="Sylfaen" w:hAnsi="Sylfaen"/>
          <w:sz w:val="24"/>
          <w:szCs w:val="24"/>
        </w:rPr>
        <w:t>՝</w:t>
      </w:r>
      <w:r w:rsidRPr="00CA27E3">
        <w:rPr>
          <w:rFonts w:ascii="Sylfaen" w:hAnsi="Sylfaen"/>
          <w:sz w:val="24"/>
          <w:szCs w:val="24"/>
        </w:rPr>
        <w:t xml:space="preserve"> փաստաթղթերի տեսքով։ Դրանց կից կարող են ներկայացվել էլեկտրոնային կրիչով շահագործման փաստաթղթեր։ Շահագործման փաստաթղթերը՝ բացառությամբ տեխնիկական թերթի եւ պիտակի, ոչ կենցաղային նշանակության սարքվածքի մասով կազմվում են միայն էլեկտրոնային տեսքով։ </w:t>
      </w:r>
    </w:p>
    <w:p w14:paraId="1F3223B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Եթե սույն տեխնիկական կանոնակարգի 13-րդ կետում նշված տեղեկությունների ծավալը հնարավորություն է տալիս չկազմել շահագործման փաստաթղթեր, ապա թույլատրվում է համապատասխան տեղեկությունները զետեղել սարքվածքի կամ դրա փաթեթվածքի վրա։</w:t>
      </w:r>
    </w:p>
    <w:p w14:paraId="6191BA83"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2EAD1DEA" w14:textId="77777777" w:rsidR="00FD48C7" w:rsidRPr="00CA27E3" w:rsidRDefault="00BB04FF" w:rsidP="00D619EB">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VI. Տեխնիկական կանոնակարգի պահանջներին սարքվածքների համապատասխանության ապահովումը </w:t>
      </w:r>
    </w:p>
    <w:p w14:paraId="42616A2E"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16.</w:t>
      </w:r>
      <w:r w:rsidR="00D619EB" w:rsidRPr="00D619EB">
        <w:rPr>
          <w:rFonts w:ascii="Sylfaen" w:hAnsi="Sylfaen"/>
          <w:sz w:val="24"/>
          <w:szCs w:val="24"/>
        </w:rPr>
        <w:tab/>
      </w:r>
      <w:r w:rsidRPr="00CA27E3">
        <w:rPr>
          <w:rFonts w:ascii="Sylfaen" w:hAnsi="Sylfaen"/>
          <w:sz w:val="24"/>
          <w:szCs w:val="24"/>
        </w:rPr>
        <w:t>Սույն տեխնիկական կանոնակարգի պահանջներին սարքվածքի համապատասխանությունն ապահովվում է դրա պահանջների կատարման միջոցով։</w:t>
      </w:r>
    </w:p>
    <w:p w14:paraId="2E334E3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Սարքվածքի հետազոտությունների (փորձարկումների) եւ չափումների մեթոդները սահմանվում են միջազգային </w:t>
      </w:r>
      <w:r w:rsidR="00CA27E3">
        <w:rPr>
          <w:rFonts w:ascii="Sylfaen" w:hAnsi="Sylfaen"/>
          <w:sz w:val="24"/>
          <w:szCs w:val="24"/>
        </w:rPr>
        <w:t>եւ</w:t>
      </w:r>
      <w:r w:rsidRPr="00CA27E3">
        <w:rPr>
          <w:rFonts w:ascii="Sylfaen" w:hAnsi="Sylfaen"/>
          <w:sz w:val="24"/>
          <w:szCs w:val="24"/>
        </w:rPr>
        <w:t xml:space="preserve"> տարածաշրջանային (միջպետական) ստանդարտների, իսկ դրանց բացակայության դեպքում՝ ազգային (պետական) ստանդարտների ցանկում ներառված ստանդարտներով, որոնք պարունակում են հետազոտությունների (փորձարկումների) </w:t>
      </w:r>
      <w:r w:rsidR="00CA27E3">
        <w:rPr>
          <w:rFonts w:ascii="Sylfaen" w:hAnsi="Sylfaen"/>
          <w:sz w:val="24"/>
          <w:szCs w:val="24"/>
        </w:rPr>
        <w:t>եւ</w:t>
      </w:r>
      <w:r w:rsidRPr="00CA27E3">
        <w:rPr>
          <w:rFonts w:ascii="Sylfaen" w:hAnsi="Sylfaen"/>
          <w:sz w:val="24"/>
          <w:szCs w:val="24"/>
        </w:rPr>
        <w:t xml:space="preserve"> չափումների կանոններ </w:t>
      </w:r>
      <w:r w:rsidR="00B04AE0" w:rsidRPr="00CA27E3">
        <w:rPr>
          <w:rFonts w:ascii="Sylfaen" w:hAnsi="Sylfaen"/>
          <w:sz w:val="24"/>
          <w:szCs w:val="24"/>
        </w:rPr>
        <w:t xml:space="preserve">ու </w:t>
      </w:r>
      <w:r w:rsidRPr="00CA27E3">
        <w:rPr>
          <w:rFonts w:ascii="Sylfaen" w:hAnsi="Sylfaen"/>
          <w:sz w:val="24"/>
          <w:szCs w:val="24"/>
        </w:rPr>
        <w:t xml:space="preserve">մեթոդներ, այդ թվում՝ նմուշառման կանոններ, որոնք անհրաժեշտ են սույն տեխնիկական կանոնակարգի պահանջները կիրառելու </w:t>
      </w:r>
      <w:r w:rsidR="00CA27E3">
        <w:rPr>
          <w:rFonts w:ascii="Sylfaen" w:hAnsi="Sylfaen"/>
          <w:sz w:val="24"/>
          <w:szCs w:val="24"/>
        </w:rPr>
        <w:t>եւ</w:t>
      </w:r>
      <w:r w:rsidRPr="00CA27E3">
        <w:rPr>
          <w:rFonts w:ascii="Sylfaen" w:hAnsi="Sylfaen"/>
          <w:sz w:val="24"/>
          <w:szCs w:val="24"/>
        </w:rPr>
        <w:t xml:space="preserve"> կատարելու </w:t>
      </w:r>
      <w:r w:rsidR="00CA27E3">
        <w:rPr>
          <w:rFonts w:ascii="Sylfaen" w:hAnsi="Sylfaen"/>
          <w:sz w:val="24"/>
          <w:szCs w:val="24"/>
        </w:rPr>
        <w:t>եւ</w:t>
      </w:r>
      <w:r w:rsidR="00B04AE0" w:rsidRPr="00CA27E3">
        <w:rPr>
          <w:rFonts w:ascii="Sylfaen" w:hAnsi="Sylfaen"/>
          <w:sz w:val="24"/>
          <w:szCs w:val="24"/>
        </w:rPr>
        <w:t xml:space="preserve"> </w:t>
      </w:r>
      <w:r w:rsidRPr="00CA27E3">
        <w:rPr>
          <w:rFonts w:ascii="Sylfaen" w:hAnsi="Sylfaen"/>
          <w:sz w:val="24"/>
          <w:szCs w:val="24"/>
        </w:rPr>
        <w:t>սարքվածքի համապատասխանության գնահատում իրականացնելու համար:</w:t>
      </w:r>
    </w:p>
    <w:p w14:paraId="014B5B5D"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42FC9CAF" w14:textId="77777777" w:rsidR="00FD48C7" w:rsidRPr="00CA27E3" w:rsidRDefault="00BB04FF" w:rsidP="00D619EB">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VII. Համապատասխանության գնահատումը</w:t>
      </w:r>
    </w:p>
    <w:p w14:paraId="7013AB42"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17.</w:t>
      </w:r>
      <w:r w:rsidR="00D619EB" w:rsidRPr="00D619EB">
        <w:rPr>
          <w:rFonts w:ascii="Sylfaen" w:hAnsi="Sylfaen"/>
          <w:sz w:val="24"/>
          <w:szCs w:val="24"/>
        </w:rPr>
        <w:tab/>
      </w:r>
      <w:r w:rsidRPr="00CA27E3">
        <w:rPr>
          <w:rFonts w:ascii="Sylfaen" w:hAnsi="Sylfaen"/>
          <w:sz w:val="24"/>
          <w:szCs w:val="24"/>
        </w:rPr>
        <w:t>Նախքան սարքվածքը Միության մաքսային տարածքում շրջանառության մեջ դնելը</w:t>
      </w:r>
      <w:r w:rsidR="00B04AE0" w:rsidRPr="00CA27E3">
        <w:rPr>
          <w:rFonts w:ascii="Sylfaen" w:hAnsi="Sylfaen"/>
          <w:sz w:val="24"/>
          <w:szCs w:val="24"/>
        </w:rPr>
        <w:t>՝</w:t>
      </w:r>
      <w:r w:rsidRPr="00CA27E3">
        <w:rPr>
          <w:rFonts w:ascii="Sylfaen" w:hAnsi="Sylfaen"/>
          <w:sz w:val="24"/>
          <w:szCs w:val="24"/>
        </w:rPr>
        <w:t xml:space="preserve"> այն ենթակա է սույն տեխնիկական կանոնակարգի պահանջներին, ինչպես նաեւ Միության (Մաքսային միության) մյուս այն տեխնիկական կանոնակարգերի պահանջներին համապատասխանության գնահատման, որոնց գործողությունը տարածվում է դրա վրա։</w:t>
      </w:r>
    </w:p>
    <w:p w14:paraId="3D9DE56F"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18.</w:t>
      </w:r>
      <w:r w:rsidR="00D619EB" w:rsidRPr="00D619EB">
        <w:rPr>
          <w:rFonts w:ascii="Sylfaen" w:hAnsi="Sylfaen"/>
          <w:sz w:val="24"/>
          <w:szCs w:val="24"/>
        </w:rPr>
        <w:tab/>
      </w:r>
      <w:r w:rsidRPr="00CA27E3">
        <w:rPr>
          <w:rFonts w:ascii="Sylfaen" w:hAnsi="Sylfaen"/>
          <w:sz w:val="24"/>
          <w:szCs w:val="24"/>
        </w:rPr>
        <w:t>Սույն տեխնիկական կանոնակարգի պահանջներին սարքվածքի համապատասխանության գնահատումն անցկացվում է համապատասխանության հաստատման ձեւով։</w:t>
      </w:r>
    </w:p>
    <w:p w14:paraId="6D77A0DF"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19.</w:t>
      </w:r>
      <w:r w:rsidR="00D619EB" w:rsidRPr="00D619EB">
        <w:rPr>
          <w:rFonts w:ascii="Sylfaen" w:hAnsi="Sylfaen"/>
          <w:sz w:val="24"/>
          <w:szCs w:val="24"/>
        </w:rPr>
        <w:tab/>
      </w:r>
      <w:r w:rsidRPr="00CA27E3">
        <w:rPr>
          <w:rFonts w:ascii="Sylfaen" w:hAnsi="Sylfaen"/>
          <w:sz w:val="24"/>
          <w:szCs w:val="24"/>
        </w:rPr>
        <w:t>Սարքվածքի համապատասխանությունը հաստատելիս հայտատու կարող են լինել անդամ պետության տարածքում դրա օրենսդրությանը համապատասխան գրանցված իրավաբանական անձը կամ որպես անհատ ձեռնարկատեր գրանցված ֆիզիկական անձը, որը արտադրող, արտադրողի կողմից լիազորված անձ, վաճառող (ներմուծող)</w:t>
      </w:r>
      <w:r w:rsidR="00B04AE0" w:rsidRPr="00CA27E3">
        <w:rPr>
          <w:rFonts w:ascii="Sylfaen" w:hAnsi="Sylfaen"/>
          <w:sz w:val="24"/>
          <w:szCs w:val="24"/>
        </w:rPr>
        <w:t xml:space="preserve"> է։</w:t>
      </w:r>
    </w:p>
    <w:p w14:paraId="21638B24"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20.</w:t>
      </w:r>
      <w:r w:rsidR="00D619EB" w:rsidRPr="00D619EB">
        <w:rPr>
          <w:rFonts w:ascii="Sylfaen" w:hAnsi="Sylfaen"/>
          <w:sz w:val="24"/>
          <w:szCs w:val="24"/>
        </w:rPr>
        <w:tab/>
      </w:r>
      <w:r w:rsidRPr="00CA27E3">
        <w:rPr>
          <w:rFonts w:ascii="Sylfaen" w:hAnsi="Sylfaen"/>
          <w:sz w:val="24"/>
          <w:szCs w:val="24"/>
        </w:rPr>
        <w:t>Սարքվածքները ենթակա են համապատասխանության հաստատման՝ սերտիֆիկացման ձեւով՝ ըստ 1ս, 3ս եւ 4ս սխեմաների, կամ</w:t>
      </w:r>
      <w:r w:rsidR="006D14D3" w:rsidRPr="00CA27E3">
        <w:rPr>
          <w:rFonts w:ascii="Sylfaen" w:hAnsi="Sylfaen"/>
          <w:sz w:val="24"/>
          <w:szCs w:val="24"/>
        </w:rPr>
        <w:t xml:space="preserve"> համապատասխանության</w:t>
      </w:r>
      <w:r w:rsidRPr="00CA27E3">
        <w:rPr>
          <w:rFonts w:ascii="Sylfaen" w:hAnsi="Sylfaen"/>
          <w:sz w:val="24"/>
          <w:szCs w:val="24"/>
        </w:rPr>
        <w:t xml:space="preserve"> հայտարարագրման ձեւով՝ ըստ 1հ, 2հ, 3հ, 4հ եւ 6հ սխեմաների։ Սարքվածքների առանձին տեսակների համապատասխանության հաստատումն անցկացվում է սույն տեխնիկական կանոնակարգի թիվ 1 հավելվածով նախատեսված ձեւերով։</w:t>
      </w:r>
    </w:p>
    <w:p w14:paraId="02DDAEF0" w14:textId="77777777" w:rsidR="00FD48C7" w:rsidRPr="00D619EB" w:rsidRDefault="00BB04FF" w:rsidP="00CA27E3">
      <w:pPr>
        <w:pStyle w:val="BodyText1"/>
        <w:shd w:val="clear" w:color="auto" w:fill="auto"/>
        <w:spacing w:after="160"/>
        <w:ind w:firstLine="567"/>
        <w:jc w:val="both"/>
        <w:rPr>
          <w:rFonts w:ascii="Sylfaen" w:hAnsi="Sylfaen" w:cs="Sylfaen"/>
          <w:spacing w:val="-6"/>
          <w:sz w:val="24"/>
          <w:szCs w:val="24"/>
        </w:rPr>
      </w:pPr>
      <w:r w:rsidRPr="00D619EB">
        <w:rPr>
          <w:rFonts w:ascii="Sylfaen" w:hAnsi="Sylfaen"/>
          <w:spacing w:val="-6"/>
          <w:sz w:val="24"/>
          <w:szCs w:val="24"/>
        </w:rPr>
        <w:t>Հայտատուն իրականացնում է այն սարքվածքների համապատասխանության հայտարարագրման սխեմայի ընտրությունը, որոնց մասով համապատասխանության հաստատումն անցկացվում է համապատասխանության հայտարարագրման ձեւով։</w:t>
      </w:r>
    </w:p>
    <w:p w14:paraId="0D8CCBE9"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Հայտատուի որոշմամբ կարող է անցկացվել սերտիֆիկացում ըստ սույն տեխնիկական կանոնակարգով նախատեսված սխեմաների՝ այն սարքվածքների համապատասխանության հայտարա</w:t>
      </w:r>
      <w:r w:rsidR="00B04AE0" w:rsidRPr="00CA27E3">
        <w:rPr>
          <w:rFonts w:ascii="Sylfaen" w:hAnsi="Sylfaen"/>
          <w:sz w:val="24"/>
          <w:szCs w:val="24"/>
        </w:rPr>
        <w:t>րա</w:t>
      </w:r>
      <w:r w:rsidRPr="00CA27E3">
        <w:rPr>
          <w:rFonts w:ascii="Sylfaen" w:hAnsi="Sylfaen"/>
          <w:sz w:val="24"/>
          <w:szCs w:val="24"/>
        </w:rPr>
        <w:t>գրման փոխարեն, որոնց մասով համապատասխանության հաստատումն անցկացվում է համապատասխանության հայտարարագրման ձեւով։</w:t>
      </w:r>
    </w:p>
    <w:p w14:paraId="6D776F41"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D619EB">
        <w:rPr>
          <w:rFonts w:ascii="Sylfaen" w:hAnsi="Sylfaen"/>
          <w:spacing w:val="-4"/>
          <w:sz w:val="24"/>
          <w:szCs w:val="24"/>
        </w:rPr>
        <w:lastRenderedPageBreak/>
        <w:t>21.</w:t>
      </w:r>
      <w:r w:rsidR="00D619EB" w:rsidRPr="00D619EB">
        <w:rPr>
          <w:rFonts w:ascii="Sylfaen" w:hAnsi="Sylfaen"/>
          <w:spacing w:val="-4"/>
          <w:sz w:val="24"/>
          <w:szCs w:val="24"/>
        </w:rPr>
        <w:tab/>
      </w:r>
      <w:r w:rsidRPr="00D619EB">
        <w:rPr>
          <w:rFonts w:ascii="Sylfaen" w:hAnsi="Sylfaen"/>
          <w:spacing w:val="-4"/>
          <w:sz w:val="24"/>
          <w:szCs w:val="24"/>
        </w:rPr>
        <w:t>Սերիական թողարկման սարքվածքի սերտիֆիկացումն իրականացվում է ըստ 1ս սխեմայի</w:t>
      </w:r>
      <w:r w:rsidRPr="00CA27E3">
        <w:rPr>
          <w:rFonts w:ascii="Sylfaen" w:hAnsi="Sylfaen"/>
          <w:sz w:val="24"/>
          <w:szCs w:val="24"/>
        </w:rPr>
        <w:t xml:space="preserve">, </w:t>
      </w:r>
      <w:r w:rsidR="00DA6FDE" w:rsidRPr="00CA27E3">
        <w:rPr>
          <w:rFonts w:ascii="Sylfaen" w:hAnsi="Sylfaen"/>
          <w:sz w:val="24"/>
          <w:szCs w:val="24"/>
        </w:rPr>
        <w:t>սարքվածք</w:t>
      </w:r>
      <w:r w:rsidRPr="00CA27E3">
        <w:rPr>
          <w:rFonts w:ascii="Sylfaen" w:hAnsi="Sylfaen"/>
          <w:sz w:val="24"/>
          <w:szCs w:val="24"/>
        </w:rPr>
        <w:t>ների խմբաքանակի սերտիֆիկացումը՝ ըստ 3ս սխեմայի, եզակի սարքվածքի սերտիֆիկացումը՝ ըստ 4ս սխեմայի։</w:t>
      </w:r>
    </w:p>
    <w:p w14:paraId="19F3F7A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Սարքվածքի սերտիֆիկացման ժամանակ հայտատու է համարվում՝</w:t>
      </w:r>
    </w:p>
    <w:p w14:paraId="3F701F20" w14:textId="77777777" w:rsidR="00FD48C7" w:rsidRPr="0057370C" w:rsidRDefault="00BB04FF" w:rsidP="00D619EB">
      <w:pPr>
        <w:pStyle w:val="BodyText1"/>
        <w:shd w:val="clear" w:color="auto" w:fill="auto"/>
        <w:tabs>
          <w:tab w:val="left" w:pos="1134"/>
        </w:tabs>
        <w:spacing w:after="160"/>
        <w:ind w:firstLine="567"/>
        <w:jc w:val="both"/>
        <w:rPr>
          <w:rFonts w:ascii="Sylfaen" w:hAnsi="Sylfaen" w:cs="Sylfaen"/>
          <w:spacing w:val="-6"/>
          <w:sz w:val="24"/>
          <w:szCs w:val="24"/>
        </w:rPr>
      </w:pPr>
      <w:r w:rsidRPr="0057370C">
        <w:rPr>
          <w:rFonts w:ascii="Sylfaen" w:hAnsi="Sylfaen"/>
          <w:spacing w:val="-6"/>
          <w:sz w:val="24"/>
          <w:szCs w:val="24"/>
        </w:rPr>
        <w:t>ա)</w:t>
      </w:r>
      <w:r w:rsidR="00D619EB" w:rsidRPr="0057370C">
        <w:rPr>
          <w:rFonts w:ascii="Sylfaen" w:hAnsi="Sylfaen"/>
          <w:spacing w:val="-6"/>
          <w:sz w:val="24"/>
          <w:szCs w:val="24"/>
        </w:rPr>
        <w:tab/>
      </w:r>
      <w:r w:rsidRPr="0057370C">
        <w:rPr>
          <w:rFonts w:ascii="Sylfaen" w:hAnsi="Sylfaen"/>
          <w:spacing w:val="-6"/>
          <w:sz w:val="24"/>
          <w:szCs w:val="24"/>
        </w:rPr>
        <w:t>1ս սխեմայի համար՝ արտադրողը</w:t>
      </w:r>
      <w:r w:rsidR="00CA27E3" w:rsidRPr="0057370C">
        <w:rPr>
          <w:rFonts w:ascii="Sylfaen" w:hAnsi="Sylfaen"/>
          <w:spacing w:val="-6"/>
          <w:sz w:val="24"/>
          <w:szCs w:val="24"/>
        </w:rPr>
        <w:t xml:space="preserve"> </w:t>
      </w:r>
      <w:r w:rsidRPr="0057370C">
        <w:rPr>
          <w:rFonts w:ascii="Sylfaen" w:hAnsi="Sylfaen"/>
          <w:spacing w:val="-6"/>
          <w:sz w:val="24"/>
          <w:szCs w:val="24"/>
        </w:rPr>
        <w:t>(արտադրողի կողմից լիազորված անձը).</w:t>
      </w:r>
    </w:p>
    <w:p w14:paraId="4B66F294" w14:textId="77777777" w:rsidR="00FD48C7" w:rsidRPr="00CA27E3" w:rsidRDefault="00BB04FF"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D619EB" w:rsidRPr="00D619EB">
        <w:rPr>
          <w:rFonts w:ascii="Sylfaen" w:hAnsi="Sylfaen"/>
          <w:sz w:val="24"/>
          <w:szCs w:val="24"/>
        </w:rPr>
        <w:tab/>
      </w:r>
      <w:r w:rsidRPr="00CA27E3">
        <w:rPr>
          <w:rFonts w:ascii="Sylfaen" w:hAnsi="Sylfaen"/>
          <w:sz w:val="24"/>
          <w:szCs w:val="24"/>
        </w:rPr>
        <w:t xml:space="preserve">3ս </w:t>
      </w:r>
      <w:r w:rsidR="00CA27E3">
        <w:rPr>
          <w:rFonts w:ascii="Sylfaen" w:hAnsi="Sylfaen"/>
          <w:sz w:val="24"/>
          <w:szCs w:val="24"/>
        </w:rPr>
        <w:t>եւ</w:t>
      </w:r>
      <w:r w:rsidRPr="00CA27E3">
        <w:rPr>
          <w:rFonts w:ascii="Sylfaen" w:hAnsi="Sylfaen"/>
          <w:sz w:val="24"/>
          <w:szCs w:val="24"/>
        </w:rPr>
        <w:t xml:space="preserve"> 4ս սխեմաների համար՝ արտադրողը (արտադրողի կողմից լիազորված անձը) կամ վաճառողը (ներմուծողը)։</w:t>
      </w:r>
    </w:p>
    <w:p w14:paraId="4774FD71" w14:textId="77777777" w:rsidR="00FD48C7" w:rsidRPr="00CA27E3" w:rsidRDefault="00060D28" w:rsidP="00D619EB">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22.</w:t>
      </w:r>
      <w:r w:rsidR="00D619EB" w:rsidRPr="00D619EB">
        <w:rPr>
          <w:rFonts w:ascii="Sylfaen" w:hAnsi="Sylfaen"/>
          <w:sz w:val="24"/>
          <w:szCs w:val="24"/>
        </w:rPr>
        <w:tab/>
      </w:r>
      <w:r w:rsidRPr="00CA27E3">
        <w:rPr>
          <w:rFonts w:ascii="Sylfaen" w:hAnsi="Sylfaen"/>
          <w:sz w:val="24"/>
          <w:szCs w:val="24"/>
        </w:rPr>
        <w:t>Սարքվածքի սերտիֆիկացումն անցկացնում է անդամ պետության՝ սարքվածքի սերտիֆիկացման հավատարմագրված մարմնի կողմից, որը ներառված է Միության՝ համապատասխանության գնահատման մարմինների միասնական ռեեստրում (այսուհետ՝ սերտիֆիկացման մարմին)։</w:t>
      </w:r>
    </w:p>
    <w:p w14:paraId="6E2BC48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Սարքվածքի նմուշների հետազոտությունները (փորձարկումները) եւ չափումները սերտիֆիկացման նպատակով անցկացվում են Միության</w:t>
      </w:r>
      <w:r w:rsidR="002F07D1" w:rsidRPr="00CA27E3">
        <w:rPr>
          <w:rFonts w:ascii="Sylfaen" w:hAnsi="Sylfaen"/>
          <w:sz w:val="24"/>
          <w:szCs w:val="24"/>
        </w:rPr>
        <w:t>՝</w:t>
      </w:r>
      <w:r w:rsidRPr="00CA27E3">
        <w:rPr>
          <w:rFonts w:ascii="Sylfaen" w:hAnsi="Sylfaen"/>
          <w:sz w:val="24"/>
          <w:szCs w:val="24"/>
        </w:rPr>
        <w:t xml:space="preserve"> համապատասխանության գնահատման մարմինների միասնական ռեեստրում ներառված՝ հավատարմագրված փորձարկման լաբորատորիայում (կենտրոնում) (այդ թվում՝ հայտատուի սեփական փորձարկման լաբորատորիայում) (այսուհետ՝ փորձարկման լաբորատորիա (կենտրոն))։</w:t>
      </w:r>
    </w:p>
    <w:p w14:paraId="2020094D"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23.</w:t>
      </w:r>
      <w:r w:rsidR="0057370C" w:rsidRPr="0057370C">
        <w:rPr>
          <w:rFonts w:ascii="Sylfaen" w:hAnsi="Sylfaen"/>
          <w:sz w:val="24"/>
          <w:szCs w:val="24"/>
        </w:rPr>
        <w:tab/>
      </w:r>
      <w:r w:rsidRPr="00CA27E3">
        <w:rPr>
          <w:rFonts w:ascii="Sylfaen" w:hAnsi="Sylfaen"/>
          <w:sz w:val="24"/>
          <w:szCs w:val="24"/>
        </w:rPr>
        <w:t>Սարքվածքի սերտիֆիկացման ժամանակ հայտատուն՝</w:t>
      </w:r>
    </w:p>
    <w:p w14:paraId="08118BBE"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57370C" w:rsidRPr="0057370C">
        <w:rPr>
          <w:rFonts w:ascii="Sylfaen" w:hAnsi="Sylfaen"/>
          <w:sz w:val="24"/>
          <w:szCs w:val="24"/>
        </w:rPr>
        <w:tab/>
      </w:r>
      <w:r w:rsidRPr="00CA27E3">
        <w:rPr>
          <w:rFonts w:ascii="Sylfaen" w:hAnsi="Sylfaen"/>
          <w:sz w:val="24"/>
          <w:szCs w:val="24"/>
        </w:rPr>
        <w:t xml:space="preserve">սերտիֆիկացման մարմին է ներկայացնում սերտիֆիկացման աշխատանքների անցկացման հայտը եւ սույն տեխնիկական կանոնակարգի պահանջներին սարքվածքի համապատասխանությունը հաստատող փաստաթղթերի փաթեթը, որը ներառում է՝ </w:t>
      </w:r>
    </w:p>
    <w:p w14:paraId="242AB76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այն փաստաթղթի</w:t>
      </w:r>
      <w:r w:rsidR="00CA27E3">
        <w:rPr>
          <w:rFonts w:ascii="Sylfaen" w:hAnsi="Sylfaen"/>
          <w:sz w:val="24"/>
          <w:szCs w:val="24"/>
        </w:rPr>
        <w:t xml:space="preserve"> </w:t>
      </w:r>
      <w:r w:rsidRPr="00CA27E3">
        <w:rPr>
          <w:rFonts w:ascii="Sylfaen" w:hAnsi="Sylfaen"/>
          <w:sz w:val="24"/>
          <w:szCs w:val="24"/>
        </w:rPr>
        <w:t>պատճենը, որը պարունակում է տեղեկություններ այն փաստաթղթի (փաստաթղթերի) անվանման ու նշագրի մասին, որին համապատասխան արտադրված է սարքվածքը (ստանդարտ, կազմակերպության ստանդարտ, տեխնիկական պայմաններ կամ այլ փաստաթուղթ) (առկայության դեպքում).</w:t>
      </w:r>
    </w:p>
    <w:p w14:paraId="15CB2A9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շահագործման փաստաթղթերի պատճենները.</w:t>
      </w:r>
    </w:p>
    <w:p w14:paraId="2E2E78F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մատակարարման պայմանագրի եւ ապրանքաուղեկից փաստաթղթերի պատճենները (3ս եւ 4ս սխեմաներ). </w:t>
      </w:r>
    </w:p>
    <w:p w14:paraId="47E4655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արտադրողի (այդ թվում՝ օտարերկրյա արտադրողի) հետ կնքված այն պայմանագրի պատճենը, որով նախատեսվում է տեխնիկական կանոնակարգի</w:t>
      </w:r>
      <w:r w:rsidR="00CA27E3">
        <w:rPr>
          <w:rFonts w:ascii="Sylfaen" w:hAnsi="Sylfaen"/>
          <w:sz w:val="24"/>
          <w:szCs w:val="24"/>
        </w:rPr>
        <w:t xml:space="preserve"> </w:t>
      </w:r>
      <w:r w:rsidRPr="00CA27E3">
        <w:rPr>
          <w:rFonts w:ascii="Sylfaen" w:hAnsi="Sylfaen"/>
          <w:sz w:val="24"/>
          <w:szCs w:val="24"/>
        </w:rPr>
        <w:t xml:space="preserve">պահանջներին Միության մաքսային տարածք մատակարարվող սարքվածքների համապատասխանության ապահովում </w:t>
      </w:r>
      <w:r w:rsidR="00CA27E3">
        <w:rPr>
          <w:rFonts w:ascii="Sylfaen" w:hAnsi="Sylfaen"/>
          <w:sz w:val="24"/>
          <w:szCs w:val="24"/>
        </w:rPr>
        <w:t>եւ</w:t>
      </w:r>
      <w:r w:rsidRPr="00CA27E3">
        <w:rPr>
          <w:rFonts w:ascii="Sylfaen" w:hAnsi="Sylfaen"/>
          <w:sz w:val="24"/>
          <w:szCs w:val="24"/>
        </w:rPr>
        <w:t xml:space="preserve"> նշված պահանջներին այդ սարքվածքների անհամապատասխանության համար պատասխանատվություն (արտադրողի կողմից լիազորված անձի համար) (1ս սխեմա)․</w:t>
      </w:r>
    </w:p>
    <w:p w14:paraId="201095DF" w14:textId="77777777" w:rsidR="00FD48C7" w:rsidRPr="00CA27E3" w:rsidRDefault="0061753D"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կառավարման համակարգերի սերտիֆիկացման մարմնի կողմից տրված՝ կառավարման համակարգի համապատասխանության այն սերտիֆիկատի պատճենը, որի գործողությունը տարածվում է սարքվածքի արտադրության վրա, եւ որով հաստատվում է արտադրողի կողմից</w:t>
      </w:r>
      <w:r w:rsidR="00BB04FF" w:rsidRPr="00CA27E3">
        <w:rPr>
          <w:rFonts w:ascii="Sylfaen" w:hAnsi="Sylfaen"/>
          <w:sz w:val="24"/>
          <w:szCs w:val="24"/>
        </w:rPr>
        <w:t xml:space="preserve"> ներդրված կառավարման համակարգի համապատասխանությունը համապատասխան ստանդարտի պահանջներին (1ս</w:t>
      </w:r>
      <w:r w:rsidR="0057370C" w:rsidRPr="0057370C">
        <w:rPr>
          <w:rFonts w:ascii="Sylfaen" w:hAnsi="Sylfaen"/>
          <w:sz w:val="24"/>
          <w:szCs w:val="24"/>
        </w:rPr>
        <w:t> </w:t>
      </w:r>
      <w:r w:rsidR="00BB04FF" w:rsidRPr="00CA27E3">
        <w:rPr>
          <w:rFonts w:ascii="Sylfaen" w:hAnsi="Sylfaen"/>
          <w:sz w:val="24"/>
          <w:szCs w:val="24"/>
        </w:rPr>
        <w:t xml:space="preserve">սխեմա). </w:t>
      </w:r>
    </w:p>
    <w:p w14:paraId="375248A1"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փաստաթուղթ, որը պարունակում է տեղեկություններ սարքվածքի հետազոտությունների (փորձարկումների) եւ չափումների մասին, որոնք անցկացվել են՝ հաստատելու համար դրա բնութագրերի եւ պարամետրերերի համապատասխանությունը սույն տեխնիկական կանոնակարգի համապատասխան հավելվածով սահմանված արժեքներին (առկայության դեպքում).</w:t>
      </w:r>
    </w:p>
    <w:p w14:paraId="6AB9204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անդամ պետության օրենսդրությանը համապատասխան՝ իրավաբանական անձի կամ որպես անհատ ձեռնարկատեր գրանցված ֆիզիկական անձի պետական գրանցման ժամանակ տրվող հայտատուի գրանցման կամ հաշվառման (անհատական, նույնականացման) համարի մասին տեղեկություններ.</w:t>
      </w:r>
    </w:p>
    <w:p w14:paraId="5B1925A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սույն տեխնիկական կանոնակարգի պահանջներին սարքվածքի համապատասխանությունը հաստատող այլ փաստաթղթեր (առկայության դեպքում). </w:t>
      </w:r>
    </w:p>
    <w:p w14:paraId="6EC759C7" w14:textId="77777777" w:rsidR="00FD48C7" w:rsidRPr="00CA27E3" w:rsidRDefault="00BB04FF" w:rsidP="0057370C">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lastRenderedPageBreak/>
        <w:t>բ)</w:t>
      </w:r>
      <w:r w:rsidR="0057370C" w:rsidRPr="0057370C">
        <w:rPr>
          <w:rFonts w:ascii="Sylfaen" w:hAnsi="Sylfaen"/>
          <w:sz w:val="24"/>
          <w:szCs w:val="24"/>
        </w:rPr>
        <w:tab/>
      </w:r>
      <w:r w:rsidRPr="00CA27E3">
        <w:rPr>
          <w:rFonts w:ascii="Sylfaen" w:hAnsi="Sylfaen"/>
          <w:sz w:val="24"/>
          <w:szCs w:val="24"/>
        </w:rPr>
        <w:t>անհրաժեշտ միջոցներ է ձեռնարկում արտադրության գործընթացի կայունությունը եւ սույն տեխնիկական կանոնակարգի պահանջներին արտադրվող սարքվածքների համապատասխանությունն ապահովելու համար (1ս</w:t>
      </w:r>
      <w:r w:rsidR="0057370C" w:rsidRPr="0057370C">
        <w:rPr>
          <w:rFonts w:ascii="Sylfaen" w:hAnsi="Sylfaen"/>
          <w:sz w:val="24"/>
          <w:szCs w:val="24"/>
        </w:rPr>
        <w:t> </w:t>
      </w:r>
      <w:r w:rsidRPr="00CA27E3">
        <w:rPr>
          <w:rFonts w:ascii="Sylfaen" w:hAnsi="Sylfaen"/>
          <w:sz w:val="24"/>
          <w:szCs w:val="24"/>
        </w:rPr>
        <w:t>սխեմա).</w:t>
      </w:r>
    </w:p>
    <w:p w14:paraId="70CC11C3" w14:textId="77777777" w:rsidR="00FD48C7" w:rsidRPr="00CA27E3" w:rsidRDefault="00BB04FF" w:rsidP="0057370C">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գ)</w:t>
      </w:r>
      <w:r w:rsidR="0057370C" w:rsidRPr="0057370C">
        <w:rPr>
          <w:rFonts w:ascii="Sylfaen" w:hAnsi="Sylfaen"/>
          <w:sz w:val="24"/>
          <w:szCs w:val="24"/>
        </w:rPr>
        <w:tab/>
      </w:r>
      <w:r w:rsidRPr="00CA27E3">
        <w:rPr>
          <w:rFonts w:ascii="Sylfaen" w:hAnsi="Sylfaen"/>
          <w:sz w:val="24"/>
          <w:szCs w:val="24"/>
        </w:rPr>
        <w:t>սերտիֆիկացման ընթացակարգն ավարտվելուց հետո զետեղում է Միության շուկայում արտադրանքի շրջանառության միասնական նշանը.</w:t>
      </w:r>
    </w:p>
    <w:p w14:paraId="5FD26A63" w14:textId="77777777" w:rsidR="00FD48C7" w:rsidRPr="00CA27E3" w:rsidRDefault="00BB04FF" w:rsidP="0057370C">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դ)</w:t>
      </w:r>
      <w:r w:rsidR="0057370C" w:rsidRPr="0057370C">
        <w:rPr>
          <w:rFonts w:ascii="Sylfaen" w:hAnsi="Sylfaen"/>
          <w:sz w:val="24"/>
          <w:szCs w:val="24"/>
        </w:rPr>
        <w:tab/>
      </w:r>
      <w:r w:rsidRPr="00CA27E3">
        <w:rPr>
          <w:rFonts w:ascii="Sylfaen" w:hAnsi="Sylfaen"/>
          <w:sz w:val="24"/>
          <w:szCs w:val="24"/>
        </w:rPr>
        <w:t>սերտիֆիկացման ընթացակարգն ավարտվելուց հետո ձեւավորում է հետեւյալ փաստաթղթերի փաթեթը՝</w:t>
      </w:r>
    </w:p>
    <w:p w14:paraId="26483E3E" w14:textId="77777777" w:rsidR="00FD48C7" w:rsidRPr="00CA27E3" w:rsidRDefault="00BB04FF" w:rsidP="0057370C">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սույն կետի «ա» ենթակետով նախատեսված փաստաթղթերը. </w:t>
      </w:r>
    </w:p>
    <w:p w14:paraId="3C88A80A" w14:textId="77777777" w:rsidR="00FD48C7" w:rsidRPr="00CA27E3" w:rsidRDefault="00BB04FF" w:rsidP="0057370C">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փորձարկման լաբորատորիայում (կենտրոնում) սարքվածքի նմուշների հետազոտությունների (փորձարկումների) եւ չափումների արձանագրությունը (արձանագրությունները).</w:t>
      </w:r>
    </w:p>
    <w:p w14:paraId="61A36777" w14:textId="77777777" w:rsidR="00FD48C7" w:rsidRPr="00CA27E3" w:rsidRDefault="00BB04FF" w:rsidP="0057370C">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արտադրության վիճակի վերլուծության ակտը (1ս սխեմա)․</w:t>
      </w:r>
    </w:p>
    <w:p w14:paraId="54C52648" w14:textId="77777777" w:rsidR="00FD48C7" w:rsidRPr="00CA27E3" w:rsidRDefault="00BB04FF" w:rsidP="0057370C">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համապատասխանության սերտիֆիկատը։</w:t>
      </w:r>
    </w:p>
    <w:p w14:paraId="2A5A8122" w14:textId="77777777" w:rsidR="00FD48C7" w:rsidRPr="00CA27E3" w:rsidRDefault="00060D28" w:rsidP="0057370C">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24.</w:t>
      </w:r>
      <w:r w:rsidR="0057370C" w:rsidRPr="0057370C">
        <w:rPr>
          <w:rFonts w:ascii="Sylfaen" w:hAnsi="Sylfaen"/>
          <w:sz w:val="24"/>
          <w:szCs w:val="24"/>
        </w:rPr>
        <w:tab/>
      </w:r>
      <w:r w:rsidRPr="00CA27E3">
        <w:rPr>
          <w:rFonts w:ascii="Sylfaen" w:hAnsi="Sylfaen"/>
          <w:sz w:val="24"/>
          <w:szCs w:val="24"/>
        </w:rPr>
        <w:t>Սարքվածքի սերտիֆիկացման ժամանակ սերտիֆիկացման մարմինը՝</w:t>
      </w:r>
    </w:p>
    <w:p w14:paraId="6D18BB2F" w14:textId="77777777" w:rsidR="00FD48C7" w:rsidRPr="00CA27E3" w:rsidRDefault="00BB04FF" w:rsidP="0057370C">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ա)</w:t>
      </w:r>
      <w:r w:rsidR="0057370C" w:rsidRPr="0057370C">
        <w:rPr>
          <w:rFonts w:ascii="Sylfaen" w:hAnsi="Sylfaen"/>
          <w:sz w:val="24"/>
          <w:szCs w:val="24"/>
        </w:rPr>
        <w:tab/>
      </w:r>
      <w:r w:rsidRPr="00CA27E3">
        <w:rPr>
          <w:rFonts w:ascii="Sylfaen" w:hAnsi="Sylfaen"/>
          <w:sz w:val="24"/>
          <w:szCs w:val="24"/>
        </w:rPr>
        <w:t xml:space="preserve">իրականացնում է </w:t>
      </w:r>
      <w:r w:rsidR="006F7D0E" w:rsidRPr="00CA27E3">
        <w:rPr>
          <w:rFonts w:ascii="Sylfaen" w:hAnsi="Sylfaen"/>
          <w:sz w:val="24"/>
          <w:szCs w:val="24"/>
        </w:rPr>
        <w:t>հայտ</w:t>
      </w:r>
      <w:r w:rsidRPr="00CA27E3">
        <w:rPr>
          <w:rFonts w:ascii="Sylfaen" w:hAnsi="Sylfaen"/>
          <w:sz w:val="24"/>
          <w:szCs w:val="24"/>
        </w:rPr>
        <w:t>ի ուսումնասիրումը եւ սերտիֆիկացում անցկացնելու վերաբերյալ որոշման ընդունումը.</w:t>
      </w:r>
    </w:p>
    <w:p w14:paraId="68D1DF00"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57370C" w:rsidRPr="0057370C">
        <w:rPr>
          <w:rFonts w:ascii="Sylfaen" w:hAnsi="Sylfaen"/>
          <w:sz w:val="24"/>
          <w:szCs w:val="24"/>
        </w:rPr>
        <w:tab/>
      </w:r>
      <w:r w:rsidRPr="00CA27E3">
        <w:rPr>
          <w:rFonts w:ascii="Sylfaen" w:hAnsi="Sylfaen"/>
          <w:sz w:val="24"/>
          <w:szCs w:val="24"/>
        </w:rPr>
        <w:t>հայտատուից վերցնում է սարքվածքի նմուշներ՝ հետազոտություններ (փորձարկումներ) եւ չափումներ անցկացնելու համար.</w:t>
      </w:r>
    </w:p>
    <w:p w14:paraId="5664F69D"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57370C" w:rsidRPr="0057370C">
        <w:rPr>
          <w:rFonts w:ascii="Sylfaen" w:hAnsi="Sylfaen"/>
          <w:sz w:val="24"/>
          <w:szCs w:val="24"/>
        </w:rPr>
        <w:tab/>
      </w:r>
      <w:r w:rsidRPr="00CA27E3">
        <w:rPr>
          <w:rFonts w:ascii="Sylfaen" w:hAnsi="Sylfaen"/>
          <w:sz w:val="24"/>
          <w:szCs w:val="24"/>
        </w:rPr>
        <w:t>սույն տեխնիկական կանոնակարգի III բաժնին համապատասխան՝ անցկացնում է սարքվածքի նույնականացում՝ սույն տեխնիկական կանոնակարգի համապատասխան հավելվածով սահմանված եւ շահագործման փաստաթղթերում նշված պարամետրերին դրա բնութագրերի համապատասխանությունը որոշելու միջոցով.</w:t>
      </w:r>
    </w:p>
    <w:p w14:paraId="7A55C949"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57370C" w:rsidRPr="0057370C">
        <w:rPr>
          <w:rFonts w:ascii="Sylfaen" w:hAnsi="Sylfaen"/>
          <w:sz w:val="24"/>
          <w:szCs w:val="24"/>
        </w:rPr>
        <w:tab/>
      </w:r>
      <w:r w:rsidRPr="00CA27E3">
        <w:rPr>
          <w:rFonts w:ascii="Sylfaen" w:hAnsi="Sylfaen"/>
          <w:sz w:val="24"/>
          <w:szCs w:val="24"/>
        </w:rPr>
        <w:t>կազմակերպում է փորձարկման լաբորատորիայում (կենտրոնում) սարքվածքի նմուշների հետազոտությունների (փորձարկումների) եւ չափումների անցկացումը.</w:t>
      </w:r>
    </w:p>
    <w:p w14:paraId="4817F712"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ե)</w:t>
      </w:r>
      <w:r w:rsidR="0057370C" w:rsidRPr="0057370C">
        <w:rPr>
          <w:rFonts w:ascii="Sylfaen" w:hAnsi="Sylfaen"/>
          <w:sz w:val="24"/>
          <w:szCs w:val="24"/>
        </w:rPr>
        <w:tab/>
      </w:r>
      <w:r w:rsidRPr="00CA27E3">
        <w:rPr>
          <w:rFonts w:ascii="Sylfaen" w:hAnsi="Sylfaen"/>
          <w:sz w:val="24"/>
          <w:szCs w:val="24"/>
        </w:rPr>
        <w:t>անցկացնում է արտադրողի մոտ արտադրության վիճակի վերլուծությունը (1ս սխեմա).</w:t>
      </w:r>
    </w:p>
    <w:p w14:paraId="5A6E49A0"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57370C" w:rsidRPr="0057370C">
        <w:rPr>
          <w:rFonts w:ascii="Sylfaen" w:hAnsi="Sylfaen"/>
          <w:sz w:val="24"/>
          <w:szCs w:val="24"/>
        </w:rPr>
        <w:tab/>
      </w:r>
      <w:r w:rsidRPr="00CA27E3">
        <w:rPr>
          <w:rFonts w:ascii="Sylfaen" w:hAnsi="Sylfaen"/>
          <w:sz w:val="24"/>
          <w:szCs w:val="24"/>
        </w:rPr>
        <w:t>ամփոփում է սարքվածքի նմուշների անցկացված հետազոտությունների (փորձարկումների) եւ չափումների, ին</w:t>
      </w:r>
      <w:r w:rsidR="0023317E" w:rsidRPr="00CA27E3">
        <w:rPr>
          <w:rFonts w:ascii="Sylfaen" w:hAnsi="Sylfaen"/>
          <w:sz w:val="24"/>
          <w:szCs w:val="24"/>
        </w:rPr>
        <w:t>չ</w:t>
      </w:r>
      <w:r w:rsidRPr="00CA27E3">
        <w:rPr>
          <w:rFonts w:ascii="Sylfaen" w:hAnsi="Sylfaen"/>
          <w:sz w:val="24"/>
          <w:szCs w:val="24"/>
        </w:rPr>
        <w:t>պես նաեւ արտադրության վիճակի վերլուծության արդյունքները (1ս սխեմա).</w:t>
      </w:r>
    </w:p>
    <w:p w14:paraId="540B6208"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է)</w:t>
      </w:r>
      <w:r w:rsidR="0057370C" w:rsidRPr="0057370C">
        <w:rPr>
          <w:rFonts w:ascii="Sylfaen" w:hAnsi="Sylfaen"/>
          <w:sz w:val="24"/>
          <w:szCs w:val="24"/>
        </w:rPr>
        <w:tab/>
      </w:r>
      <w:r w:rsidRPr="00CA27E3">
        <w:rPr>
          <w:rFonts w:ascii="Sylfaen" w:hAnsi="Sylfaen"/>
          <w:sz w:val="24"/>
          <w:szCs w:val="24"/>
        </w:rPr>
        <w:t xml:space="preserve">անցկացնում է սերտիֆիկացված սարքվածքի պարբերական գնահատում (տեսչական հսկողություն) 12 ամիսը 1 անգամ՝ համապատասխանության սերտիֆիկատի գործողության ամբողջ ժամկետի ընթացքում՝ փորձարկման լաբորատորիայում (կենտրոնում) սարքվածքների նմուշների հետազոտությունների (փորձարկումների) </w:t>
      </w:r>
      <w:r w:rsidR="0023317E" w:rsidRPr="00CA27E3">
        <w:rPr>
          <w:rFonts w:ascii="Sylfaen" w:hAnsi="Sylfaen"/>
          <w:sz w:val="24"/>
          <w:szCs w:val="24"/>
        </w:rPr>
        <w:t>ո</w:t>
      </w:r>
      <w:r w:rsidRPr="00CA27E3">
        <w:rPr>
          <w:rFonts w:ascii="Sylfaen" w:hAnsi="Sylfaen"/>
          <w:sz w:val="24"/>
          <w:szCs w:val="24"/>
        </w:rPr>
        <w:t>ւ չափումների եւ (կամ) արտադրության վիճակի վերլուծության միջոցով (1ս սխեմա).</w:t>
      </w:r>
      <w:r w:rsidR="00CA27E3">
        <w:rPr>
          <w:rFonts w:ascii="Sylfaen" w:hAnsi="Sylfaen"/>
          <w:sz w:val="24"/>
          <w:szCs w:val="24"/>
        </w:rPr>
        <w:t xml:space="preserve"> </w:t>
      </w:r>
    </w:p>
    <w:p w14:paraId="53BC9DC1"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ը)</w:t>
      </w:r>
      <w:r w:rsidR="0057370C" w:rsidRPr="0057370C">
        <w:rPr>
          <w:rFonts w:ascii="Sylfaen" w:hAnsi="Sylfaen"/>
          <w:sz w:val="24"/>
          <w:szCs w:val="24"/>
        </w:rPr>
        <w:tab/>
      </w:r>
      <w:r w:rsidRPr="00CA27E3">
        <w:rPr>
          <w:rFonts w:ascii="Sylfaen" w:hAnsi="Sylfaen"/>
          <w:sz w:val="24"/>
          <w:szCs w:val="24"/>
        </w:rPr>
        <w:t>սարքվածքների նմուշների հետազոտությունների (փորձարկումների) եւ չափումների, արտադրողի մոտ արտադրության վիճակի վերլուծության</w:t>
      </w:r>
      <w:r w:rsidR="0023317E" w:rsidRPr="00CA27E3">
        <w:rPr>
          <w:rFonts w:ascii="Sylfaen" w:hAnsi="Sylfaen"/>
          <w:sz w:val="24"/>
          <w:szCs w:val="24"/>
        </w:rPr>
        <w:t xml:space="preserve"> (1ս</w:t>
      </w:r>
      <w:r w:rsidR="0057370C" w:rsidRPr="0057370C">
        <w:rPr>
          <w:rFonts w:ascii="Sylfaen" w:hAnsi="Sylfaen"/>
          <w:sz w:val="24"/>
          <w:szCs w:val="24"/>
        </w:rPr>
        <w:t> </w:t>
      </w:r>
      <w:r w:rsidR="0023317E" w:rsidRPr="00CA27E3">
        <w:rPr>
          <w:rFonts w:ascii="Sylfaen" w:hAnsi="Sylfaen"/>
          <w:sz w:val="24"/>
          <w:szCs w:val="24"/>
        </w:rPr>
        <w:t>սխեմա)</w:t>
      </w:r>
      <w:r w:rsidRPr="00CA27E3">
        <w:rPr>
          <w:rFonts w:ascii="Sylfaen" w:hAnsi="Sylfaen"/>
          <w:sz w:val="24"/>
          <w:szCs w:val="24"/>
        </w:rPr>
        <w:t xml:space="preserve"> </w:t>
      </w:r>
      <w:r w:rsidR="00443961" w:rsidRPr="00CA27E3">
        <w:rPr>
          <w:rFonts w:ascii="Sylfaen" w:hAnsi="Sylfaen"/>
          <w:sz w:val="24"/>
          <w:szCs w:val="24"/>
        </w:rPr>
        <w:t>դրական արդյունքների դեպքում հայ</w:t>
      </w:r>
      <w:r w:rsidRPr="00CA27E3">
        <w:rPr>
          <w:rFonts w:ascii="Sylfaen" w:hAnsi="Sylfaen"/>
          <w:sz w:val="24"/>
          <w:szCs w:val="24"/>
        </w:rPr>
        <w:t>տատուին տրամադրում է Հանձնաժողովի կոլեգիայի 2012 թվականի դեկտեմբերի 25-ի թիվ 293 որոշմամբ հաստատված</w:t>
      </w:r>
      <w:r w:rsidR="004E151F" w:rsidRPr="00CA27E3">
        <w:rPr>
          <w:rFonts w:ascii="Sylfaen" w:hAnsi="Sylfaen"/>
          <w:sz w:val="24"/>
          <w:szCs w:val="24"/>
        </w:rPr>
        <w:t>`</w:t>
      </w:r>
      <w:r w:rsidRPr="00CA27E3">
        <w:rPr>
          <w:rFonts w:ascii="Sylfaen" w:hAnsi="Sylfaen"/>
          <w:sz w:val="24"/>
          <w:szCs w:val="24"/>
        </w:rPr>
        <w:t xml:space="preserve"> միասնական ձեւով կազմված համապատասխանության սերտիֆիկատ։</w:t>
      </w:r>
    </w:p>
    <w:p w14:paraId="05FCCE95"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25.</w:t>
      </w:r>
      <w:r w:rsidR="0057370C" w:rsidRPr="0057370C">
        <w:rPr>
          <w:rFonts w:ascii="Sylfaen" w:hAnsi="Sylfaen"/>
          <w:sz w:val="24"/>
          <w:szCs w:val="24"/>
        </w:rPr>
        <w:tab/>
      </w:r>
      <w:r w:rsidRPr="00CA27E3">
        <w:rPr>
          <w:rFonts w:ascii="Sylfaen" w:hAnsi="Sylfaen"/>
          <w:sz w:val="24"/>
          <w:szCs w:val="24"/>
        </w:rPr>
        <w:t>Սերիական թողարկման սարքվածքների համապատասխանության սերտիֆիկատի գործողության ժամկետը սահմանվում է՝ հաշվի առնելով սույն տեխնիկական կանոնակարգի համապատասխան հավելվածով սահմանված՝ էներգետիկ արդյունավետությանը ներկայացվող պահանջների գործողության սկզբի ժամկետները, սակայն չպետք է գերազանցի 5 տարին։</w:t>
      </w:r>
    </w:p>
    <w:p w14:paraId="4E8DD8F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Սարքվածքների խմբաքանակի (եզակի սարքվածքի) համար համապատասխանության սերտիֆիկատի գործողության ժամկետ չի սահմանվում:</w:t>
      </w:r>
    </w:p>
    <w:p w14:paraId="32C91D00"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26.</w:t>
      </w:r>
      <w:r w:rsidR="0057370C" w:rsidRPr="0057370C">
        <w:rPr>
          <w:rFonts w:ascii="Sylfaen" w:hAnsi="Sylfaen"/>
          <w:sz w:val="24"/>
          <w:szCs w:val="24"/>
        </w:rPr>
        <w:tab/>
      </w:r>
      <w:r w:rsidRPr="00CA27E3">
        <w:rPr>
          <w:rFonts w:ascii="Sylfaen" w:hAnsi="Sylfaen"/>
          <w:sz w:val="24"/>
          <w:szCs w:val="24"/>
        </w:rPr>
        <w:t>Սերիական թողարկման սարքվածքի համապատասխանության հայտարարագրումն իրականացվում է ըստ 1հ, 3հ եւ 6հ սխեմաների, սարքվածքների խմբաքանակի (եզակի սարքվածքի) համապատասխանության հայտարարագրումը՝ ըստ 2հ եւ 4հ սխեմաների։</w:t>
      </w:r>
    </w:p>
    <w:p w14:paraId="686A555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Սարքվածքի համապատասխանության հայտարա</w:t>
      </w:r>
      <w:r w:rsidR="00D67BDD" w:rsidRPr="00CA27E3">
        <w:rPr>
          <w:rFonts w:ascii="Sylfaen" w:hAnsi="Sylfaen"/>
          <w:sz w:val="24"/>
          <w:szCs w:val="24"/>
        </w:rPr>
        <w:t>րա</w:t>
      </w:r>
      <w:r w:rsidRPr="00CA27E3">
        <w:rPr>
          <w:rFonts w:ascii="Sylfaen" w:hAnsi="Sylfaen"/>
          <w:sz w:val="24"/>
          <w:szCs w:val="24"/>
        </w:rPr>
        <w:t>գրման ժամանակ հայտատու է համարվում՝</w:t>
      </w:r>
    </w:p>
    <w:p w14:paraId="52593B0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1հ, 3հ եւ 6հ սխեմաների համար՝ արտադրողը (արտադրողի կողմից լիազորված անձը).</w:t>
      </w:r>
    </w:p>
    <w:p w14:paraId="443B6E5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2հ </w:t>
      </w:r>
      <w:r w:rsidR="00CA27E3">
        <w:rPr>
          <w:rFonts w:ascii="Sylfaen" w:hAnsi="Sylfaen"/>
          <w:sz w:val="24"/>
          <w:szCs w:val="24"/>
        </w:rPr>
        <w:t>եւ</w:t>
      </w:r>
      <w:r w:rsidRPr="00CA27E3">
        <w:rPr>
          <w:rFonts w:ascii="Sylfaen" w:hAnsi="Sylfaen"/>
          <w:sz w:val="24"/>
          <w:szCs w:val="24"/>
        </w:rPr>
        <w:t xml:space="preserve"> 4հ սխեմաների համար՝ արտադրողը (արտադրողի կողմից լիազորված անձը), վաճառողը (ներմուծողը)։</w:t>
      </w:r>
    </w:p>
    <w:p w14:paraId="3705BD4D"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27.</w:t>
      </w:r>
      <w:r w:rsidR="0057370C" w:rsidRPr="0057370C">
        <w:rPr>
          <w:rFonts w:ascii="Sylfaen" w:hAnsi="Sylfaen"/>
          <w:sz w:val="24"/>
          <w:szCs w:val="24"/>
        </w:rPr>
        <w:tab/>
      </w:r>
      <w:r w:rsidRPr="00CA27E3">
        <w:rPr>
          <w:rFonts w:ascii="Sylfaen" w:hAnsi="Sylfaen"/>
          <w:sz w:val="24"/>
          <w:szCs w:val="24"/>
        </w:rPr>
        <w:t xml:space="preserve">1հ </w:t>
      </w:r>
      <w:r w:rsidR="00CA27E3">
        <w:rPr>
          <w:rFonts w:ascii="Sylfaen" w:hAnsi="Sylfaen"/>
          <w:sz w:val="24"/>
          <w:szCs w:val="24"/>
        </w:rPr>
        <w:t>եւ</w:t>
      </w:r>
      <w:r w:rsidRPr="00CA27E3">
        <w:rPr>
          <w:rFonts w:ascii="Sylfaen" w:hAnsi="Sylfaen"/>
          <w:sz w:val="24"/>
          <w:szCs w:val="24"/>
        </w:rPr>
        <w:t xml:space="preserve"> 2հ սխեմաներով սարքվածքի համապատասխանության հայտարարագրումը հայտատուի կողմից իրականացվում է սեփական ապացույցների հիման վրա։</w:t>
      </w:r>
    </w:p>
    <w:p w14:paraId="723C12CE" w14:textId="77777777" w:rsidR="00FD48C7" w:rsidRPr="00CA27E3" w:rsidRDefault="00BB04FF" w:rsidP="0057370C">
      <w:pPr>
        <w:pStyle w:val="BodyText1"/>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Սարքվածքի նմուշների հետազոտությունները (փորձարկումները) եւ չափումները հայտատուի ընտրությամբ անցկացվում են նրա սեփական փորձարկման լաբորատորիայում կամ փորձարկման լաբորատորիայում (կենտրոնում)։</w:t>
      </w:r>
    </w:p>
    <w:p w14:paraId="05AA4EE4" w14:textId="77777777" w:rsidR="00FD48C7" w:rsidRPr="00CA27E3" w:rsidRDefault="00BB04FF" w:rsidP="0057370C">
      <w:pPr>
        <w:pStyle w:val="BodyText1"/>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3հ, 4հ եւ 6հ սխեմաներով սարքվածքի համապատասխանության հայտարարագրումը հայտատուի կողմից իրականացվում է սեփական ապացույցների եւ փորձարկման լաբորատորիայում (կենտրոնում) անցկացված հետազոտությունների (փորձարկումների) եւ չափումների արդյունքում ստացված ապացույցների հիման վրա։</w:t>
      </w:r>
    </w:p>
    <w:p w14:paraId="71A14396" w14:textId="77777777" w:rsidR="00FD48C7" w:rsidRPr="00CA27E3" w:rsidRDefault="00060D28" w:rsidP="0057370C">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28.</w:t>
      </w:r>
      <w:r w:rsidR="0057370C" w:rsidRPr="0057370C">
        <w:rPr>
          <w:rFonts w:ascii="Sylfaen" w:hAnsi="Sylfaen"/>
          <w:sz w:val="24"/>
          <w:szCs w:val="24"/>
        </w:rPr>
        <w:tab/>
      </w:r>
      <w:r w:rsidRPr="00CA27E3">
        <w:rPr>
          <w:rFonts w:ascii="Sylfaen" w:hAnsi="Sylfaen"/>
          <w:sz w:val="24"/>
          <w:szCs w:val="24"/>
        </w:rPr>
        <w:t xml:space="preserve">1հ եւ 2հ սխեմաներով սարքվածքի համապատասխանության հայտարարագրման դեպքում հայտատուն՝ </w:t>
      </w:r>
    </w:p>
    <w:p w14:paraId="52AACBA0" w14:textId="77777777" w:rsidR="00FD48C7" w:rsidRPr="00CA27E3" w:rsidRDefault="00BB04FF" w:rsidP="0057370C">
      <w:pPr>
        <w:pStyle w:val="BodyText1"/>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ա)</w:t>
      </w:r>
      <w:r w:rsidR="0057370C" w:rsidRPr="0057370C">
        <w:rPr>
          <w:rFonts w:ascii="Sylfaen" w:hAnsi="Sylfaen"/>
          <w:sz w:val="24"/>
          <w:szCs w:val="24"/>
        </w:rPr>
        <w:tab/>
      </w:r>
      <w:r w:rsidRPr="00CA27E3">
        <w:rPr>
          <w:rFonts w:ascii="Sylfaen" w:hAnsi="Sylfaen"/>
          <w:sz w:val="24"/>
          <w:szCs w:val="24"/>
        </w:rPr>
        <w:t>ձ</w:t>
      </w:r>
      <w:r w:rsidR="00CA27E3">
        <w:rPr>
          <w:rFonts w:ascii="Sylfaen" w:hAnsi="Sylfaen"/>
          <w:sz w:val="24"/>
          <w:szCs w:val="24"/>
        </w:rPr>
        <w:t>եւ</w:t>
      </w:r>
      <w:r w:rsidRPr="00CA27E3">
        <w:rPr>
          <w:rFonts w:ascii="Sylfaen" w:hAnsi="Sylfaen"/>
          <w:sz w:val="24"/>
          <w:szCs w:val="24"/>
        </w:rPr>
        <w:t>ավորում է սույն տեխնիկական կանոնակարգի պահանջներին սարքվածքի համապատասխանությունը հաստատող փաստաթղթերի փաթեթ, որը ներառում է՝</w:t>
      </w:r>
    </w:p>
    <w:p w14:paraId="7D5295F5" w14:textId="77777777" w:rsidR="00FD48C7" w:rsidRPr="00CA27E3" w:rsidRDefault="00BB04FF" w:rsidP="0057370C">
      <w:pPr>
        <w:pStyle w:val="BodyText1"/>
        <w:shd w:val="clear" w:color="auto" w:fill="auto"/>
        <w:spacing w:after="160" w:line="350" w:lineRule="auto"/>
        <w:ind w:firstLine="567"/>
        <w:jc w:val="both"/>
        <w:rPr>
          <w:rFonts w:ascii="Sylfaen" w:hAnsi="Sylfaen" w:cs="Sylfaen"/>
          <w:sz w:val="24"/>
          <w:szCs w:val="24"/>
        </w:rPr>
      </w:pPr>
      <w:r w:rsidRPr="0057370C">
        <w:rPr>
          <w:rFonts w:ascii="Sylfaen" w:hAnsi="Sylfaen"/>
          <w:sz w:val="24"/>
          <w:szCs w:val="24"/>
        </w:rPr>
        <w:t>այն փաստաթղթի</w:t>
      </w:r>
      <w:r w:rsidR="00CA27E3" w:rsidRPr="0057370C">
        <w:rPr>
          <w:rFonts w:ascii="Sylfaen" w:hAnsi="Sylfaen"/>
          <w:sz w:val="24"/>
          <w:szCs w:val="24"/>
        </w:rPr>
        <w:t xml:space="preserve"> </w:t>
      </w:r>
      <w:r w:rsidRPr="0057370C">
        <w:rPr>
          <w:rFonts w:ascii="Sylfaen" w:hAnsi="Sylfaen"/>
          <w:sz w:val="24"/>
          <w:szCs w:val="24"/>
        </w:rPr>
        <w:t>պատճենը, որը պարունակում է տեղեկություններ այն փաստաթղթի (փաստաթղթերի) անվանման ու նշագրի մասին, որին համապատասխան արտադրված է սարքվածքը (ստանդարտ, կազմակերպության ստանդարտ, տեխնիկական պայմաններ կամ այլ փաստաթուղթ) (առկայության</w:t>
      </w:r>
      <w:r w:rsidRPr="00CA27E3">
        <w:rPr>
          <w:rFonts w:ascii="Sylfaen" w:hAnsi="Sylfaen"/>
          <w:sz w:val="24"/>
          <w:szCs w:val="24"/>
        </w:rPr>
        <w:t xml:space="preserve"> դեպքում).</w:t>
      </w:r>
    </w:p>
    <w:p w14:paraId="644FDA3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շահագործման փաստաթղթերի պատճենները.</w:t>
      </w:r>
    </w:p>
    <w:p w14:paraId="6673D79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հայտատուի սեփական փորձարկման լաբորատորիայում կամ փորձարկման լաբորատորիայում (կենտրոնում) անցկացված՝ սարքվածքի նմուշների հետազոտությունների (փորձարկումների) եւ չափումների արձանագրությունը (արձանագրությունները).</w:t>
      </w:r>
    </w:p>
    <w:p w14:paraId="05225A48"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մատակարարման պայմանագրի եւ ապրանքաուղեկից փաստաթղթերի պատճենները (2հ սխեմա).</w:t>
      </w:r>
    </w:p>
    <w:p w14:paraId="11EE25E5" w14:textId="77777777" w:rsidR="00FD48C7" w:rsidRPr="0057370C" w:rsidRDefault="00BB04FF" w:rsidP="00CA27E3">
      <w:pPr>
        <w:pStyle w:val="BodyText1"/>
        <w:shd w:val="clear" w:color="auto" w:fill="auto"/>
        <w:spacing w:after="160"/>
        <w:ind w:firstLine="567"/>
        <w:jc w:val="both"/>
        <w:rPr>
          <w:rFonts w:ascii="Sylfaen" w:hAnsi="Sylfaen" w:cs="Sylfaen"/>
          <w:spacing w:val="-6"/>
          <w:sz w:val="24"/>
          <w:szCs w:val="24"/>
        </w:rPr>
      </w:pPr>
      <w:r w:rsidRPr="00CA27E3">
        <w:rPr>
          <w:rFonts w:ascii="Sylfaen" w:hAnsi="Sylfaen"/>
          <w:sz w:val="24"/>
          <w:szCs w:val="24"/>
        </w:rPr>
        <w:t xml:space="preserve">արտադրողի (այդ թվում՝ օտարերկրյա արտադրողի) հետ կնքված այն պայմանագրի պատճենը, որով նախատեսվում է սույն տեխնիկական կանոնակարգի պահանջներին Միության մաքսային տարածք մատակարարվող սարքվածքների համապատասխանության ապահովումը </w:t>
      </w:r>
      <w:r w:rsidR="00CA27E3">
        <w:rPr>
          <w:rFonts w:ascii="Sylfaen" w:hAnsi="Sylfaen"/>
          <w:sz w:val="24"/>
          <w:szCs w:val="24"/>
        </w:rPr>
        <w:t>եւ</w:t>
      </w:r>
      <w:r w:rsidRPr="00CA27E3">
        <w:rPr>
          <w:rFonts w:ascii="Sylfaen" w:hAnsi="Sylfaen"/>
          <w:sz w:val="24"/>
          <w:szCs w:val="24"/>
        </w:rPr>
        <w:t xml:space="preserve"> նշված պահանջներին </w:t>
      </w:r>
      <w:r w:rsidRPr="0057370C">
        <w:rPr>
          <w:rFonts w:ascii="Sylfaen" w:hAnsi="Sylfaen"/>
          <w:spacing w:val="-6"/>
          <w:sz w:val="24"/>
          <w:szCs w:val="24"/>
        </w:rPr>
        <w:t>այդ սարքվածքների անհամապատասխանության համար պատասխանատվությունը (արտադրողի կողմից լիազորված անձի համար) (1հ</w:t>
      </w:r>
      <w:r w:rsidR="0057370C" w:rsidRPr="0057370C">
        <w:rPr>
          <w:rFonts w:ascii="Sylfaen" w:hAnsi="Sylfaen"/>
          <w:spacing w:val="-6"/>
          <w:sz w:val="24"/>
          <w:szCs w:val="24"/>
        </w:rPr>
        <w:t xml:space="preserve"> սխեմա)</w:t>
      </w:r>
    </w:p>
    <w:p w14:paraId="78307C5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սույն տեխնիկական կանոնակարգի պահանջներին սարքվածքի համապատասխանությունը հաստատող այլ փաստաթղթեր (առկայության դեպքում).</w:t>
      </w:r>
    </w:p>
    <w:p w14:paraId="771EC748"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57370C" w:rsidRPr="0057370C">
        <w:rPr>
          <w:rFonts w:ascii="Sylfaen" w:hAnsi="Sylfaen"/>
          <w:sz w:val="24"/>
          <w:szCs w:val="24"/>
        </w:rPr>
        <w:tab/>
      </w:r>
      <w:r w:rsidRPr="00CA27E3">
        <w:rPr>
          <w:rFonts w:ascii="Sylfaen" w:hAnsi="Sylfaen"/>
          <w:sz w:val="24"/>
          <w:szCs w:val="24"/>
        </w:rPr>
        <w:t>անցկացնում է սարքվածքի նույնականացում՝ սույն տեխնիկական կանոնակարգի III բաժնին համապատասխան.</w:t>
      </w:r>
    </w:p>
    <w:p w14:paraId="72CFFF7A"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57370C" w:rsidRPr="0057370C">
        <w:rPr>
          <w:rFonts w:ascii="Sylfaen" w:hAnsi="Sylfaen"/>
          <w:sz w:val="24"/>
          <w:szCs w:val="24"/>
        </w:rPr>
        <w:tab/>
      </w:r>
      <w:r w:rsidRPr="00CA27E3">
        <w:rPr>
          <w:rFonts w:ascii="Sylfaen" w:hAnsi="Sylfaen"/>
          <w:sz w:val="24"/>
          <w:szCs w:val="24"/>
        </w:rPr>
        <w:t xml:space="preserve">իրականացնում է արտադրական հսկողություն </w:t>
      </w:r>
      <w:r w:rsidR="00CA27E3">
        <w:rPr>
          <w:rFonts w:ascii="Sylfaen" w:hAnsi="Sylfaen"/>
          <w:sz w:val="24"/>
          <w:szCs w:val="24"/>
        </w:rPr>
        <w:t>եւ</w:t>
      </w:r>
      <w:r w:rsidRPr="00CA27E3">
        <w:rPr>
          <w:rFonts w:ascii="Sylfaen" w:hAnsi="Sylfaen"/>
          <w:sz w:val="24"/>
          <w:szCs w:val="24"/>
        </w:rPr>
        <w:t xml:space="preserve"> ձեռնարկում է անհրաժեշտ միջոցները, որպեսզի արտադրության գործընթացով ապահովվի սարքվածքի համապատասխանությունը սույն տեխնիկական կանոնակարգի պահանջներին (1հ սխեմա).</w:t>
      </w:r>
    </w:p>
    <w:p w14:paraId="3088E1EF"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57370C" w:rsidRPr="0057370C">
        <w:rPr>
          <w:rFonts w:ascii="Sylfaen" w:hAnsi="Sylfaen"/>
          <w:sz w:val="24"/>
          <w:szCs w:val="24"/>
        </w:rPr>
        <w:tab/>
      </w:r>
      <w:r w:rsidRPr="00CA27E3">
        <w:rPr>
          <w:rFonts w:ascii="Sylfaen" w:hAnsi="Sylfaen"/>
          <w:sz w:val="24"/>
          <w:szCs w:val="24"/>
        </w:rPr>
        <w:t xml:space="preserve">ընդունում է սույն տեխնիկական կանոնակարգի պահանջներին սարքվածքի համապատասխանության հայտարարագիրը՝ Հանձնաժողովի կոլեգիայի 2012 թվականի դեկտեմբերի 25-ի թիվ 293 որոշմամբ հաստատված միասնական ձեւով, եւ Միության շուկայում </w:t>
      </w:r>
      <w:r w:rsidR="002B7C53" w:rsidRPr="00CA27E3">
        <w:rPr>
          <w:rFonts w:ascii="Sylfaen" w:hAnsi="Sylfaen"/>
          <w:sz w:val="24"/>
          <w:szCs w:val="24"/>
        </w:rPr>
        <w:t xml:space="preserve">զետեղում է </w:t>
      </w:r>
      <w:r w:rsidRPr="00CA27E3">
        <w:rPr>
          <w:rFonts w:ascii="Sylfaen" w:hAnsi="Sylfaen"/>
          <w:sz w:val="24"/>
          <w:szCs w:val="24"/>
        </w:rPr>
        <w:t>արտադրանքի շրջանառության միասնական նշանը.</w:t>
      </w:r>
    </w:p>
    <w:p w14:paraId="0E5055FC"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ե)</w:t>
      </w:r>
      <w:r w:rsidR="0057370C" w:rsidRPr="0057370C">
        <w:rPr>
          <w:rFonts w:ascii="Sylfaen" w:hAnsi="Sylfaen"/>
          <w:sz w:val="24"/>
          <w:szCs w:val="24"/>
        </w:rPr>
        <w:tab/>
      </w:r>
      <w:r w:rsidRPr="00CA27E3">
        <w:rPr>
          <w:rFonts w:ascii="Sylfaen" w:hAnsi="Sylfaen"/>
          <w:sz w:val="24"/>
          <w:szCs w:val="24"/>
        </w:rPr>
        <w:t>համապատասխանության հայտարարագրման ընթացակարգն ավարտվելուց հետո սույն կետի «ա» ենթակետում նշված փաստաթղթերի փաթեթում ներառում է համապատասխանության հայտարարագիրը։</w:t>
      </w:r>
    </w:p>
    <w:p w14:paraId="3AFF54F4"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29.</w:t>
      </w:r>
      <w:r w:rsidR="0057370C" w:rsidRPr="0057370C">
        <w:rPr>
          <w:rFonts w:ascii="Sylfaen" w:hAnsi="Sylfaen"/>
          <w:sz w:val="24"/>
          <w:szCs w:val="24"/>
        </w:rPr>
        <w:tab/>
      </w:r>
      <w:r w:rsidRPr="00CA27E3">
        <w:rPr>
          <w:rFonts w:ascii="Sylfaen" w:hAnsi="Sylfaen"/>
          <w:sz w:val="24"/>
          <w:szCs w:val="24"/>
        </w:rPr>
        <w:t>3հ, 4հ եւ 6հ սխեմաներով սարքվածքի համապատասխանության հայտարարագրման դեպքում հայտատուն՝</w:t>
      </w:r>
    </w:p>
    <w:p w14:paraId="706AD527"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57370C" w:rsidRPr="0057370C">
        <w:rPr>
          <w:rFonts w:ascii="Sylfaen" w:hAnsi="Sylfaen"/>
          <w:sz w:val="24"/>
          <w:szCs w:val="24"/>
        </w:rPr>
        <w:tab/>
      </w:r>
      <w:r w:rsidRPr="00CA27E3">
        <w:rPr>
          <w:rFonts w:ascii="Sylfaen" w:hAnsi="Sylfaen"/>
          <w:sz w:val="24"/>
          <w:szCs w:val="24"/>
        </w:rPr>
        <w:t>ձեւավորում է փաստաթղթերի փաթեթ, որը ներառում է՝</w:t>
      </w:r>
    </w:p>
    <w:p w14:paraId="4D802211" w14:textId="77777777" w:rsidR="00FD48C7" w:rsidRPr="00CA27E3" w:rsidRDefault="00BB04FF" w:rsidP="0057370C">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այն փաստաթղթի</w:t>
      </w:r>
      <w:r w:rsidR="00CA27E3">
        <w:rPr>
          <w:rFonts w:ascii="Sylfaen" w:hAnsi="Sylfaen"/>
          <w:sz w:val="24"/>
          <w:szCs w:val="24"/>
        </w:rPr>
        <w:t xml:space="preserve"> </w:t>
      </w:r>
      <w:r w:rsidRPr="00CA27E3">
        <w:rPr>
          <w:rFonts w:ascii="Sylfaen" w:hAnsi="Sylfaen"/>
          <w:sz w:val="24"/>
          <w:szCs w:val="24"/>
        </w:rPr>
        <w:t>պատճենը, որը պարունակում է տեղեկություններ այն փաստաթղթի (փաստաթղթերի) անվանման ու նշագրի մասին, որին համապատասխան արտադրված է սարքվածքը (ստանդարտ, կազմակերպության ստանդարտ, տեխնիկական պայմաններ կամ այլ փաստաթուղթ) (առկայության դեպքում).</w:t>
      </w:r>
    </w:p>
    <w:p w14:paraId="47A7CB67" w14:textId="77777777" w:rsidR="00FD48C7" w:rsidRPr="00CA27E3" w:rsidRDefault="00BB04FF" w:rsidP="0057370C">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շահագործման փաստաթղթերի պատճենները.</w:t>
      </w:r>
    </w:p>
    <w:p w14:paraId="0B331779" w14:textId="77777777" w:rsidR="00FD48C7" w:rsidRPr="00CA27E3" w:rsidRDefault="00BB04FF" w:rsidP="0057370C">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մատակարարման պայմանագրի եւ ապրանքաուղեկից փաստաթղթերի պատճենները (4հ սխեմա).</w:t>
      </w:r>
    </w:p>
    <w:p w14:paraId="42182365" w14:textId="77777777" w:rsidR="00FD48C7" w:rsidRPr="00CA27E3" w:rsidRDefault="00BB04FF" w:rsidP="0057370C">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կառավարման համակարգի համապատասխանության սերտիֆիկատը (սերտիֆիկատի պատճենը) (6հ սխեմա).</w:t>
      </w:r>
    </w:p>
    <w:p w14:paraId="3312BA80" w14:textId="77777777" w:rsidR="00FD48C7" w:rsidRPr="00CA27E3" w:rsidRDefault="00BB04FF" w:rsidP="0057370C">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փաստաթուղթ, որը պարունակում է տեղեկություններ սարքվածքի հետազոտությունների (փորձարկումների) եւ չափումների մասին, որոնք անցկացվել են՝ հաստատելու համար դրա բնութագրերի եւ պարամետրերերի համապատասխանությունը սույն տեխնիկական կանոնակարգի համապատասխան հավելվածով սահմանված արժեքներին.</w:t>
      </w:r>
    </w:p>
    <w:p w14:paraId="70898E0C" w14:textId="77777777" w:rsidR="00FD48C7" w:rsidRPr="00CA27E3" w:rsidRDefault="00BB04FF" w:rsidP="0057370C">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սույն տեխնիկական կանոնակարգի պահանջներին սարքվածքի համապատասխանությունը հաստատող այլ փաստաթղթեր (առկայության դեպքում).</w:t>
      </w:r>
    </w:p>
    <w:p w14:paraId="681B627C" w14:textId="77777777" w:rsidR="0057370C" w:rsidRDefault="00BB04FF" w:rsidP="0057370C">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57370C" w:rsidRPr="0057370C">
        <w:rPr>
          <w:rFonts w:ascii="Sylfaen" w:hAnsi="Sylfaen"/>
          <w:sz w:val="24"/>
          <w:szCs w:val="24"/>
        </w:rPr>
        <w:tab/>
      </w:r>
      <w:r w:rsidRPr="00CA27E3">
        <w:rPr>
          <w:rFonts w:ascii="Sylfaen" w:hAnsi="Sylfaen"/>
          <w:sz w:val="24"/>
          <w:szCs w:val="24"/>
        </w:rPr>
        <w:t>անցկացնում է սարքվածքի նույնականացում՝ սույն տեխնիկական կանոնակարգի III բաժնին համապատասխան.</w:t>
      </w:r>
    </w:p>
    <w:p w14:paraId="7D9E2043" w14:textId="77777777" w:rsidR="0057370C" w:rsidRDefault="0057370C">
      <w:pPr>
        <w:rPr>
          <w:rFonts w:ascii="Sylfaen" w:eastAsia="Times New Roman" w:hAnsi="Sylfaen" w:cs="Times New Roman"/>
        </w:rPr>
      </w:pPr>
      <w:r>
        <w:rPr>
          <w:rFonts w:ascii="Sylfaen" w:hAnsi="Sylfaen"/>
        </w:rPr>
        <w:br w:type="page"/>
      </w:r>
    </w:p>
    <w:p w14:paraId="364895CA"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գ)</w:t>
      </w:r>
      <w:r w:rsidR="0057370C" w:rsidRPr="0057370C">
        <w:rPr>
          <w:rFonts w:ascii="Sylfaen" w:hAnsi="Sylfaen"/>
          <w:sz w:val="24"/>
          <w:szCs w:val="24"/>
        </w:rPr>
        <w:tab/>
      </w:r>
      <w:r w:rsidRPr="00CA27E3">
        <w:rPr>
          <w:rFonts w:ascii="Sylfaen" w:hAnsi="Sylfaen"/>
          <w:sz w:val="24"/>
          <w:szCs w:val="24"/>
        </w:rPr>
        <w:t>ապահովում է փորձարկման լաբորատորիայում (կենտրոնում) սարքվածքի հետազոտությունների (փորձարկումների) եւ չափումների անցկացումը.</w:t>
      </w:r>
    </w:p>
    <w:p w14:paraId="19A72C25"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57370C" w:rsidRPr="0057370C">
        <w:rPr>
          <w:rFonts w:ascii="Sylfaen" w:hAnsi="Sylfaen"/>
          <w:sz w:val="24"/>
          <w:szCs w:val="24"/>
        </w:rPr>
        <w:tab/>
      </w:r>
      <w:r w:rsidRPr="00CA27E3">
        <w:rPr>
          <w:rFonts w:ascii="Sylfaen" w:hAnsi="Sylfaen"/>
          <w:sz w:val="24"/>
          <w:szCs w:val="24"/>
        </w:rPr>
        <w:t>իրականացնում է արտադրական հսկողություն եւ ձեռնարկում է անհրաժեշտ միջոցներ, որպեսզի արտադրության գործընթացով ապահովվի սարքվածքի համապատասխանությունը սույն տեխ</w:t>
      </w:r>
      <w:r w:rsidR="00E608CC" w:rsidRPr="00CA27E3">
        <w:rPr>
          <w:rFonts w:ascii="Sylfaen" w:hAnsi="Sylfaen"/>
          <w:sz w:val="24"/>
          <w:szCs w:val="24"/>
        </w:rPr>
        <w:t>նիկական կանոնակարգի պահանջներին</w:t>
      </w:r>
      <w:r w:rsidRPr="00CA27E3">
        <w:rPr>
          <w:rFonts w:ascii="Sylfaen" w:hAnsi="Sylfaen"/>
          <w:sz w:val="24"/>
          <w:szCs w:val="24"/>
        </w:rPr>
        <w:t xml:space="preserve"> (3հ եւ 6հ սխեմաներ), ինպես նաեւ որակի կառավարման համակարգի գործունեությունն ապահովելու համար (6հ սխեմա).</w:t>
      </w:r>
    </w:p>
    <w:p w14:paraId="3D553F0A"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57370C" w:rsidRPr="0057370C">
        <w:rPr>
          <w:rFonts w:ascii="Sylfaen" w:hAnsi="Sylfaen"/>
          <w:sz w:val="24"/>
          <w:szCs w:val="24"/>
        </w:rPr>
        <w:tab/>
      </w:r>
      <w:r w:rsidRPr="00CA27E3">
        <w:rPr>
          <w:rFonts w:ascii="Sylfaen" w:hAnsi="Sylfaen"/>
          <w:sz w:val="24"/>
          <w:szCs w:val="24"/>
        </w:rPr>
        <w:t>ընդունում է սույն տեխնիկական կանոնակարգի պահանջներին սարքվածքի համապատասխանության հայտարարագիրը՝ Հանձնաժողովի կոլեգիայի 2012 թվականի դեկտեմբերի 25-ի թիվ 293 որոշմամբ հաստատված միասնական ձեւով, եւ զետեղում է Միության շուկայում արտադրանքի շրջանառության միասնական նշանը.</w:t>
      </w:r>
    </w:p>
    <w:p w14:paraId="0A6033EF"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57370C" w:rsidRPr="0057370C">
        <w:rPr>
          <w:rFonts w:ascii="Sylfaen" w:hAnsi="Sylfaen"/>
          <w:sz w:val="24"/>
          <w:szCs w:val="24"/>
        </w:rPr>
        <w:tab/>
      </w:r>
      <w:r w:rsidRPr="00CA27E3">
        <w:rPr>
          <w:rFonts w:ascii="Sylfaen" w:hAnsi="Sylfaen"/>
          <w:sz w:val="24"/>
          <w:szCs w:val="24"/>
        </w:rPr>
        <w:t>համապատասխանության հայտարարագրման ընթացակարգն ավարտվելուց հետո սույն կետի «ա» ենթակետում նշված փաստաթղթերի փաթեթում ներառում է փորձարկման լաբորատորիայում (կենտրոնում) անցկացված՝ սարքվածքի հետազոտությունների (փորձարկումների) եւ չափումների արձանագրությունը (արձանագրությունները) եւ համապատասխանության հայտարարագիրը։</w:t>
      </w:r>
    </w:p>
    <w:p w14:paraId="27B50E60"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30.</w:t>
      </w:r>
      <w:r w:rsidR="0057370C" w:rsidRPr="0057370C">
        <w:rPr>
          <w:rFonts w:ascii="Sylfaen" w:hAnsi="Sylfaen"/>
          <w:sz w:val="24"/>
          <w:szCs w:val="24"/>
        </w:rPr>
        <w:tab/>
      </w:r>
      <w:r w:rsidRPr="00CA27E3">
        <w:rPr>
          <w:rFonts w:ascii="Sylfaen" w:hAnsi="Sylfaen"/>
          <w:sz w:val="24"/>
          <w:szCs w:val="24"/>
        </w:rPr>
        <w:t xml:space="preserve">Համապատասխանության հայտարարագիրը ենթակա է գրանցման՝ Եվրասիական տնտեսական միության տեխնիկական կանոնակարգերի պահանջներին արտադրանքի համապատասխանության հայտարարագիրը գրանցելու, դրա գործողությունը կասեցնելու, վերականգնելու եւ դադարեցնելու </w:t>
      </w:r>
      <w:r w:rsidRPr="0057370C">
        <w:rPr>
          <w:rFonts w:ascii="Sylfaen" w:hAnsi="Sylfaen"/>
          <w:spacing w:val="-4"/>
          <w:sz w:val="24"/>
          <w:szCs w:val="24"/>
        </w:rPr>
        <w:t xml:space="preserve">կարգին համապատասխան՝ Հանձնաժողովի կոլեգիայի 2018 թվականի մարտի 20-ի թիվ 41 </w:t>
      </w:r>
      <w:r w:rsidR="003222DC" w:rsidRPr="0057370C">
        <w:rPr>
          <w:rFonts w:ascii="Sylfaen" w:hAnsi="Sylfaen"/>
          <w:spacing w:val="-4"/>
          <w:sz w:val="24"/>
          <w:szCs w:val="24"/>
        </w:rPr>
        <w:t>որոշմամբ</w:t>
      </w:r>
      <w:r w:rsidR="003222DC" w:rsidRPr="00CA27E3">
        <w:rPr>
          <w:rFonts w:ascii="Sylfaen" w:hAnsi="Sylfaen"/>
          <w:sz w:val="24"/>
          <w:szCs w:val="24"/>
        </w:rPr>
        <w:t xml:space="preserve"> հաստատված</w:t>
      </w:r>
      <w:r w:rsidR="004E151F" w:rsidRPr="00CA27E3">
        <w:rPr>
          <w:rFonts w:ascii="Sylfaen" w:hAnsi="Sylfaen"/>
          <w:sz w:val="24"/>
          <w:szCs w:val="24"/>
        </w:rPr>
        <w:t xml:space="preserve"> կարգով։</w:t>
      </w:r>
    </w:p>
    <w:p w14:paraId="67F53557"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31.</w:t>
      </w:r>
      <w:r w:rsidR="0057370C" w:rsidRPr="0057370C">
        <w:rPr>
          <w:rFonts w:ascii="Sylfaen" w:hAnsi="Sylfaen"/>
          <w:sz w:val="24"/>
          <w:szCs w:val="24"/>
        </w:rPr>
        <w:tab/>
      </w:r>
      <w:r w:rsidRPr="00CA27E3">
        <w:rPr>
          <w:rFonts w:ascii="Sylfaen" w:hAnsi="Sylfaen"/>
          <w:sz w:val="24"/>
          <w:szCs w:val="24"/>
        </w:rPr>
        <w:t xml:space="preserve">Սերիական թողարկման սարքվածքների համապատասխանության հայտարարագրի գործողության ժամկետը սահմանվում է՝ հաշվի առնելով սույն տեխնիկական կանոնակարգի համապատասխան հավելվածով սահմանված՝ </w:t>
      </w:r>
      <w:r w:rsidRPr="00CA27E3">
        <w:rPr>
          <w:rFonts w:ascii="Sylfaen" w:hAnsi="Sylfaen"/>
          <w:sz w:val="24"/>
          <w:szCs w:val="24"/>
        </w:rPr>
        <w:lastRenderedPageBreak/>
        <w:t>էներգետիկ արդյունավետությանը ներկայացվող պահանջների գործողության սկզբի ժամկետները, սակայն չպետք է գերազանցի 5 տարին։</w:t>
      </w:r>
    </w:p>
    <w:p w14:paraId="450C3AD9"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Սարքվածքների խմբաքանակի (եզակի սարքվածքի) համար համապատասխանության հայտարարագրի գործողության ժամկետ չի</w:t>
      </w:r>
      <w:r w:rsidR="0057370C" w:rsidRPr="0057370C">
        <w:rPr>
          <w:rFonts w:ascii="Sylfaen" w:hAnsi="Sylfaen"/>
          <w:sz w:val="24"/>
          <w:szCs w:val="24"/>
        </w:rPr>
        <w:t> </w:t>
      </w:r>
      <w:r w:rsidRPr="00CA27E3">
        <w:rPr>
          <w:rFonts w:ascii="Sylfaen" w:hAnsi="Sylfaen"/>
          <w:sz w:val="24"/>
          <w:szCs w:val="24"/>
        </w:rPr>
        <w:t>սահմանվում:</w:t>
      </w:r>
    </w:p>
    <w:p w14:paraId="013A746C"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32.</w:t>
      </w:r>
      <w:r w:rsidR="0057370C" w:rsidRPr="0057370C">
        <w:rPr>
          <w:rFonts w:ascii="Sylfaen" w:hAnsi="Sylfaen"/>
          <w:sz w:val="24"/>
          <w:szCs w:val="24"/>
        </w:rPr>
        <w:tab/>
      </w:r>
      <w:r w:rsidRPr="00CA27E3">
        <w:rPr>
          <w:rFonts w:ascii="Sylfaen" w:hAnsi="Sylfaen"/>
          <w:sz w:val="24"/>
          <w:szCs w:val="24"/>
        </w:rPr>
        <w:t>Սույն տեխնիկական կանոնակարգի պահանջներին սարքվածքի համապատասխանությունը հաստատվելուց հետո ձեւավորված փաստաթղթերի փաթեթը պահվում է հայտատուի մոտ՝ հետ</w:t>
      </w:r>
      <w:r w:rsidR="00CA27E3">
        <w:rPr>
          <w:rFonts w:ascii="Sylfaen" w:hAnsi="Sylfaen"/>
          <w:sz w:val="24"/>
          <w:szCs w:val="24"/>
        </w:rPr>
        <w:t>եւ</w:t>
      </w:r>
      <w:r w:rsidRPr="00CA27E3">
        <w:rPr>
          <w:rFonts w:ascii="Sylfaen" w:hAnsi="Sylfaen"/>
          <w:sz w:val="24"/>
          <w:szCs w:val="24"/>
        </w:rPr>
        <w:t xml:space="preserve">յալ ժամկետների ընթացքում՝ </w:t>
      </w:r>
    </w:p>
    <w:p w14:paraId="3A9101B1"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57370C" w:rsidRPr="0057370C">
        <w:rPr>
          <w:rFonts w:ascii="Sylfaen" w:hAnsi="Sylfaen"/>
          <w:sz w:val="24"/>
          <w:szCs w:val="24"/>
        </w:rPr>
        <w:tab/>
      </w:r>
      <w:r w:rsidRPr="00CA27E3">
        <w:rPr>
          <w:rFonts w:ascii="Sylfaen" w:hAnsi="Sylfaen"/>
          <w:sz w:val="24"/>
          <w:szCs w:val="24"/>
        </w:rPr>
        <w:t>սերիական թողարկման սարքվածք</w:t>
      </w:r>
      <w:r w:rsidR="005310D1" w:rsidRPr="00CA27E3">
        <w:rPr>
          <w:rFonts w:ascii="Sylfaen" w:hAnsi="Sylfaen"/>
          <w:sz w:val="24"/>
          <w:szCs w:val="24"/>
        </w:rPr>
        <w:t>ներ</w:t>
      </w:r>
      <w:r w:rsidRPr="00CA27E3">
        <w:rPr>
          <w:rFonts w:ascii="Sylfaen" w:hAnsi="Sylfaen"/>
          <w:sz w:val="24"/>
          <w:szCs w:val="24"/>
        </w:rPr>
        <w:t>ի համար՝ հա</w:t>
      </w:r>
      <w:r w:rsidR="002B7C53" w:rsidRPr="00CA27E3">
        <w:rPr>
          <w:rFonts w:ascii="Sylfaen" w:hAnsi="Sylfaen"/>
          <w:sz w:val="24"/>
          <w:szCs w:val="24"/>
        </w:rPr>
        <w:t>մա</w:t>
      </w:r>
      <w:r w:rsidRPr="00CA27E3">
        <w:rPr>
          <w:rFonts w:ascii="Sylfaen" w:hAnsi="Sylfaen"/>
          <w:sz w:val="24"/>
          <w:szCs w:val="24"/>
        </w:rPr>
        <w:t>պատասխանության հայտարարագրի կամ համապատասխանության սերտիֆիկատի գործողությունը դադարեցվելու օրվանից առնվազն 10 տարի.</w:t>
      </w:r>
    </w:p>
    <w:p w14:paraId="67FAAE74"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57370C" w:rsidRPr="0057370C">
        <w:rPr>
          <w:rFonts w:ascii="Sylfaen" w:hAnsi="Sylfaen"/>
          <w:sz w:val="24"/>
          <w:szCs w:val="24"/>
        </w:rPr>
        <w:tab/>
      </w:r>
      <w:r w:rsidRPr="00CA27E3">
        <w:rPr>
          <w:rFonts w:ascii="Sylfaen" w:hAnsi="Sylfaen"/>
          <w:sz w:val="24"/>
          <w:szCs w:val="24"/>
        </w:rPr>
        <w:t>սարքվածքների խմբաքանակի համար՝ խմբաքանակից վերջին սարքվածքի իրացման օրվանից առնվազն 10 տարի.</w:t>
      </w:r>
    </w:p>
    <w:p w14:paraId="17038491" w14:textId="77777777" w:rsidR="00FD48C7" w:rsidRPr="00CA27E3" w:rsidRDefault="00BB04FF"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57370C" w:rsidRPr="0057370C">
        <w:rPr>
          <w:rFonts w:ascii="Sylfaen" w:hAnsi="Sylfaen"/>
          <w:sz w:val="24"/>
          <w:szCs w:val="24"/>
        </w:rPr>
        <w:tab/>
      </w:r>
      <w:r w:rsidRPr="00CA27E3">
        <w:rPr>
          <w:rFonts w:ascii="Sylfaen" w:hAnsi="Sylfaen"/>
          <w:sz w:val="24"/>
          <w:szCs w:val="24"/>
        </w:rPr>
        <w:t>եզակի սարքվածքի համար՝ այդ սարքվածքի իրացման օրվանից առնվազն 10 տարվա ընթացքում։</w:t>
      </w:r>
    </w:p>
    <w:p w14:paraId="7D015BC7"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33.</w:t>
      </w:r>
      <w:r w:rsidR="0057370C" w:rsidRPr="0057370C">
        <w:rPr>
          <w:rFonts w:ascii="Sylfaen" w:hAnsi="Sylfaen"/>
          <w:sz w:val="24"/>
          <w:szCs w:val="24"/>
        </w:rPr>
        <w:tab/>
      </w:r>
      <w:r w:rsidRPr="00CA27E3">
        <w:rPr>
          <w:rFonts w:ascii="Sylfaen" w:hAnsi="Sylfaen"/>
          <w:sz w:val="24"/>
          <w:szCs w:val="24"/>
        </w:rPr>
        <w:t>Սարքվածքների մասով սույն տեխնիկական կանոնակարգի պահանջների կատարման նկատմամբ պետական հսկողությունը (վերահսկողությունը) իրականացվում է անդամ պետության օրենսդրությանը համապատասխան:</w:t>
      </w:r>
    </w:p>
    <w:p w14:paraId="382AEED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Սարքվածքները Միության մաքսային տարածքում շրջանառության մեջ դնելուց հետո հետազոտություններ (փորձարկումներ) եւ չափումներ անցկացնելիս դրանց էներգետիկ արդյունավետության պարամետրերի՝ սույն տեխնիկական կանոնակարգի թիվ 2-19 հավելվածներով նախատեսված թույլատրելի շեղումները չպետք է հայտատուների եւ սերտիֆիկացման մարմինների կողմից օգտագործվեն որպես չափանիշներ՝ սույն տեխնիկական կանոնակարգի պահանջներին սարքվածքների համապատասխանությունը հաստատելիս։</w:t>
      </w:r>
    </w:p>
    <w:p w14:paraId="62193FDD"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7DB3DCFE" w14:textId="77777777" w:rsidR="00FD48C7" w:rsidRPr="00CA27E3" w:rsidRDefault="00BB04FF" w:rsidP="0057370C">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VIII. Սարքվածքների մակնշումը Միության շուկայում </w:t>
      </w:r>
      <w:r w:rsidR="00BF7FB9" w:rsidRPr="00BF7FB9">
        <w:rPr>
          <w:rFonts w:ascii="Sylfaen" w:hAnsi="Sylfaen"/>
          <w:sz w:val="24"/>
          <w:szCs w:val="24"/>
        </w:rPr>
        <w:br/>
      </w:r>
      <w:r w:rsidRPr="00CA27E3">
        <w:rPr>
          <w:rFonts w:ascii="Sylfaen" w:hAnsi="Sylfaen"/>
          <w:sz w:val="24"/>
          <w:szCs w:val="24"/>
        </w:rPr>
        <w:t>արտադրանքի շրջանառության միասնական նշանով</w:t>
      </w:r>
    </w:p>
    <w:p w14:paraId="78320910"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34.</w:t>
      </w:r>
      <w:r w:rsidR="0057370C" w:rsidRPr="0057370C">
        <w:rPr>
          <w:rFonts w:ascii="Sylfaen" w:hAnsi="Sylfaen"/>
          <w:sz w:val="24"/>
          <w:szCs w:val="24"/>
        </w:rPr>
        <w:tab/>
      </w:r>
      <w:r w:rsidRPr="00CA27E3">
        <w:rPr>
          <w:rFonts w:ascii="Sylfaen" w:hAnsi="Sylfaen"/>
          <w:sz w:val="24"/>
          <w:szCs w:val="24"/>
        </w:rPr>
        <w:t>Սարքվածքը, որը համապատասխանում է սույն տեխնիկական կանոնակարգի պահանջներին, ինչպես նա</w:t>
      </w:r>
      <w:r w:rsidR="00CA27E3">
        <w:rPr>
          <w:rFonts w:ascii="Sylfaen" w:hAnsi="Sylfaen"/>
          <w:sz w:val="24"/>
          <w:szCs w:val="24"/>
        </w:rPr>
        <w:t>եւ</w:t>
      </w:r>
      <w:r w:rsidRPr="00CA27E3">
        <w:rPr>
          <w:rFonts w:ascii="Sylfaen" w:hAnsi="Sylfaen"/>
          <w:sz w:val="24"/>
          <w:szCs w:val="24"/>
        </w:rPr>
        <w:t xml:space="preserve"> Միության (Մաքսային միության) մյուս այն տեխնիկական կանոնակարգերի պահանջներին, որոնց գործողությունը տարածվում է դրա վրա, </w:t>
      </w:r>
      <w:r w:rsidR="00CA27E3">
        <w:rPr>
          <w:rFonts w:ascii="Sylfaen" w:hAnsi="Sylfaen"/>
          <w:sz w:val="24"/>
          <w:szCs w:val="24"/>
        </w:rPr>
        <w:t>եւ</w:t>
      </w:r>
      <w:r w:rsidRPr="00CA27E3">
        <w:rPr>
          <w:rFonts w:ascii="Sylfaen" w:hAnsi="Sylfaen"/>
          <w:sz w:val="24"/>
          <w:szCs w:val="24"/>
        </w:rPr>
        <w:t xml:space="preserve"> անցել է համապատասխանության հաստատման ընթացակարգը, մակնշվում է Միության շուկայում արտադրանքի շրջանառության միասնական նշանով։</w:t>
      </w:r>
    </w:p>
    <w:p w14:paraId="32929057"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35.</w:t>
      </w:r>
      <w:r w:rsidR="0057370C" w:rsidRPr="0057370C">
        <w:rPr>
          <w:rFonts w:ascii="Sylfaen" w:hAnsi="Sylfaen"/>
          <w:sz w:val="24"/>
          <w:szCs w:val="24"/>
        </w:rPr>
        <w:tab/>
      </w:r>
      <w:r w:rsidRPr="00CA27E3">
        <w:rPr>
          <w:rFonts w:ascii="Sylfaen" w:hAnsi="Sylfaen"/>
          <w:sz w:val="24"/>
          <w:szCs w:val="24"/>
        </w:rPr>
        <w:t>Միության շուկայում արտադրանքի շրջանառության միասնական նշանով մակնշումն իրականացվում է</w:t>
      </w:r>
      <w:r w:rsidR="00E30B04" w:rsidRPr="00CA27E3">
        <w:rPr>
          <w:rFonts w:ascii="Sylfaen" w:hAnsi="Sylfaen"/>
          <w:sz w:val="24"/>
          <w:szCs w:val="24"/>
        </w:rPr>
        <w:t>՝</w:t>
      </w:r>
      <w:r w:rsidRPr="00CA27E3">
        <w:rPr>
          <w:rFonts w:ascii="Sylfaen" w:hAnsi="Sylfaen"/>
          <w:sz w:val="24"/>
          <w:szCs w:val="24"/>
        </w:rPr>
        <w:t xml:space="preserve"> նախքան սարքվածքն այդ շուկայում շրջանառության մեջ դնելը։</w:t>
      </w:r>
    </w:p>
    <w:p w14:paraId="3BB8383E" w14:textId="77777777" w:rsidR="00FD48C7" w:rsidRPr="00CA27E3" w:rsidRDefault="00060D28" w:rsidP="0057370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36.</w:t>
      </w:r>
      <w:r w:rsidR="0057370C" w:rsidRPr="0057370C">
        <w:rPr>
          <w:rFonts w:ascii="Sylfaen" w:hAnsi="Sylfaen"/>
          <w:sz w:val="24"/>
          <w:szCs w:val="24"/>
        </w:rPr>
        <w:tab/>
      </w:r>
      <w:r w:rsidRPr="00CA27E3">
        <w:rPr>
          <w:rFonts w:ascii="Sylfaen" w:hAnsi="Sylfaen"/>
          <w:sz w:val="24"/>
          <w:szCs w:val="24"/>
        </w:rPr>
        <w:t xml:space="preserve">Միության շուկայում արտադրանքի շրջանառության միասնական նշանը զետեղվում է յուրաքանչյուր սարքվածքի վրա՝ սարքվածքի ծառայության ամբողջ ժամկետի ընթացքում հստակ </w:t>
      </w:r>
      <w:r w:rsidR="00CA27E3">
        <w:rPr>
          <w:rFonts w:ascii="Sylfaen" w:hAnsi="Sylfaen"/>
          <w:sz w:val="24"/>
          <w:szCs w:val="24"/>
        </w:rPr>
        <w:t>եւ</w:t>
      </w:r>
      <w:r w:rsidRPr="00CA27E3">
        <w:rPr>
          <w:rFonts w:ascii="Sylfaen" w:hAnsi="Sylfaen"/>
          <w:sz w:val="24"/>
          <w:szCs w:val="24"/>
        </w:rPr>
        <w:t xml:space="preserve"> պարզ պատկերումն ապահովող ցանկացած եղանակով, ինչպես նա</w:t>
      </w:r>
      <w:r w:rsidR="00CA27E3">
        <w:rPr>
          <w:rFonts w:ascii="Sylfaen" w:hAnsi="Sylfaen"/>
          <w:sz w:val="24"/>
          <w:szCs w:val="24"/>
        </w:rPr>
        <w:t>եւ</w:t>
      </w:r>
      <w:r w:rsidRPr="00CA27E3">
        <w:rPr>
          <w:rFonts w:ascii="Sylfaen" w:hAnsi="Sylfaen"/>
          <w:sz w:val="24"/>
          <w:szCs w:val="24"/>
        </w:rPr>
        <w:t xml:space="preserve"> բերվում է </w:t>
      </w:r>
      <w:r w:rsidR="003A58A3" w:rsidRPr="00CA27E3">
        <w:rPr>
          <w:rFonts w:ascii="Sylfaen" w:hAnsi="Sylfaen"/>
          <w:sz w:val="24"/>
          <w:szCs w:val="24"/>
        </w:rPr>
        <w:t>կ</w:t>
      </w:r>
      <w:r w:rsidRPr="00CA27E3">
        <w:rPr>
          <w:rFonts w:ascii="Sylfaen" w:hAnsi="Sylfaen"/>
          <w:sz w:val="24"/>
          <w:szCs w:val="24"/>
        </w:rPr>
        <w:t>ցվող շահագործման փաստաթղթերում։</w:t>
      </w:r>
    </w:p>
    <w:p w14:paraId="255265D0" w14:textId="77777777" w:rsidR="00FD48C7" w:rsidRPr="00DC5495" w:rsidRDefault="00BB04FF"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Թույլատրվում է Միության շուկայում արտադրանքի շրջանառության միասնական նշանը զետեղել սարքվածքի փաթեթվածքի վրա՝ անմիջականորեն սարքվածքի վրա դրա զետեղման անհնարինության դեպքում։</w:t>
      </w:r>
    </w:p>
    <w:p w14:paraId="65189462" w14:textId="77777777" w:rsidR="0057370C" w:rsidRPr="00DC5495" w:rsidRDefault="0057370C" w:rsidP="0057370C">
      <w:pPr>
        <w:pStyle w:val="BodyText1"/>
        <w:shd w:val="clear" w:color="auto" w:fill="auto"/>
        <w:spacing w:after="160"/>
        <w:ind w:firstLine="0"/>
        <w:jc w:val="center"/>
        <w:rPr>
          <w:rFonts w:ascii="Sylfaen" w:hAnsi="Sylfaen" w:cs="Sylfaen"/>
          <w:sz w:val="24"/>
          <w:szCs w:val="24"/>
        </w:rPr>
      </w:pPr>
      <w:r w:rsidRPr="00DC5495">
        <w:rPr>
          <w:rFonts w:ascii="Sylfaen" w:hAnsi="Sylfaen"/>
          <w:sz w:val="24"/>
          <w:szCs w:val="24"/>
        </w:rPr>
        <w:t>_______________</w:t>
      </w:r>
    </w:p>
    <w:p w14:paraId="7B0159CD" w14:textId="77777777" w:rsidR="0057370C" w:rsidRPr="00DC5495" w:rsidRDefault="0057370C" w:rsidP="00CA27E3">
      <w:pPr>
        <w:spacing w:after="160" w:line="360" w:lineRule="auto"/>
        <w:ind w:firstLine="567"/>
        <w:rPr>
          <w:rFonts w:ascii="Sylfaen" w:hAnsi="Sylfaen"/>
        </w:rPr>
      </w:pPr>
    </w:p>
    <w:p w14:paraId="7DDF0461" w14:textId="77777777" w:rsidR="0057370C" w:rsidRPr="00DC5495" w:rsidRDefault="0057370C" w:rsidP="00CA27E3">
      <w:pPr>
        <w:spacing w:after="160" w:line="360" w:lineRule="auto"/>
        <w:ind w:firstLine="567"/>
        <w:rPr>
          <w:rFonts w:ascii="Sylfaen" w:hAnsi="Sylfaen"/>
        </w:rPr>
        <w:sectPr w:rsidR="0057370C" w:rsidRPr="00DC5495" w:rsidSect="0027701C">
          <w:footerReference w:type="default" r:id="rId7"/>
          <w:pgSz w:w="11907" w:h="16840" w:code="9"/>
          <w:pgMar w:top="1135" w:right="1418" w:bottom="1418" w:left="1418" w:header="0" w:footer="539" w:gutter="0"/>
          <w:pgNumType w:start="1"/>
          <w:cols w:space="720"/>
          <w:noEndnote/>
          <w:titlePg/>
          <w:docGrid w:linePitch="360"/>
        </w:sectPr>
      </w:pPr>
    </w:p>
    <w:p w14:paraId="6FB807A1" w14:textId="77777777" w:rsidR="00FD48C7" w:rsidRPr="00CA27E3" w:rsidRDefault="00BB04FF" w:rsidP="00BF7FB9">
      <w:pPr>
        <w:pStyle w:val="BodyText1"/>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1</w:t>
      </w:r>
    </w:p>
    <w:p w14:paraId="02099837" w14:textId="77777777" w:rsidR="00FD48C7" w:rsidRPr="00DC5495" w:rsidRDefault="00BB04FF" w:rsidP="00BF7FB9">
      <w:pPr>
        <w:pStyle w:val="BodyText1"/>
        <w:shd w:val="clear" w:color="auto" w:fill="auto"/>
        <w:spacing w:after="160"/>
        <w:ind w:left="3969" w:firstLine="0"/>
        <w:jc w:val="center"/>
        <w:rPr>
          <w:rFonts w:ascii="Sylfaen" w:hAnsi="Sylfaen" w:cs="Sylfaen"/>
          <w:sz w:val="24"/>
          <w:szCs w:val="24"/>
        </w:rPr>
      </w:pPr>
      <w:r w:rsidRPr="00CA27E3">
        <w:rPr>
          <w:rFonts w:ascii="Sylfaen" w:hAnsi="Sylfaen"/>
          <w:sz w:val="24"/>
          <w:szCs w:val="24"/>
        </w:rPr>
        <w:t>«</w:t>
      </w:r>
      <w:r w:rsidR="00B82A38" w:rsidRPr="00CA27E3">
        <w:rPr>
          <w:rFonts w:ascii="Sylfaen" w:hAnsi="Sylfaen"/>
          <w:sz w:val="24"/>
          <w:szCs w:val="24"/>
        </w:rPr>
        <w:t xml:space="preserve">Էներգասպառող սարքվածքների </w:t>
      </w:r>
      <w:r w:rsidR="00054AD2" w:rsidRPr="00054AD2">
        <w:rPr>
          <w:rFonts w:ascii="Sylfaen" w:hAnsi="Sylfaen"/>
          <w:sz w:val="24"/>
          <w:szCs w:val="24"/>
        </w:rPr>
        <w:br/>
      </w:r>
      <w:r w:rsidR="00B82A38" w:rsidRPr="00CA27E3">
        <w:rPr>
          <w:rFonts w:ascii="Sylfaen" w:hAnsi="Sylfaen"/>
          <w:sz w:val="24"/>
          <w:szCs w:val="24"/>
        </w:rPr>
        <w:t>էներգետիկ արդյունավետությանը ներկայացվող պահանջների մասին</w:t>
      </w:r>
      <w:r w:rsidRPr="00CA27E3">
        <w:rPr>
          <w:rFonts w:ascii="Sylfaen" w:hAnsi="Sylfaen"/>
          <w:sz w:val="24"/>
          <w:szCs w:val="24"/>
        </w:rPr>
        <w:t xml:space="preserve">» Եվրասիական տնտեսական միության տեխնիկական կանոնակարգի </w:t>
      </w:r>
      <w:r w:rsidR="00054AD2" w:rsidRPr="00054AD2">
        <w:rPr>
          <w:rFonts w:ascii="Sylfaen" w:hAnsi="Sylfaen"/>
          <w:sz w:val="24"/>
          <w:szCs w:val="24"/>
        </w:rPr>
        <w:br/>
      </w:r>
      <w:r w:rsidRPr="00CA27E3">
        <w:rPr>
          <w:rFonts w:ascii="Sylfaen" w:hAnsi="Sylfaen"/>
          <w:sz w:val="24"/>
          <w:szCs w:val="24"/>
        </w:rPr>
        <w:t>(ԵԱՏՄ</w:t>
      </w:r>
      <w:r w:rsidR="005754A8" w:rsidRPr="00CA27E3">
        <w:rPr>
          <w:rFonts w:ascii="Sylfaen" w:hAnsi="Sylfaen"/>
          <w:sz w:val="24"/>
          <w:szCs w:val="24"/>
        </w:rPr>
        <w:t xml:space="preserve"> Տ</w:t>
      </w:r>
      <w:r w:rsidRPr="00CA27E3">
        <w:rPr>
          <w:rFonts w:ascii="Sylfaen" w:hAnsi="Sylfaen"/>
          <w:sz w:val="24"/>
          <w:szCs w:val="24"/>
        </w:rPr>
        <w:t>Կ</w:t>
      </w:r>
      <w:r w:rsidR="0057370C" w:rsidRPr="0057370C">
        <w:rPr>
          <w:rFonts w:ascii="Sylfaen" w:hAnsi="Sylfaen"/>
          <w:sz w:val="24"/>
          <w:szCs w:val="24"/>
        </w:rPr>
        <w:tab/>
      </w:r>
      <w:r w:rsidRPr="00CA27E3">
        <w:rPr>
          <w:rFonts w:ascii="Sylfaen" w:hAnsi="Sylfaen"/>
          <w:sz w:val="24"/>
          <w:szCs w:val="24"/>
        </w:rPr>
        <w:t>/20</w:t>
      </w:r>
      <w:r w:rsidR="0057370C" w:rsidRPr="00DC5495">
        <w:rPr>
          <w:rFonts w:ascii="Sylfaen" w:hAnsi="Sylfaen"/>
          <w:sz w:val="24"/>
          <w:szCs w:val="24"/>
        </w:rPr>
        <w:tab/>
      </w:r>
    </w:p>
    <w:p w14:paraId="452118AC" w14:textId="77777777" w:rsidR="004657BA" w:rsidRPr="00CA27E3" w:rsidRDefault="004657BA" w:rsidP="00CA27E3">
      <w:pPr>
        <w:pStyle w:val="BodyText1"/>
        <w:shd w:val="clear" w:color="auto" w:fill="auto"/>
        <w:spacing w:after="160"/>
        <w:ind w:left="4820" w:firstLine="0"/>
        <w:jc w:val="center"/>
        <w:rPr>
          <w:rFonts w:ascii="Sylfaen" w:hAnsi="Sylfaen" w:cs="Sylfaen"/>
          <w:sz w:val="24"/>
          <w:szCs w:val="24"/>
        </w:rPr>
      </w:pPr>
    </w:p>
    <w:p w14:paraId="21BC5C26" w14:textId="77777777" w:rsidR="004657BA" w:rsidRPr="00CA27E3" w:rsidRDefault="00BB04FF" w:rsidP="00BF7FB9">
      <w:pPr>
        <w:pStyle w:val="BodyText1"/>
        <w:shd w:val="clear" w:color="auto" w:fill="auto"/>
        <w:spacing w:after="160"/>
        <w:ind w:right="-1" w:firstLine="0"/>
        <w:jc w:val="center"/>
        <w:rPr>
          <w:rFonts w:ascii="Sylfaen" w:hAnsi="Sylfaen" w:cs="Sylfaen"/>
          <w:b/>
          <w:bCs/>
          <w:sz w:val="24"/>
          <w:szCs w:val="24"/>
        </w:rPr>
      </w:pPr>
      <w:r w:rsidRPr="00CA27E3">
        <w:rPr>
          <w:rFonts w:ascii="Sylfaen" w:hAnsi="Sylfaen"/>
          <w:b/>
          <w:sz w:val="24"/>
          <w:szCs w:val="24"/>
        </w:rPr>
        <w:t>ՑԱՆԿ</w:t>
      </w:r>
    </w:p>
    <w:p w14:paraId="5227EA3B" w14:textId="77777777" w:rsidR="00FD48C7" w:rsidRPr="00CA27E3" w:rsidRDefault="00BB04FF" w:rsidP="00BF7FB9">
      <w:pPr>
        <w:pStyle w:val="BodyText1"/>
        <w:shd w:val="clear" w:color="auto" w:fill="auto"/>
        <w:tabs>
          <w:tab w:val="left" w:pos="5529"/>
        </w:tabs>
        <w:spacing w:after="160"/>
        <w:ind w:right="-1" w:firstLine="0"/>
        <w:jc w:val="center"/>
        <w:rPr>
          <w:rFonts w:ascii="Sylfaen" w:hAnsi="Sylfaen" w:cs="Sylfaen"/>
          <w:b/>
          <w:bCs/>
          <w:sz w:val="24"/>
          <w:szCs w:val="24"/>
        </w:rPr>
      </w:pPr>
      <w:r w:rsidRPr="00CA27E3">
        <w:rPr>
          <w:rFonts w:ascii="Sylfaen" w:hAnsi="Sylfaen"/>
          <w:b/>
          <w:sz w:val="24"/>
          <w:szCs w:val="24"/>
        </w:rPr>
        <w:t xml:space="preserve">էներգասպառող սարքվածքների, որոնց վրա տարածվում է </w:t>
      </w:r>
      <w:r w:rsidR="00BF7FB9" w:rsidRPr="00BF7FB9">
        <w:rPr>
          <w:rFonts w:ascii="Sylfaen" w:hAnsi="Sylfaen"/>
          <w:b/>
          <w:sz w:val="24"/>
          <w:szCs w:val="24"/>
        </w:rPr>
        <w:br/>
      </w:r>
      <w:r w:rsidRPr="00CA27E3">
        <w:rPr>
          <w:rFonts w:ascii="Sylfaen" w:hAnsi="Sylfaen"/>
          <w:b/>
          <w:sz w:val="24"/>
          <w:szCs w:val="24"/>
        </w:rPr>
        <w:t xml:space="preserve">«Էներգասպառող սարքվածքների էներգետիկ արդյունավետությանը ներկայացվող պահանջների մասին» Եվրասիական տնտեսական միության </w:t>
      </w:r>
      <w:r w:rsidR="00BF7FB9" w:rsidRPr="00BF7FB9">
        <w:rPr>
          <w:rFonts w:ascii="Sylfaen" w:hAnsi="Sylfaen"/>
          <w:b/>
          <w:sz w:val="24"/>
          <w:szCs w:val="24"/>
        </w:rPr>
        <w:br/>
      </w:r>
      <w:r w:rsidRPr="00CA27E3">
        <w:rPr>
          <w:rFonts w:ascii="Sylfaen" w:hAnsi="Sylfaen"/>
          <w:b/>
          <w:sz w:val="24"/>
          <w:szCs w:val="24"/>
        </w:rPr>
        <w:t>տեխնիկական կանոնակարգի (ԵԱՏՄ ՏԿ</w:t>
      </w:r>
      <w:r w:rsidR="0007153C" w:rsidRPr="0007153C">
        <w:rPr>
          <w:rFonts w:ascii="Sylfaen" w:hAnsi="Sylfaen"/>
          <w:b/>
          <w:sz w:val="24"/>
          <w:szCs w:val="24"/>
        </w:rPr>
        <w:tab/>
      </w:r>
      <w:r w:rsidRPr="00CA27E3">
        <w:rPr>
          <w:rFonts w:ascii="Sylfaen" w:hAnsi="Sylfaen"/>
          <w:b/>
          <w:sz w:val="24"/>
          <w:szCs w:val="24"/>
        </w:rPr>
        <w:t>/20</w:t>
      </w:r>
      <w:r w:rsidR="0007153C" w:rsidRPr="0007153C">
        <w:rPr>
          <w:rFonts w:ascii="Sylfaen" w:hAnsi="Sylfaen"/>
          <w:b/>
          <w:sz w:val="24"/>
          <w:szCs w:val="24"/>
        </w:rPr>
        <w:tab/>
      </w:r>
      <w:r w:rsidRPr="00CA27E3">
        <w:rPr>
          <w:rFonts w:ascii="Sylfaen" w:hAnsi="Sylfaen"/>
          <w:b/>
          <w:sz w:val="24"/>
          <w:szCs w:val="24"/>
        </w:rPr>
        <w:t>) գործողությունը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6494"/>
        <w:gridCol w:w="3835"/>
      </w:tblGrid>
      <w:tr w:rsidR="00FD48C7" w:rsidRPr="00CA27E3" w14:paraId="3510E587" w14:textId="77777777" w:rsidTr="00CA27E3">
        <w:trPr>
          <w:tblHeader/>
          <w:jc w:val="center"/>
        </w:trPr>
        <w:tc>
          <w:tcPr>
            <w:tcW w:w="6494" w:type="dxa"/>
            <w:tcBorders>
              <w:top w:val="single" w:sz="4" w:space="0" w:color="auto"/>
              <w:left w:val="single" w:sz="4" w:space="0" w:color="auto"/>
            </w:tcBorders>
            <w:shd w:val="clear" w:color="auto" w:fill="FFFFFF"/>
            <w:vAlign w:val="center"/>
          </w:tcPr>
          <w:p w14:paraId="6051BDC3" w14:textId="77777777" w:rsidR="00FD48C7" w:rsidRPr="00CA27E3" w:rsidRDefault="00BB04FF" w:rsidP="00CA27E3">
            <w:pPr>
              <w:pStyle w:val="Other0"/>
              <w:shd w:val="clear" w:color="auto" w:fill="auto"/>
              <w:spacing w:after="120"/>
              <w:ind w:left="51" w:right="44"/>
              <w:rPr>
                <w:rFonts w:ascii="Sylfaen" w:hAnsi="Sylfaen" w:cs="Sylfaen"/>
                <w:sz w:val="20"/>
                <w:szCs w:val="20"/>
              </w:rPr>
            </w:pPr>
            <w:r w:rsidRPr="00CA27E3">
              <w:rPr>
                <w:rFonts w:ascii="Sylfaen" w:hAnsi="Sylfaen"/>
                <w:sz w:val="20"/>
                <w:szCs w:val="20"/>
              </w:rPr>
              <w:t>Էներգասպառող սարքվածքները</w:t>
            </w:r>
          </w:p>
        </w:tc>
        <w:tc>
          <w:tcPr>
            <w:tcW w:w="3835" w:type="dxa"/>
            <w:tcBorders>
              <w:top w:val="single" w:sz="4" w:space="0" w:color="auto"/>
              <w:left w:val="single" w:sz="4" w:space="0" w:color="auto"/>
              <w:right w:val="single" w:sz="4" w:space="0" w:color="auto"/>
            </w:tcBorders>
            <w:shd w:val="clear" w:color="auto" w:fill="FFFFFF"/>
            <w:vAlign w:val="bottom"/>
          </w:tcPr>
          <w:p w14:paraId="3AE9C3FF" w14:textId="77777777" w:rsidR="00FD48C7" w:rsidRPr="00CA27E3" w:rsidRDefault="00BB04FF" w:rsidP="00054AD2">
            <w:pPr>
              <w:pStyle w:val="Other0"/>
              <w:shd w:val="clear" w:color="auto" w:fill="auto"/>
              <w:spacing w:after="120"/>
              <w:ind w:right="192"/>
              <w:rPr>
                <w:rFonts w:ascii="Sylfaen" w:hAnsi="Sylfaen" w:cs="Sylfaen"/>
                <w:sz w:val="20"/>
                <w:szCs w:val="20"/>
              </w:rPr>
            </w:pPr>
            <w:r w:rsidRPr="00CA27E3">
              <w:rPr>
                <w:rFonts w:ascii="Sylfaen" w:hAnsi="Sylfaen"/>
                <w:sz w:val="20"/>
                <w:szCs w:val="20"/>
              </w:rPr>
              <w:t>Համապատասխանության հաստատման ձ</w:t>
            </w:r>
            <w:r w:rsidR="00CA27E3" w:rsidRPr="00CA27E3">
              <w:rPr>
                <w:rFonts w:ascii="Sylfaen" w:hAnsi="Sylfaen"/>
                <w:sz w:val="20"/>
                <w:szCs w:val="20"/>
              </w:rPr>
              <w:t>եւ</w:t>
            </w:r>
            <w:r w:rsidRPr="00CA27E3">
              <w:rPr>
                <w:rFonts w:ascii="Sylfaen" w:hAnsi="Sylfaen"/>
                <w:sz w:val="20"/>
                <w:szCs w:val="20"/>
              </w:rPr>
              <w:t>ը</w:t>
            </w:r>
          </w:p>
        </w:tc>
      </w:tr>
      <w:tr w:rsidR="00FD48C7" w:rsidRPr="00CA27E3" w14:paraId="4026EBB6" w14:textId="77777777" w:rsidTr="0007153C">
        <w:trPr>
          <w:trHeight w:val="1534"/>
          <w:jc w:val="center"/>
        </w:trPr>
        <w:tc>
          <w:tcPr>
            <w:tcW w:w="6494" w:type="dxa"/>
            <w:tcBorders>
              <w:top w:val="single" w:sz="4" w:space="0" w:color="auto"/>
            </w:tcBorders>
            <w:shd w:val="clear" w:color="auto" w:fill="FFFFFF"/>
            <w:vAlign w:val="bottom"/>
          </w:tcPr>
          <w:p w14:paraId="6442485A" w14:textId="77777777" w:rsidR="00FD48C7" w:rsidRPr="00CA27E3" w:rsidRDefault="00BB04FF" w:rsidP="0007153C">
            <w:pPr>
              <w:pStyle w:val="Other0"/>
              <w:shd w:val="clear" w:color="auto" w:fill="auto"/>
              <w:tabs>
                <w:tab w:val="left" w:pos="423"/>
              </w:tabs>
              <w:spacing w:after="120"/>
              <w:ind w:left="51" w:right="44"/>
              <w:jc w:val="left"/>
              <w:rPr>
                <w:rFonts w:ascii="Sylfaen" w:hAnsi="Sylfaen" w:cs="Sylfaen"/>
                <w:sz w:val="20"/>
                <w:szCs w:val="20"/>
              </w:rPr>
            </w:pPr>
            <w:r w:rsidRPr="00CA27E3">
              <w:rPr>
                <w:rFonts w:ascii="Sylfaen" w:hAnsi="Sylfaen"/>
                <w:sz w:val="20"/>
                <w:szCs w:val="20"/>
              </w:rPr>
              <w:t>1.</w:t>
            </w:r>
            <w:r w:rsidR="0007153C" w:rsidRPr="0007153C">
              <w:rPr>
                <w:rFonts w:ascii="Sylfaen" w:hAnsi="Sylfaen"/>
                <w:sz w:val="20"/>
                <w:szCs w:val="20"/>
              </w:rPr>
              <w:tab/>
            </w:r>
            <w:r w:rsidRPr="00CA27E3">
              <w:rPr>
                <w:rFonts w:ascii="Sylfaen" w:hAnsi="Sylfaen"/>
                <w:sz w:val="20"/>
                <w:szCs w:val="20"/>
              </w:rPr>
              <w:t>«Էներգասպառող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CA27E3" w:rsidRPr="00CA27E3">
              <w:rPr>
                <w:rFonts w:ascii="Sylfaen" w:hAnsi="Sylfaen"/>
                <w:sz w:val="20"/>
                <w:szCs w:val="20"/>
              </w:rPr>
              <w:t xml:space="preserve"> </w:t>
            </w:r>
            <w:r w:rsidR="0007153C" w:rsidRPr="0007153C">
              <w:rPr>
                <w:rFonts w:ascii="Sylfaen" w:hAnsi="Sylfaen"/>
                <w:sz w:val="20"/>
                <w:szCs w:val="20"/>
              </w:rPr>
              <w:tab/>
            </w:r>
            <w:r w:rsidRPr="00CA27E3">
              <w:rPr>
                <w:rFonts w:ascii="Sylfaen" w:hAnsi="Sylfaen"/>
                <w:sz w:val="20"/>
                <w:szCs w:val="20"/>
              </w:rPr>
              <w:t>/20</w:t>
            </w:r>
            <w:r w:rsidR="00CA27E3" w:rsidRPr="00CA27E3">
              <w:rPr>
                <w:rFonts w:ascii="Sylfaen" w:hAnsi="Sylfaen"/>
                <w:sz w:val="20"/>
                <w:szCs w:val="20"/>
              </w:rPr>
              <w:t xml:space="preserve"> </w:t>
            </w:r>
            <w:r w:rsidR="0007153C" w:rsidRPr="0007153C">
              <w:rPr>
                <w:rFonts w:ascii="Sylfaen" w:hAnsi="Sylfaen"/>
                <w:sz w:val="20"/>
                <w:szCs w:val="20"/>
              </w:rPr>
              <w:tab/>
            </w:r>
            <w:r w:rsidRPr="00CA27E3">
              <w:rPr>
                <w:rFonts w:ascii="Sylfaen" w:hAnsi="Sylfaen"/>
                <w:sz w:val="20"/>
                <w:szCs w:val="20"/>
              </w:rPr>
              <w:t>(այսուհետ՝ տեխնիկական կանոնակարգ) թիվ</w:t>
            </w:r>
            <w:r w:rsidR="0007153C" w:rsidRPr="0007153C">
              <w:rPr>
                <w:rFonts w:ascii="Sylfaen" w:hAnsi="Sylfaen"/>
                <w:sz w:val="20"/>
                <w:szCs w:val="20"/>
              </w:rPr>
              <w:t> </w:t>
            </w:r>
            <w:r w:rsidRPr="00CA27E3">
              <w:rPr>
                <w:rFonts w:ascii="Sylfaen" w:hAnsi="Sylfaen"/>
                <w:sz w:val="20"/>
                <w:szCs w:val="20"/>
              </w:rPr>
              <w:t>2 հավելվածի 1-ին կետում նշված սառնարանային սարքեր</w:t>
            </w:r>
          </w:p>
        </w:tc>
        <w:tc>
          <w:tcPr>
            <w:tcW w:w="3835" w:type="dxa"/>
            <w:tcBorders>
              <w:top w:val="single" w:sz="4" w:space="0" w:color="auto"/>
            </w:tcBorders>
            <w:shd w:val="clear" w:color="auto" w:fill="FFFFFF"/>
          </w:tcPr>
          <w:p w14:paraId="5DDE9C8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10D33F26" w14:textId="77777777" w:rsidTr="0007153C">
        <w:trPr>
          <w:trHeight w:val="715"/>
          <w:jc w:val="center"/>
        </w:trPr>
        <w:tc>
          <w:tcPr>
            <w:tcW w:w="6494" w:type="dxa"/>
            <w:shd w:val="clear" w:color="auto" w:fill="FFFFFF"/>
          </w:tcPr>
          <w:p w14:paraId="302D7FB5" w14:textId="77777777" w:rsidR="00FD48C7" w:rsidRPr="00CA27E3" w:rsidRDefault="00BB04FF" w:rsidP="0007153C">
            <w:pPr>
              <w:pStyle w:val="Other0"/>
              <w:shd w:val="clear" w:color="auto" w:fill="auto"/>
              <w:tabs>
                <w:tab w:val="left" w:pos="423"/>
              </w:tabs>
              <w:spacing w:after="120"/>
              <w:ind w:left="51" w:right="44"/>
              <w:jc w:val="left"/>
              <w:rPr>
                <w:rFonts w:ascii="Sylfaen" w:hAnsi="Sylfaen" w:cs="Sylfaen"/>
                <w:sz w:val="20"/>
                <w:szCs w:val="20"/>
              </w:rPr>
            </w:pPr>
            <w:r w:rsidRPr="00CA27E3">
              <w:rPr>
                <w:rFonts w:ascii="Sylfaen" w:hAnsi="Sylfaen"/>
                <w:sz w:val="20"/>
                <w:szCs w:val="20"/>
              </w:rPr>
              <w:t>2.</w:t>
            </w:r>
            <w:r w:rsidR="0007153C" w:rsidRPr="0007153C">
              <w:rPr>
                <w:rFonts w:ascii="Sylfaen" w:hAnsi="Sylfaen"/>
                <w:sz w:val="20"/>
                <w:szCs w:val="20"/>
              </w:rPr>
              <w:tab/>
            </w:r>
            <w:r w:rsidRPr="00CA27E3">
              <w:rPr>
                <w:rFonts w:ascii="Sylfaen" w:hAnsi="Sylfaen"/>
                <w:sz w:val="20"/>
                <w:szCs w:val="20"/>
              </w:rPr>
              <w:t>Տեխնիկական կանոնակարգի թիվ 3 հավելվածի 1-ին կետում նշված էլեկտրական շարժիչներ՝ ասինխրոն</w:t>
            </w:r>
          </w:p>
        </w:tc>
        <w:tc>
          <w:tcPr>
            <w:tcW w:w="3835" w:type="dxa"/>
            <w:shd w:val="clear" w:color="auto" w:fill="FFFFFF"/>
          </w:tcPr>
          <w:p w14:paraId="5C890D6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343B06E3" w14:textId="77777777" w:rsidTr="0007153C">
        <w:trPr>
          <w:trHeight w:val="698"/>
          <w:jc w:val="center"/>
        </w:trPr>
        <w:tc>
          <w:tcPr>
            <w:tcW w:w="6494" w:type="dxa"/>
            <w:shd w:val="clear" w:color="auto" w:fill="FFFFFF"/>
          </w:tcPr>
          <w:p w14:paraId="132A406B" w14:textId="77777777" w:rsidR="00FD48C7" w:rsidRPr="00CA27E3" w:rsidRDefault="00BB04FF" w:rsidP="0007153C">
            <w:pPr>
              <w:pStyle w:val="Other0"/>
              <w:shd w:val="clear" w:color="auto" w:fill="auto"/>
              <w:tabs>
                <w:tab w:val="left" w:pos="423"/>
              </w:tabs>
              <w:spacing w:after="120"/>
              <w:ind w:left="51" w:right="44"/>
              <w:jc w:val="left"/>
              <w:rPr>
                <w:rFonts w:ascii="Sylfaen" w:hAnsi="Sylfaen" w:cs="Sylfaen"/>
                <w:sz w:val="20"/>
                <w:szCs w:val="20"/>
              </w:rPr>
            </w:pPr>
            <w:r w:rsidRPr="00CA27E3">
              <w:rPr>
                <w:rFonts w:ascii="Sylfaen" w:hAnsi="Sylfaen"/>
                <w:sz w:val="20"/>
                <w:szCs w:val="20"/>
              </w:rPr>
              <w:t>3.</w:t>
            </w:r>
            <w:r w:rsidR="0007153C" w:rsidRPr="0007153C">
              <w:rPr>
                <w:rFonts w:ascii="Sylfaen" w:hAnsi="Sylfaen"/>
                <w:sz w:val="20"/>
                <w:szCs w:val="20"/>
              </w:rPr>
              <w:tab/>
            </w:r>
            <w:r w:rsidRPr="00CA27E3">
              <w:rPr>
                <w:rFonts w:ascii="Sylfaen" w:hAnsi="Sylfaen"/>
                <w:sz w:val="20"/>
                <w:szCs w:val="20"/>
              </w:rPr>
              <w:t>Տեխնիկական կանոնակարգի թիվ 4 հավելվածի 1-ին կետում նշված հեռուստացույցներ</w:t>
            </w:r>
          </w:p>
        </w:tc>
        <w:tc>
          <w:tcPr>
            <w:tcW w:w="3835" w:type="dxa"/>
            <w:shd w:val="clear" w:color="auto" w:fill="FFFFFF"/>
          </w:tcPr>
          <w:p w14:paraId="56F5F16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5F944E7C" w14:textId="77777777" w:rsidTr="00CA27E3">
        <w:trPr>
          <w:jc w:val="center"/>
        </w:trPr>
        <w:tc>
          <w:tcPr>
            <w:tcW w:w="6494" w:type="dxa"/>
            <w:shd w:val="clear" w:color="auto" w:fill="FFFFFF"/>
          </w:tcPr>
          <w:p w14:paraId="5783FFB7"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4.</w:t>
            </w:r>
            <w:r w:rsidR="0007153C" w:rsidRPr="0007153C">
              <w:rPr>
                <w:rFonts w:ascii="Sylfaen" w:hAnsi="Sylfaen"/>
                <w:sz w:val="20"/>
                <w:szCs w:val="20"/>
              </w:rPr>
              <w:tab/>
            </w:r>
            <w:r w:rsidRPr="00CA27E3">
              <w:rPr>
                <w:rFonts w:ascii="Sylfaen" w:hAnsi="Sylfaen"/>
                <w:sz w:val="20"/>
                <w:szCs w:val="20"/>
              </w:rPr>
              <w:t xml:space="preserve">Տեխնիկական կանոնակարգի թիվ 5 հավելվածի 1-ին կետում նշված կենցաղային եւ գրասենյակային էլեկտրական սարքավորումներ՝ սպասման եւ </w:t>
            </w:r>
            <w:r w:rsidR="004E151F" w:rsidRPr="00CA27E3">
              <w:rPr>
                <w:rFonts w:ascii="Sylfaen" w:hAnsi="Sylfaen"/>
                <w:sz w:val="20"/>
                <w:szCs w:val="20"/>
              </w:rPr>
              <w:t>վերաակտիվացման</w:t>
            </w:r>
            <w:r w:rsidRPr="00CA27E3">
              <w:rPr>
                <w:rFonts w:ascii="Sylfaen" w:hAnsi="Sylfaen"/>
                <w:sz w:val="20"/>
                <w:szCs w:val="20"/>
              </w:rPr>
              <w:t xml:space="preserve"> ռեժիմում</w:t>
            </w:r>
          </w:p>
        </w:tc>
        <w:tc>
          <w:tcPr>
            <w:tcW w:w="3835" w:type="dxa"/>
            <w:shd w:val="clear" w:color="auto" w:fill="FFFFFF"/>
          </w:tcPr>
          <w:p w14:paraId="7DF5F3B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71D322D2" w14:textId="77777777" w:rsidTr="00BF7FB9">
        <w:trPr>
          <w:trHeight w:val="466"/>
          <w:jc w:val="center"/>
        </w:trPr>
        <w:tc>
          <w:tcPr>
            <w:tcW w:w="6494" w:type="dxa"/>
            <w:shd w:val="clear" w:color="auto" w:fill="FFFFFF"/>
          </w:tcPr>
          <w:p w14:paraId="5793C722"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5.</w:t>
            </w:r>
            <w:r w:rsidR="0007153C" w:rsidRPr="0007153C">
              <w:rPr>
                <w:rFonts w:ascii="Sylfaen" w:hAnsi="Sylfaen"/>
                <w:sz w:val="20"/>
                <w:szCs w:val="20"/>
              </w:rPr>
              <w:tab/>
            </w:r>
            <w:r w:rsidRPr="00CA27E3">
              <w:rPr>
                <w:rFonts w:ascii="Sylfaen" w:hAnsi="Sylfaen"/>
                <w:sz w:val="20"/>
                <w:szCs w:val="20"/>
              </w:rPr>
              <w:t xml:space="preserve">Տեխնիկական կանոնակարգի թիվ 6 հավելվածի 1-ին կետում նշված </w:t>
            </w:r>
            <w:r w:rsidR="003222DC" w:rsidRPr="00CA27E3">
              <w:rPr>
                <w:rFonts w:ascii="Sylfaen" w:hAnsi="Sylfaen"/>
                <w:sz w:val="20"/>
                <w:szCs w:val="20"/>
              </w:rPr>
              <w:t>կենցաղային լվացքի մեքենանե</w:t>
            </w:r>
            <w:r w:rsidR="008A2162" w:rsidRPr="00CA27E3">
              <w:rPr>
                <w:rFonts w:ascii="Sylfaen" w:hAnsi="Sylfaen"/>
                <w:sz w:val="20"/>
                <w:szCs w:val="20"/>
              </w:rPr>
              <w:t>ր</w:t>
            </w:r>
          </w:p>
        </w:tc>
        <w:tc>
          <w:tcPr>
            <w:tcW w:w="3835" w:type="dxa"/>
            <w:shd w:val="clear" w:color="auto" w:fill="FFFFFF"/>
          </w:tcPr>
          <w:p w14:paraId="5B4B464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670B8617" w14:textId="77777777" w:rsidTr="00CA27E3">
        <w:trPr>
          <w:jc w:val="center"/>
        </w:trPr>
        <w:tc>
          <w:tcPr>
            <w:tcW w:w="6494" w:type="dxa"/>
            <w:shd w:val="clear" w:color="auto" w:fill="FFFFFF"/>
          </w:tcPr>
          <w:p w14:paraId="4BEBD21E"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6.</w:t>
            </w:r>
            <w:r w:rsidR="0007153C" w:rsidRPr="0007153C">
              <w:rPr>
                <w:rFonts w:ascii="Sylfaen" w:hAnsi="Sylfaen"/>
                <w:sz w:val="20"/>
                <w:szCs w:val="20"/>
              </w:rPr>
              <w:tab/>
            </w:r>
            <w:r w:rsidRPr="00CA27E3">
              <w:rPr>
                <w:rFonts w:ascii="Sylfaen" w:hAnsi="Sylfaen"/>
                <w:sz w:val="20"/>
                <w:szCs w:val="20"/>
              </w:rPr>
              <w:t>Տեխնիկական կանոնակարգի թիվ 7 հավելվածի 1-ին կետում նշված կենցաղային սպասք լվացող մեքենաներ</w:t>
            </w:r>
          </w:p>
        </w:tc>
        <w:tc>
          <w:tcPr>
            <w:tcW w:w="3835" w:type="dxa"/>
            <w:shd w:val="clear" w:color="auto" w:fill="FFFFFF"/>
          </w:tcPr>
          <w:p w14:paraId="30E89E3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0828BBDD" w14:textId="77777777" w:rsidTr="00CA27E3">
        <w:trPr>
          <w:jc w:val="center"/>
        </w:trPr>
        <w:tc>
          <w:tcPr>
            <w:tcW w:w="6494" w:type="dxa"/>
            <w:shd w:val="clear" w:color="auto" w:fill="FFFFFF"/>
          </w:tcPr>
          <w:p w14:paraId="40240AD4"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7.</w:t>
            </w:r>
            <w:r w:rsidR="0007153C" w:rsidRPr="0007153C">
              <w:rPr>
                <w:rFonts w:ascii="Sylfaen" w:hAnsi="Sylfaen"/>
                <w:sz w:val="20"/>
                <w:szCs w:val="20"/>
              </w:rPr>
              <w:tab/>
            </w:r>
            <w:r w:rsidRPr="00CA27E3">
              <w:rPr>
                <w:rFonts w:ascii="Sylfaen" w:hAnsi="Sylfaen"/>
                <w:sz w:val="20"/>
                <w:szCs w:val="20"/>
              </w:rPr>
              <w:t>Տեխնիկական կանոնակարգի թիվ 8 հավելվածի 1-ին կետում նշված հեռուստացուցային կցուրդներ</w:t>
            </w:r>
          </w:p>
        </w:tc>
        <w:tc>
          <w:tcPr>
            <w:tcW w:w="3835" w:type="dxa"/>
            <w:shd w:val="clear" w:color="auto" w:fill="FFFFFF"/>
          </w:tcPr>
          <w:p w14:paraId="41C0452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33115286" w14:textId="77777777" w:rsidTr="00CA27E3">
        <w:trPr>
          <w:jc w:val="center"/>
        </w:trPr>
        <w:tc>
          <w:tcPr>
            <w:tcW w:w="6494" w:type="dxa"/>
            <w:shd w:val="clear" w:color="auto" w:fill="FFFFFF"/>
          </w:tcPr>
          <w:p w14:paraId="1DBBBB98"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8.</w:t>
            </w:r>
            <w:r w:rsidR="0007153C" w:rsidRPr="0007153C">
              <w:rPr>
                <w:rFonts w:ascii="Sylfaen" w:hAnsi="Sylfaen"/>
                <w:sz w:val="20"/>
                <w:szCs w:val="20"/>
              </w:rPr>
              <w:tab/>
            </w:r>
            <w:r w:rsidRPr="00CA27E3">
              <w:rPr>
                <w:rFonts w:ascii="Sylfaen" w:hAnsi="Sylfaen"/>
                <w:sz w:val="20"/>
                <w:szCs w:val="20"/>
              </w:rPr>
              <w:t>Տեխնիկական կանոնակարգի թիվ 9 հավելվածի 1-ին կետում նշված էլեկտրական լամպեր</w:t>
            </w:r>
          </w:p>
        </w:tc>
        <w:tc>
          <w:tcPr>
            <w:tcW w:w="3835" w:type="dxa"/>
            <w:shd w:val="clear" w:color="auto" w:fill="FFFFFF"/>
          </w:tcPr>
          <w:p w14:paraId="4618736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սերտիֆիկացում</w:t>
            </w:r>
          </w:p>
        </w:tc>
      </w:tr>
      <w:tr w:rsidR="00FD48C7" w:rsidRPr="00CA27E3" w14:paraId="49B694FD" w14:textId="77777777" w:rsidTr="00CA27E3">
        <w:trPr>
          <w:jc w:val="center"/>
        </w:trPr>
        <w:tc>
          <w:tcPr>
            <w:tcW w:w="6494" w:type="dxa"/>
            <w:shd w:val="clear" w:color="auto" w:fill="FFFFFF"/>
          </w:tcPr>
          <w:p w14:paraId="3A97B96B"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lastRenderedPageBreak/>
              <w:t>9.</w:t>
            </w:r>
            <w:r w:rsidR="0007153C" w:rsidRPr="0007153C">
              <w:rPr>
                <w:rFonts w:ascii="Sylfaen" w:hAnsi="Sylfaen"/>
                <w:sz w:val="20"/>
                <w:szCs w:val="20"/>
              </w:rPr>
              <w:tab/>
            </w:r>
            <w:r w:rsidRPr="00CA27E3">
              <w:rPr>
                <w:rFonts w:ascii="Sylfaen" w:hAnsi="Sylfaen"/>
                <w:sz w:val="20"/>
                <w:szCs w:val="20"/>
              </w:rPr>
              <w:t>Տեխնիկական կանոնակարգի թիվ 10 հավելվածի 1-ին կետում նշված՝ սնուցման արտաքին աղբյուրներ</w:t>
            </w:r>
          </w:p>
        </w:tc>
        <w:tc>
          <w:tcPr>
            <w:tcW w:w="3835" w:type="dxa"/>
            <w:shd w:val="clear" w:color="auto" w:fill="FFFFFF"/>
          </w:tcPr>
          <w:p w14:paraId="69B1166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1B849717" w14:textId="77777777" w:rsidTr="00CA27E3">
        <w:trPr>
          <w:jc w:val="center"/>
        </w:trPr>
        <w:tc>
          <w:tcPr>
            <w:tcW w:w="6494" w:type="dxa"/>
            <w:shd w:val="clear" w:color="auto" w:fill="FFFFFF"/>
            <w:vAlign w:val="bottom"/>
          </w:tcPr>
          <w:p w14:paraId="7C7E80A1"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10.</w:t>
            </w:r>
            <w:r w:rsidR="0007153C" w:rsidRPr="0007153C">
              <w:rPr>
                <w:rFonts w:ascii="Sylfaen" w:hAnsi="Sylfaen"/>
                <w:sz w:val="20"/>
                <w:szCs w:val="20"/>
              </w:rPr>
              <w:tab/>
            </w:r>
            <w:r w:rsidRPr="00CA27E3">
              <w:rPr>
                <w:rFonts w:ascii="Sylfaen" w:hAnsi="Sylfaen"/>
                <w:sz w:val="20"/>
                <w:szCs w:val="20"/>
              </w:rPr>
              <w:t>Տեխնիկական կանոնակարգի թիվ 11 հավելվածի 1-ին կետում նշված շրջապտուտական պոմպեր</w:t>
            </w:r>
          </w:p>
        </w:tc>
        <w:tc>
          <w:tcPr>
            <w:tcW w:w="3835" w:type="dxa"/>
            <w:shd w:val="clear" w:color="auto" w:fill="FFFFFF"/>
          </w:tcPr>
          <w:p w14:paraId="1C198EB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340A1DD9" w14:textId="77777777" w:rsidTr="00CA27E3">
        <w:trPr>
          <w:jc w:val="center"/>
        </w:trPr>
        <w:tc>
          <w:tcPr>
            <w:tcW w:w="6494" w:type="dxa"/>
            <w:shd w:val="clear" w:color="auto" w:fill="FFFFFF"/>
            <w:vAlign w:val="bottom"/>
          </w:tcPr>
          <w:p w14:paraId="48A4FEF5"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11.</w:t>
            </w:r>
            <w:r w:rsidR="0007153C" w:rsidRPr="0007153C">
              <w:rPr>
                <w:rFonts w:ascii="Sylfaen" w:hAnsi="Sylfaen"/>
                <w:sz w:val="20"/>
                <w:szCs w:val="20"/>
              </w:rPr>
              <w:tab/>
            </w:r>
            <w:r w:rsidRPr="00CA27E3">
              <w:rPr>
                <w:rFonts w:ascii="Sylfaen" w:hAnsi="Sylfaen"/>
                <w:sz w:val="20"/>
                <w:szCs w:val="20"/>
              </w:rPr>
              <w:t>Տեխնիկական կանոնակարգի թիվ 12 հավելվածի 1-ին կետում նշված օդափոխիչներ՝ էլեկտրաշարժաբերով</w:t>
            </w:r>
          </w:p>
        </w:tc>
        <w:tc>
          <w:tcPr>
            <w:tcW w:w="3835" w:type="dxa"/>
            <w:shd w:val="clear" w:color="auto" w:fill="FFFFFF"/>
          </w:tcPr>
          <w:p w14:paraId="7CD5E04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5E839D89" w14:textId="77777777" w:rsidTr="00CA27E3">
        <w:trPr>
          <w:jc w:val="center"/>
        </w:trPr>
        <w:tc>
          <w:tcPr>
            <w:tcW w:w="6494" w:type="dxa"/>
            <w:shd w:val="clear" w:color="auto" w:fill="FFFFFF"/>
          </w:tcPr>
          <w:p w14:paraId="0327D2B2"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12.</w:t>
            </w:r>
            <w:r w:rsidR="0007153C" w:rsidRPr="0007153C">
              <w:rPr>
                <w:rFonts w:ascii="Sylfaen" w:hAnsi="Sylfaen"/>
                <w:sz w:val="20"/>
                <w:szCs w:val="20"/>
              </w:rPr>
              <w:tab/>
            </w:r>
            <w:r w:rsidRPr="00CA27E3">
              <w:rPr>
                <w:rFonts w:ascii="Sylfaen" w:hAnsi="Sylfaen"/>
                <w:sz w:val="20"/>
                <w:szCs w:val="20"/>
              </w:rPr>
              <w:t>Տեխնիկական կանոնակարգի թիվ 13 հավելվածի 1-ին կետում նշված լյումինեսցենտային լամպեր՝ առանց ներկառուցված գործարկումը կարգավորող ապարատի, բարձր ճնշման գազապարպումային լամպեր, գործարկումը կարգավորող ապարատներ եւ լուսատուներ՝ այդպիսի լամպերի համար</w:t>
            </w:r>
          </w:p>
        </w:tc>
        <w:tc>
          <w:tcPr>
            <w:tcW w:w="3835" w:type="dxa"/>
            <w:shd w:val="clear" w:color="auto" w:fill="FFFFFF"/>
          </w:tcPr>
          <w:p w14:paraId="29CAA75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սերտիֆիկացում</w:t>
            </w:r>
          </w:p>
        </w:tc>
      </w:tr>
      <w:tr w:rsidR="00FD48C7" w:rsidRPr="00CA27E3" w14:paraId="48EF8E05" w14:textId="77777777" w:rsidTr="00CA27E3">
        <w:trPr>
          <w:jc w:val="center"/>
        </w:trPr>
        <w:tc>
          <w:tcPr>
            <w:tcW w:w="6494" w:type="dxa"/>
            <w:shd w:val="clear" w:color="auto" w:fill="FFFFFF"/>
          </w:tcPr>
          <w:p w14:paraId="7A3F802F"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13.</w:t>
            </w:r>
            <w:r w:rsidR="0007153C" w:rsidRPr="0007153C">
              <w:rPr>
                <w:rFonts w:ascii="Sylfaen" w:hAnsi="Sylfaen"/>
                <w:sz w:val="20"/>
                <w:szCs w:val="20"/>
              </w:rPr>
              <w:tab/>
            </w:r>
            <w:r w:rsidRPr="00CA27E3">
              <w:rPr>
                <w:rFonts w:ascii="Sylfaen" w:hAnsi="Sylfaen"/>
                <w:sz w:val="20"/>
                <w:szCs w:val="20"/>
              </w:rPr>
              <w:t>Տեխնիկական կանոնակարգի թիվ 14 հավելվածի 1-ին կետում նշված՝ ուղղորդված լույսի լամպեր, լուսադիոդային լամպեր եւ դրանց հետ կապված սարքավորումներ</w:t>
            </w:r>
          </w:p>
        </w:tc>
        <w:tc>
          <w:tcPr>
            <w:tcW w:w="3835" w:type="dxa"/>
            <w:shd w:val="clear" w:color="auto" w:fill="FFFFFF"/>
          </w:tcPr>
          <w:p w14:paraId="71258F1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սերտիֆիկացում</w:t>
            </w:r>
          </w:p>
        </w:tc>
      </w:tr>
      <w:tr w:rsidR="00FD48C7" w:rsidRPr="00CA27E3" w14:paraId="164E86C8" w14:textId="77777777" w:rsidTr="00CA27E3">
        <w:trPr>
          <w:jc w:val="center"/>
        </w:trPr>
        <w:tc>
          <w:tcPr>
            <w:tcW w:w="6494" w:type="dxa"/>
            <w:shd w:val="clear" w:color="auto" w:fill="FFFFFF"/>
          </w:tcPr>
          <w:p w14:paraId="29282ADD"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14.</w:t>
            </w:r>
            <w:r w:rsidR="0007153C" w:rsidRPr="0007153C">
              <w:rPr>
                <w:rFonts w:ascii="Sylfaen" w:hAnsi="Sylfaen"/>
                <w:sz w:val="20"/>
                <w:szCs w:val="20"/>
              </w:rPr>
              <w:tab/>
            </w:r>
            <w:r w:rsidRPr="00CA27E3">
              <w:rPr>
                <w:rFonts w:ascii="Sylfaen" w:hAnsi="Sylfaen"/>
                <w:sz w:val="20"/>
                <w:szCs w:val="20"/>
              </w:rPr>
              <w:t>Տեխնիկական կանոնակարգի թիվ 15 հավելվածի 1-ին կետում նշված՝ թմբուկային տիպի չորացնող մեքենաներ</w:t>
            </w:r>
          </w:p>
        </w:tc>
        <w:tc>
          <w:tcPr>
            <w:tcW w:w="3835" w:type="dxa"/>
            <w:shd w:val="clear" w:color="auto" w:fill="FFFFFF"/>
          </w:tcPr>
          <w:p w14:paraId="050119F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6D2EB985" w14:textId="77777777" w:rsidTr="00CA27E3">
        <w:trPr>
          <w:jc w:val="center"/>
        </w:trPr>
        <w:tc>
          <w:tcPr>
            <w:tcW w:w="6494" w:type="dxa"/>
            <w:shd w:val="clear" w:color="auto" w:fill="FFFFFF"/>
          </w:tcPr>
          <w:p w14:paraId="5D955CE7"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15.</w:t>
            </w:r>
            <w:r w:rsidR="0007153C" w:rsidRPr="0007153C">
              <w:rPr>
                <w:rFonts w:ascii="Sylfaen" w:hAnsi="Sylfaen"/>
                <w:sz w:val="20"/>
                <w:szCs w:val="20"/>
              </w:rPr>
              <w:tab/>
            </w:r>
            <w:r w:rsidRPr="00CA27E3">
              <w:rPr>
                <w:rFonts w:ascii="Sylfaen" w:hAnsi="Sylfaen"/>
                <w:sz w:val="20"/>
                <w:szCs w:val="20"/>
              </w:rPr>
              <w:t>Տեխնիկական կանոնակարգի թիվ 16 հավելվածի 1-ին կետում նշված փոշեկուլներ</w:t>
            </w:r>
          </w:p>
        </w:tc>
        <w:tc>
          <w:tcPr>
            <w:tcW w:w="3835" w:type="dxa"/>
            <w:shd w:val="clear" w:color="auto" w:fill="FFFFFF"/>
          </w:tcPr>
          <w:p w14:paraId="4619F73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0AB7E9E5" w14:textId="77777777" w:rsidTr="00CA27E3">
        <w:trPr>
          <w:jc w:val="center"/>
        </w:trPr>
        <w:tc>
          <w:tcPr>
            <w:tcW w:w="6494" w:type="dxa"/>
            <w:shd w:val="clear" w:color="auto" w:fill="FFFFFF"/>
          </w:tcPr>
          <w:p w14:paraId="349025C5"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16.</w:t>
            </w:r>
            <w:r w:rsidR="0007153C" w:rsidRPr="0007153C">
              <w:rPr>
                <w:rFonts w:ascii="Sylfaen" w:hAnsi="Sylfaen"/>
                <w:sz w:val="20"/>
                <w:szCs w:val="20"/>
              </w:rPr>
              <w:tab/>
            </w:r>
            <w:r w:rsidRPr="00CA27E3">
              <w:rPr>
                <w:rFonts w:ascii="Sylfaen" w:hAnsi="Sylfaen"/>
                <w:sz w:val="20"/>
                <w:szCs w:val="20"/>
              </w:rPr>
              <w:t>Տեխնիկական կանոնակարգի թիվ 17 հավելվածի 1-ին կետում նշված՝ կենցաղային նշանակության համակարգիչներ եւ սերվերներ</w:t>
            </w:r>
          </w:p>
        </w:tc>
        <w:tc>
          <w:tcPr>
            <w:tcW w:w="3835" w:type="dxa"/>
            <w:shd w:val="clear" w:color="auto" w:fill="FFFFFF"/>
          </w:tcPr>
          <w:p w14:paraId="1905B33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սերտիֆիկացում</w:t>
            </w:r>
          </w:p>
        </w:tc>
      </w:tr>
      <w:tr w:rsidR="00FD48C7" w:rsidRPr="00CA27E3" w14:paraId="4CE531B2" w14:textId="77777777" w:rsidTr="00CA27E3">
        <w:trPr>
          <w:jc w:val="center"/>
        </w:trPr>
        <w:tc>
          <w:tcPr>
            <w:tcW w:w="6494" w:type="dxa"/>
            <w:shd w:val="clear" w:color="auto" w:fill="FFFFFF"/>
          </w:tcPr>
          <w:p w14:paraId="4C94A52C"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17.</w:t>
            </w:r>
            <w:r w:rsidR="0007153C" w:rsidRPr="0007153C">
              <w:rPr>
                <w:rFonts w:ascii="Sylfaen" w:hAnsi="Sylfaen"/>
                <w:sz w:val="20"/>
                <w:szCs w:val="20"/>
              </w:rPr>
              <w:tab/>
            </w:r>
            <w:r w:rsidRPr="00CA27E3">
              <w:rPr>
                <w:rFonts w:ascii="Sylfaen" w:hAnsi="Sylfaen"/>
                <w:sz w:val="20"/>
                <w:szCs w:val="20"/>
              </w:rPr>
              <w:t>Տեխնիկական կանոնակարգի թիվ 18 հավելվածի 1-ին կետում նշված ջրի պոմպեր</w:t>
            </w:r>
          </w:p>
        </w:tc>
        <w:tc>
          <w:tcPr>
            <w:tcW w:w="3835" w:type="dxa"/>
            <w:shd w:val="clear" w:color="auto" w:fill="FFFFFF"/>
          </w:tcPr>
          <w:p w14:paraId="7D915E8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r w:rsidR="00FD48C7" w:rsidRPr="00CA27E3" w14:paraId="231F57D2" w14:textId="77777777" w:rsidTr="00CA27E3">
        <w:trPr>
          <w:jc w:val="center"/>
        </w:trPr>
        <w:tc>
          <w:tcPr>
            <w:tcW w:w="6494" w:type="dxa"/>
            <w:shd w:val="clear" w:color="auto" w:fill="FFFFFF"/>
            <w:vAlign w:val="bottom"/>
          </w:tcPr>
          <w:p w14:paraId="0FB057DA" w14:textId="77777777" w:rsidR="00FD48C7" w:rsidRPr="0007153C" w:rsidRDefault="00BB04FF" w:rsidP="0007153C">
            <w:pPr>
              <w:pStyle w:val="Other0"/>
              <w:shd w:val="clear" w:color="auto" w:fill="auto"/>
              <w:tabs>
                <w:tab w:val="left" w:pos="423"/>
              </w:tabs>
              <w:spacing w:after="120"/>
              <w:ind w:left="51" w:right="44"/>
              <w:jc w:val="left"/>
              <w:rPr>
                <w:rFonts w:ascii="Sylfaen" w:hAnsi="Sylfaen"/>
                <w:sz w:val="20"/>
                <w:szCs w:val="20"/>
              </w:rPr>
            </w:pPr>
            <w:r w:rsidRPr="00CA27E3">
              <w:rPr>
                <w:rFonts w:ascii="Sylfaen" w:hAnsi="Sylfaen"/>
                <w:sz w:val="20"/>
                <w:szCs w:val="20"/>
              </w:rPr>
              <w:t>18.</w:t>
            </w:r>
            <w:r w:rsidR="0007153C" w:rsidRPr="0007153C">
              <w:rPr>
                <w:rFonts w:ascii="Sylfaen" w:hAnsi="Sylfaen"/>
                <w:sz w:val="20"/>
                <w:szCs w:val="20"/>
              </w:rPr>
              <w:tab/>
            </w:r>
            <w:r w:rsidRPr="00CA27E3">
              <w:rPr>
                <w:rFonts w:ascii="Sylfaen" w:hAnsi="Sylfaen"/>
                <w:sz w:val="20"/>
                <w:szCs w:val="20"/>
              </w:rPr>
              <w:t xml:space="preserve">Տեխնիկական կանոնակարգի թիվ 19 հավելվածի 1-ին կետում նշված՝ օդի օդորակիչներ եւ սենյակային օդափոխիչներ </w:t>
            </w:r>
          </w:p>
        </w:tc>
        <w:tc>
          <w:tcPr>
            <w:tcW w:w="3835" w:type="dxa"/>
            <w:shd w:val="clear" w:color="auto" w:fill="FFFFFF"/>
          </w:tcPr>
          <w:p w14:paraId="7B27060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համապատասխանության հայտարարագրում</w:t>
            </w:r>
          </w:p>
        </w:tc>
      </w:tr>
    </w:tbl>
    <w:p w14:paraId="0478D0F6" w14:textId="77777777" w:rsidR="00FD48C7" w:rsidRDefault="00FD48C7" w:rsidP="00CA27E3">
      <w:pPr>
        <w:spacing w:after="160" w:line="360" w:lineRule="auto"/>
        <w:rPr>
          <w:rFonts w:ascii="Sylfaen" w:hAnsi="Sylfaen" w:cs="Sylfaen"/>
          <w:lang w:val="en-US"/>
        </w:rPr>
      </w:pPr>
    </w:p>
    <w:p w14:paraId="29F50D4A" w14:textId="77777777" w:rsidR="0007153C" w:rsidRDefault="0007153C" w:rsidP="0007153C">
      <w:pPr>
        <w:spacing w:after="160" w:line="360" w:lineRule="auto"/>
        <w:jc w:val="center"/>
        <w:rPr>
          <w:rFonts w:ascii="Sylfaen" w:hAnsi="Sylfaen" w:cs="Sylfaen"/>
          <w:lang w:val="en-US"/>
        </w:rPr>
      </w:pPr>
      <w:r>
        <w:rPr>
          <w:rFonts w:ascii="Sylfaen" w:hAnsi="Sylfaen" w:cs="Sylfaen"/>
          <w:lang w:val="en-US"/>
        </w:rPr>
        <w:t>_____________</w:t>
      </w:r>
    </w:p>
    <w:p w14:paraId="390B91E5" w14:textId="77777777" w:rsidR="0007153C" w:rsidRPr="0007153C" w:rsidRDefault="0007153C" w:rsidP="0007153C">
      <w:pPr>
        <w:spacing w:after="160" w:line="360" w:lineRule="auto"/>
        <w:jc w:val="center"/>
        <w:rPr>
          <w:rFonts w:ascii="Sylfaen" w:hAnsi="Sylfaen" w:cs="Sylfaen"/>
          <w:lang w:val="en-US"/>
        </w:rPr>
      </w:pPr>
    </w:p>
    <w:p w14:paraId="0BE8D902" w14:textId="77777777" w:rsidR="0007153C" w:rsidRDefault="0007153C" w:rsidP="0007153C">
      <w:pPr>
        <w:spacing w:after="160" w:line="360" w:lineRule="auto"/>
        <w:rPr>
          <w:rFonts w:ascii="Sylfaen" w:hAnsi="Sylfaen"/>
        </w:rPr>
        <w:sectPr w:rsidR="0007153C" w:rsidSect="0027701C">
          <w:pgSz w:w="11907" w:h="16840" w:code="9"/>
          <w:pgMar w:top="1135" w:right="1418" w:bottom="1418" w:left="1418" w:header="0" w:footer="680" w:gutter="0"/>
          <w:pgNumType w:start="1"/>
          <w:cols w:space="720"/>
          <w:noEndnote/>
          <w:titlePg/>
          <w:docGrid w:linePitch="360"/>
        </w:sectPr>
      </w:pPr>
    </w:p>
    <w:p w14:paraId="7ED9DAE5" w14:textId="77777777" w:rsidR="00FD48C7" w:rsidRPr="00CA27E3" w:rsidRDefault="00BB04FF" w:rsidP="000E6C97">
      <w:pPr>
        <w:pStyle w:val="BodyText1"/>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2</w:t>
      </w:r>
    </w:p>
    <w:p w14:paraId="06AF73BD" w14:textId="77777777" w:rsidR="00FD48C7" w:rsidRPr="00CA27E3" w:rsidRDefault="00BB04FF" w:rsidP="000E6C97">
      <w:pPr>
        <w:pStyle w:val="BodyText1"/>
        <w:shd w:val="clear" w:color="auto" w:fill="auto"/>
        <w:spacing w:after="160"/>
        <w:ind w:left="3969" w:firstLine="0"/>
        <w:jc w:val="center"/>
        <w:rPr>
          <w:rFonts w:ascii="Sylfaen" w:hAnsi="Sylfaen" w:cs="Sylfaen"/>
          <w:sz w:val="24"/>
          <w:szCs w:val="24"/>
        </w:rPr>
      </w:pPr>
      <w:r w:rsidRPr="00CA27E3">
        <w:rPr>
          <w:rFonts w:ascii="Sylfaen" w:hAnsi="Sylfaen"/>
          <w:sz w:val="24"/>
          <w:szCs w:val="24"/>
        </w:rPr>
        <w:t xml:space="preserve">«Էներգասպառող սարքերի </w:t>
      </w:r>
      <w:r w:rsidR="00054AD2" w:rsidRPr="00054AD2">
        <w:rPr>
          <w:rFonts w:ascii="Sylfaen" w:hAnsi="Sylfaen"/>
          <w:sz w:val="24"/>
          <w:szCs w:val="24"/>
        </w:rPr>
        <w:br/>
      </w:r>
      <w:r w:rsidRPr="00CA27E3">
        <w:rPr>
          <w:rFonts w:ascii="Sylfaen" w:hAnsi="Sylfaen"/>
          <w:sz w:val="24"/>
          <w:szCs w:val="24"/>
        </w:rPr>
        <w:t>էներգետիկ արդյունավետությանը ներկայացվող պահանջների մասին» Եվրասիական տնտեսական միության տեխնիկական կանոնակարգի</w:t>
      </w:r>
      <w:r w:rsidR="0007153C" w:rsidRPr="0007153C">
        <w:rPr>
          <w:rFonts w:ascii="Sylfaen" w:hAnsi="Sylfaen"/>
          <w:sz w:val="24"/>
          <w:szCs w:val="24"/>
        </w:rPr>
        <w:t xml:space="preserve"> </w:t>
      </w:r>
      <w:r w:rsidR="00054AD2" w:rsidRPr="00054AD2">
        <w:rPr>
          <w:rFonts w:ascii="Sylfaen" w:hAnsi="Sylfaen"/>
          <w:sz w:val="24"/>
          <w:szCs w:val="24"/>
        </w:rPr>
        <w:br/>
      </w:r>
      <w:r w:rsidRPr="00CA27E3">
        <w:rPr>
          <w:rFonts w:ascii="Sylfaen" w:hAnsi="Sylfaen"/>
          <w:sz w:val="24"/>
          <w:szCs w:val="24"/>
        </w:rPr>
        <w:t>(ԵԱՏՄ ՏԿ</w:t>
      </w:r>
      <w:r w:rsidR="0007153C" w:rsidRPr="0007153C">
        <w:rPr>
          <w:rFonts w:ascii="Sylfaen" w:hAnsi="Sylfaen"/>
          <w:sz w:val="24"/>
          <w:szCs w:val="24"/>
        </w:rPr>
        <w:tab/>
      </w:r>
      <w:r w:rsidRPr="00CA27E3">
        <w:rPr>
          <w:rFonts w:ascii="Sylfaen" w:hAnsi="Sylfaen"/>
          <w:sz w:val="24"/>
          <w:szCs w:val="24"/>
        </w:rPr>
        <w:t>/20</w:t>
      </w:r>
      <w:r w:rsidR="0007153C" w:rsidRPr="0007153C">
        <w:rPr>
          <w:rFonts w:ascii="Sylfaen" w:hAnsi="Sylfaen"/>
          <w:sz w:val="24"/>
          <w:szCs w:val="24"/>
        </w:rPr>
        <w:tab/>
      </w:r>
      <w:r w:rsidRPr="00CA27E3">
        <w:rPr>
          <w:rFonts w:ascii="Sylfaen" w:hAnsi="Sylfaen"/>
          <w:sz w:val="24"/>
          <w:szCs w:val="24"/>
        </w:rPr>
        <w:t>)</w:t>
      </w:r>
    </w:p>
    <w:p w14:paraId="13F7C68C" w14:textId="77777777" w:rsidR="004657BA" w:rsidRPr="00CA27E3" w:rsidRDefault="004657BA" w:rsidP="00CA27E3">
      <w:pPr>
        <w:pStyle w:val="BodyText1"/>
        <w:shd w:val="clear" w:color="auto" w:fill="auto"/>
        <w:spacing w:after="160"/>
        <w:ind w:left="4536" w:firstLine="0"/>
        <w:jc w:val="center"/>
        <w:rPr>
          <w:rFonts w:ascii="Sylfaen" w:hAnsi="Sylfaen" w:cs="Sylfaen"/>
          <w:sz w:val="24"/>
          <w:szCs w:val="24"/>
        </w:rPr>
      </w:pPr>
    </w:p>
    <w:p w14:paraId="238894C5" w14:textId="77777777" w:rsidR="00FD48C7" w:rsidRPr="00CA27E3" w:rsidRDefault="00BB04FF" w:rsidP="0007153C">
      <w:pPr>
        <w:pStyle w:val="Heading20"/>
        <w:shd w:val="clear" w:color="auto" w:fill="auto"/>
        <w:spacing w:after="160" w:line="360" w:lineRule="auto"/>
        <w:ind w:left="567"/>
        <w:outlineLvl w:val="9"/>
        <w:rPr>
          <w:rFonts w:ascii="Sylfaen" w:hAnsi="Sylfaen" w:cs="Sylfaen"/>
          <w:sz w:val="24"/>
          <w:szCs w:val="24"/>
        </w:rPr>
      </w:pPr>
      <w:bookmarkStart w:id="2" w:name="bookmark9"/>
      <w:r w:rsidRPr="00CA27E3">
        <w:rPr>
          <w:rFonts w:ascii="Sylfaen" w:hAnsi="Sylfaen"/>
          <w:sz w:val="24"/>
          <w:szCs w:val="24"/>
        </w:rPr>
        <w:t>ՊԱՀԱՆՋՆԵՐ</w:t>
      </w:r>
      <w:bookmarkEnd w:id="2"/>
    </w:p>
    <w:p w14:paraId="49C00DFA" w14:textId="77777777" w:rsidR="00FD48C7" w:rsidRPr="00CA27E3" w:rsidRDefault="00B14FDF" w:rsidP="0007153C">
      <w:pPr>
        <w:pStyle w:val="Heading20"/>
        <w:shd w:val="clear" w:color="auto" w:fill="auto"/>
        <w:spacing w:after="160" w:line="360" w:lineRule="auto"/>
        <w:ind w:left="567"/>
        <w:outlineLvl w:val="9"/>
        <w:rPr>
          <w:rFonts w:ascii="Sylfaen" w:hAnsi="Sylfaen" w:cs="Sylfaen"/>
          <w:sz w:val="24"/>
          <w:szCs w:val="24"/>
        </w:rPr>
      </w:pPr>
      <w:bookmarkStart w:id="3" w:name="bookmark10"/>
      <w:r w:rsidRPr="00CA27E3">
        <w:rPr>
          <w:rFonts w:ascii="Sylfaen" w:hAnsi="Sylfaen"/>
          <w:sz w:val="24"/>
          <w:szCs w:val="24"/>
        </w:rPr>
        <w:t>ս</w:t>
      </w:r>
      <w:r w:rsidR="00BB04FF" w:rsidRPr="00CA27E3">
        <w:rPr>
          <w:rFonts w:ascii="Sylfaen" w:hAnsi="Sylfaen"/>
          <w:sz w:val="24"/>
          <w:szCs w:val="24"/>
        </w:rPr>
        <w:t>առնարանային սարքերի</w:t>
      </w:r>
      <w:r w:rsidR="000E6C97" w:rsidRPr="000E6C97">
        <w:rPr>
          <w:rFonts w:ascii="Sylfaen" w:hAnsi="Sylfaen"/>
          <w:sz w:val="24"/>
          <w:szCs w:val="24"/>
        </w:rPr>
        <w:br/>
      </w:r>
      <w:r w:rsidR="00BB04FF" w:rsidRPr="00CA27E3">
        <w:rPr>
          <w:rFonts w:ascii="Sylfaen" w:hAnsi="Sylfaen"/>
          <w:sz w:val="24"/>
          <w:szCs w:val="24"/>
        </w:rPr>
        <w:t>էներգետիկ արդյունավետությանը ներկայացվող</w:t>
      </w:r>
      <w:bookmarkEnd w:id="3"/>
    </w:p>
    <w:p w14:paraId="67E50370"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57C1D4CD" w14:textId="77777777" w:rsidR="00FD48C7" w:rsidRPr="00CA27E3" w:rsidRDefault="00BB04FF"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I. Կիրառության ոլորտը</w:t>
      </w:r>
    </w:p>
    <w:p w14:paraId="420D92A4" w14:textId="77777777" w:rsidR="00FD48C7" w:rsidRPr="00CA27E3" w:rsidRDefault="00BB04FF" w:rsidP="0007153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07153C" w:rsidRPr="0007153C">
        <w:rPr>
          <w:rFonts w:ascii="Sylfaen" w:hAnsi="Sylfaen"/>
          <w:sz w:val="24"/>
          <w:szCs w:val="24"/>
        </w:rPr>
        <w:tab/>
      </w:r>
      <w:r w:rsidRPr="00CA27E3">
        <w:rPr>
          <w:rFonts w:ascii="Sylfaen" w:hAnsi="Sylfaen"/>
          <w:sz w:val="24"/>
          <w:szCs w:val="24"/>
        </w:rPr>
        <w:t xml:space="preserve">Սույն պահանջները տարածվում են Եվրասիական տնտեսական միության (ասյուհետ՝ Միություն) մաքսային տարածքում շրջանառության մեջ դրվող կենցաղային նշանակության սառնարանային սարքերի վրա (սառնարաններ, սառցարաններ եւ դրանց համակցությունները), որոնք կարող են կիրառվել առեւտրային նպատակներով (արտադրության մեջ, առեւտրի եւ ծառայությունների ոլորտում), սնվում են մինչեւ 250Վ (ներառյալ) անվանական լարմամբ փոփոխական հոսանքի ցանցից եւ ունեն պաղեցրած եւ (կամ) սառեցրած սննդամթերքի եւ (կամ) այլ արտադրանքի՝ 1500լ-ից ոչ ավելի օգտակար ծավալ՝ բացառությամբ հետեւյալ սառնարանային սարքերի՝ </w:t>
      </w:r>
    </w:p>
    <w:p w14:paraId="1DBF7313" w14:textId="77777777" w:rsidR="00FD48C7" w:rsidRPr="00CA27E3" w:rsidRDefault="00BB04FF" w:rsidP="0007153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07153C" w:rsidRPr="0007153C">
        <w:rPr>
          <w:rFonts w:ascii="Sylfaen" w:hAnsi="Sylfaen"/>
          <w:sz w:val="24"/>
          <w:szCs w:val="24"/>
        </w:rPr>
        <w:tab/>
      </w:r>
      <w:r w:rsidRPr="00CA27E3">
        <w:rPr>
          <w:rFonts w:ascii="Sylfaen" w:hAnsi="Sylfaen"/>
          <w:sz w:val="24"/>
          <w:szCs w:val="24"/>
        </w:rPr>
        <w:t>որոնք աշխատում են էլեկտրական մարտկոցներից եւ (կամ) կուտակիչներից եւ որոնք հնարավոր է միացնել մինչեւ 250Վ (ներառյալ) անվանական լարմամբ ցանցին՝ էլեկտրական սնուցման արտաքին (այդ</w:t>
      </w:r>
      <w:r w:rsidR="000E6C97" w:rsidRPr="000E6C97">
        <w:rPr>
          <w:rFonts w:ascii="Sylfaen" w:hAnsi="Sylfaen"/>
          <w:sz w:val="24"/>
          <w:szCs w:val="24"/>
        </w:rPr>
        <w:t> </w:t>
      </w:r>
      <w:r w:rsidRPr="00CA27E3">
        <w:rPr>
          <w:rFonts w:ascii="Sylfaen" w:hAnsi="Sylfaen"/>
          <w:sz w:val="24"/>
          <w:szCs w:val="24"/>
        </w:rPr>
        <w:t>սարքերում չներկառուցված) աղբյուրի (հաստատուն (փոփոխական) հոսանքի կերպափոխիչի) միջոցով.</w:t>
      </w:r>
    </w:p>
    <w:p w14:paraId="54AE5D0B" w14:textId="77777777" w:rsidR="00FD48C7" w:rsidRPr="00CA27E3" w:rsidRDefault="00BB04FF" w:rsidP="0007153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բ)</w:t>
      </w:r>
      <w:r w:rsidR="0007153C" w:rsidRPr="0007153C">
        <w:rPr>
          <w:rFonts w:ascii="Sylfaen" w:hAnsi="Sylfaen"/>
          <w:sz w:val="24"/>
          <w:szCs w:val="24"/>
        </w:rPr>
        <w:tab/>
      </w:r>
      <w:r w:rsidRPr="00CA27E3">
        <w:rPr>
          <w:rFonts w:ascii="Sylfaen" w:hAnsi="Sylfaen"/>
          <w:sz w:val="24"/>
          <w:szCs w:val="24"/>
        </w:rPr>
        <w:t>որոն</w:t>
      </w:r>
      <w:r w:rsidR="00B132B9" w:rsidRPr="00CA27E3">
        <w:rPr>
          <w:rFonts w:ascii="Sylfaen" w:hAnsi="Sylfaen"/>
          <w:sz w:val="24"/>
          <w:szCs w:val="24"/>
        </w:rPr>
        <w:t xml:space="preserve">ց </w:t>
      </w:r>
      <w:r w:rsidRPr="00CA27E3">
        <w:rPr>
          <w:rFonts w:ascii="Sylfaen" w:hAnsi="Sylfaen"/>
          <w:sz w:val="24"/>
          <w:szCs w:val="24"/>
        </w:rPr>
        <w:t>աշխատանքի համար չ</w:t>
      </w:r>
      <w:r w:rsidR="00B132B9" w:rsidRPr="00CA27E3">
        <w:rPr>
          <w:rFonts w:ascii="Sylfaen" w:hAnsi="Sylfaen"/>
          <w:sz w:val="24"/>
          <w:szCs w:val="24"/>
        </w:rPr>
        <w:t>ի</w:t>
      </w:r>
      <w:r w:rsidRPr="00CA27E3">
        <w:rPr>
          <w:rFonts w:ascii="Sylfaen" w:hAnsi="Sylfaen"/>
          <w:sz w:val="24"/>
          <w:szCs w:val="24"/>
        </w:rPr>
        <w:t xml:space="preserve"> պահանջ</w:t>
      </w:r>
      <w:r w:rsidR="00B132B9" w:rsidRPr="00CA27E3">
        <w:rPr>
          <w:rFonts w:ascii="Sylfaen" w:hAnsi="Sylfaen"/>
          <w:sz w:val="24"/>
          <w:szCs w:val="24"/>
        </w:rPr>
        <w:t>վ</w:t>
      </w:r>
      <w:r w:rsidRPr="00CA27E3">
        <w:rPr>
          <w:rFonts w:ascii="Sylfaen" w:hAnsi="Sylfaen"/>
          <w:sz w:val="24"/>
          <w:szCs w:val="24"/>
        </w:rPr>
        <w:t>ում էլեկտրական էներգիա.</w:t>
      </w:r>
    </w:p>
    <w:p w14:paraId="4034513A" w14:textId="77777777" w:rsidR="00FD48C7" w:rsidRPr="00CA27E3" w:rsidRDefault="00BB04FF" w:rsidP="0007153C">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07153C" w:rsidRPr="0007153C">
        <w:rPr>
          <w:rFonts w:ascii="Sylfaen" w:hAnsi="Sylfaen"/>
          <w:sz w:val="24"/>
          <w:szCs w:val="24"/>
        </w:rPr>
        <w:tab/>
      </w:r>
      <w:r w:rsidRPr="00CA27E3">
        <w:rPr>
          <w:rFonts w:ascii="Sylfaen" w:hAnsi="Sylfaen"/>
          <w:sz w:val="24"/>
          <w:szCs w:val="24"/>
        </w:rPr>
        <w:t>որոնք արտադրված են ըստ պատվերի եւ շուկայում հասանելի չեն այլ սպառողների (օգտագործողների)՝ բացի պատվիրատուներից.</w:t>
      </w:r>
    </w:p>
    <w:p w14:paraId="321CFCEE" w14:textId="77777777" w:rsidR="00FD48C7" w:rsidRPr="00CA27E3" w:rsidRDefault="00BB04FF" w:rsidP="00054AD2">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դ)</w:t>
      </w:r>
      <w:r w:rsidR="0007153C" w:rsidRPr="0007153C">
        <w:rPr>
          <w:rFonts w:ascii="Sylfaen" w:hAnsi="Sylfaen"/>
          <w:sz w:val="24"/>
          <w:szCs w:val="24"/>
        </w:rPr>
        <w:tab/>
      </w:r>
      <w:r w:rsidRPr="00CA27E3">
        <w:rPr>
          <w:rFonts w:ascii="Sylfaen" w:hAnsi="Sylfaen"/>
          <w:sz w:val="24"/>
          <w:szCs w:val="24"/>
        </w:rPr>
        <w:t>որոնք կիրառվում են առեւտրի ու ծառայությունների ոլորտում եւ ունեն պաղեցրած սննդամթերքը եւ (կամ) այլ արտադրանք հանելու գործընթացին արձագանքող սարքվածք՝ հաշվառման համար տեղեկատվությունը հեռակա</w:t>
      </w:r>
      <w:r w:rsidR="004E151F" w:rsidRPr="00CA27E3">
        <w:rPr>
          <w:rFonts w:ascii="Sylfaen" w:hAnsi="Sylfaen"/>
          <w:sz w:val="24"/>
          <w:szCs w:val="24"/>
        </w:rPr>
        <w:t>ռ</w:t>
      </w:r>
      <w:r w:rsidRPr="00CA27E3">
        <w:rPr>
          <w:rFonts w:ascii="Sylfaen" w:hAnsi="Sylfaen"/>
          <w:sz w:val="24"/>
          <w:szCs w:val="24"/>
        </w:rPr>
        <w:t xml:space="preserve">ավարման համակարգի միջոցով՝ ցանցային </w:t>
      </w:r>
      <w:r w:rsidR="003222DC" w:rsidRPr="00CA27E3">
        <w:rPr>
          <w:rFonts w:ascii="Sylfaen" w:hAnsi="Sylfaen"/>
          <w:sz w:val="24"/>
          <w:szCs w:val="24"/>
        </w:rPr>
        <w:t>միացմամբ ավտոմատ փոխանցելու գործառույթով.</w:t>
      </w:r>
    </w:p>
    <w:p w14:paraId="1D200EA7" w14:textId="77777777" w:rsidR="00FD48C7" w:rsidRPr="00CA27E3" w:rsidRDefault="00BB04FF" w:rsidP="00054AD2">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ե)</w:t>
      </w:r>
      <w:r w:rsidR="0007153C" w:rsidRPr="0007153C">
        <w:rPr>
          <w:rFonts w:ascii="Sylfaen" w:hAnsi="Sylfaen"/>
          <w:sz w:val="24"/>
          <w:szCs w:val="24"/>
        </w:rPr>
        <w:tab/>
      </w:r>
      <w:r w:rsidRPr="00CA27E3">
        <w:rPr>
          <w:rFonts w:ascii="Sylfaen" w:hAnsi="Sylfaen"/>
          <w:sz w:val="24"/>
          <w:szCs w:val="24"/>
        </w:rPr>
        <w:t>որոնց գործառույթը պաղեցրած եւ (կամ) սառեցրած սննդամթերքի եւ (կամ) այլ արտադրանքի պահպանումը չէ, այլ միայն խմիչքների պաղեցումը (պաղեցրած խմիչքների բաշխիչներ (դիսպենսերներ)) կամ սառույցի ստացումը եւ պահպանումը (սառույց պատրաստող մեքենաներ)։</w:t>
      </w:r>
    </w:p>
    <w:p w14:paraId="71DEEE7D" w14:textId="77777777" w:rsidR="00FD48C7" w:rsidRPr="00CA27E3" w:rsidRDefault="00BB04FF" w:rsidP="00054AD2">
      <w:pPr>
        <w:pStyle w:val="BodyText1"/>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Եթե սառնարանային սարքերի մասով ընդունվել են Միության (Մաքսային միության)՝ դրանց նկատմամբ պահանջներ սահմանող այլ տեխնիկական կանոնակարգեր, ապա սառնարանային սարքերը պետք է համապատասխանեն Միության (Մաքսային միության) բոլոր այն տեխնիկական կանոնակարգերի պահանջներին, որոնց գործողությունը տարածվում է դրանց վրա։ </w:t>
      </w:r>
    </w:p>
    <w:p w14:paraId="107018BD" w14:textId="77777777" w:rsidR="00FD48C7" w:rsidRPr="00CA27E3" w:rsidRDefault="00FD48C7" w:rsidP="00054AD2">
      <w:pPr>
        <w:spacing w:after="160" w:line="348" w:lineRule="auto"/>
        <w:rPr>
          <w:rFonts w:ascii="Sylfaen" w:hAnsi="Sylfaen" w:cs="Sylfaen"/>
        </w:rPr>
      </w:pPr>
    </w:p>
    <w:p w14:paraId="3771D0B8" w14:textId="77777777" w:rsidR="00FD48C7" w:rsidRPr="00CA27E3" w:rsidRDefault="00BB04FF" w:rsidP="00054AD2">
      <w:pPr>
        <w:pStyle w:val="BodyText1"/>
        <w:shd w:val="clear" w:color="auto" w:fill="auto"/>
        <w:spacing w:after="160" w:line="348" w:lineRule="auto"/>
        <w:ind w:left="567" w:right="566"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2460F651" w14:textId="77777777" w:rsidR="00FD48C7" w:rsidRPr="00CA27E3" w:rsidRDefault="00060D28" w:rsidP="00054AD2">
      <w:pPr>
        <w:pStyle w:val="BodyText1"/>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2.</w:t>
      </w:r>
      <w:r w:rsidR="0007153C" w:rsidRPr="0007153C">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sidR="00CA27E3">
        <w:rPr>
          <w:rFonts w:ascii="Sylfaen" w:hAnsi="Sylfaen"/>
          <w:sz w:val="24"/>
          <w:szCs w:val="24"/>
        </w:rPr>
        <w:t>եւ</w:t>
      </w:r>
      <w:r w:rsidRPr="00CA27E3">
        <w:rPr>
          <w:rFonts w:ascii="Sylfaen" w:hAnsi="Sylfaen"/>
          <w:sz w:val="24"/>
          <w:szCs w:val="24"/>
        </w:rPr>
        <w:t>յալ իմաստը.</w:t>
      </w:r>
    </w:p>
    <w:p w14:paraId="36D6423D" w14:textId="77777777" w:rsidR="00FD48C7" w:rsidRPr="00CA27E3" w:rsidRDefault="00BB04FF" w:rsidP="00054AD2">
      <w:pPr>
        <w:pStyle w:val="BodyText1"/>
        <w:shd w:val="clear" w:color="auto" w:fill="auto"/>
        <w:spacing w:after="160" w:line="348" w:lineRule="auto"/>
        <w:ind w:firstLine="567"/>
        <w:jc w:val="both"/>
        <w:rPr>
          <w:rFonts w:ascii="Sylfaen" w:hAnsi="Sylfaen" w:cs="Sylfaen"/>
          <w:sz w:val="24"/>
          <w:szCs w:val="24"/>
        </w:rPr>
      </w:pPr>
      <w:r w:rsidRPr="0007153C">
        <w:rPr>
          <w:rFonts w:ascii="Sylfaen" w:hAnsi="Sylfaen"/>
          <w:b/>
          <w:sz w:val="24"/>
          <w:szCs w:val="24"/>
        </w:rPr>
        <w:t>արագ սառեցում՝</w:t>
      </w:r>
      <w:r w:rsidRPr="00CA27E3">
        <w:rPr>
          <w:rFonts w:ascii="Sylfaen" w:hAnsi="Sylfaen"/>
          <w:sz w:val="24"/>
          <w:szCs w:val="24"/>
        </w:rPr>
        <w:t xml:space="preserve"> ռեւերսային (անջատվող) գործառույթ, որի իրականացման ժամանակ օգտագործողն արտադրողի հրահանգներին համապատասխան ցածրացնում է սառցարանի կամ սառցարանի բաժանմունքի ջերմաստիճանը՝ չսառեցրա</w:t>
      </w:r>
      <w:r w:rsidR="00B05B00" w:rsidRPr="00CA27E3">
        <w:rPr>
          <w:rFonts w:ascii="Sylfaen" w:hAnsi="Sylfaen"/>
          <w:sz w:val="24"/>
          <w:szCs w:val="24"/>
        </w:rPr>
        <w:t>ծ</w:t>
      </w:r>
      <w:r w:rsidRPr="00CA27E3">
        <w:rPr>
          <w:rFonts w:ascii="Sylfaen" w:hAnsi="Sylfaen"/>
          <w:sz w:val="24"/>
          <w:szCs w:val="24"/>
        </w:rPr>
        <w:t xml:space="preserve"> սննդամթերքի առավել արագ սառեցումն ապահովելու համար.</w:t>
      </w:r>
    </w:p>
    <w:p w14:paraId="54B7FC92" w14:textId="77777777" w:rsidR="00FD48C7" w:rsidRPr="00CA27E3" w:rsidRDefault="00BB04FF" w:rsidP="00054AD2">
      <w:pPr>
        <w:pStyle w:val="BodyText1"/>
        <w:shd w:val="clear" w:color="auto" w:fill="auto"/>
        <w:spacing w:after="160" w:line="348" w:lineRule="auto"/>
        <w:ind w:firstLine="567"/>
        <w:jc w:val="both"/>
        <w:rPr>
          <w:rFonts w:ascii="Sylfaen" w:hAnsi="Sylfaen" w:cs="Sylfaen"/>
          <w:sz w:val="24"/>
          <w:szCs w:val="24"/>
        </w:rPr>
      </w:pPr>
      <w:r w:rsidRPr="0007153C">
        <w:rPr>
          <w:rFonts w:ascii="Sylfaen" w:hAnsi="Sylfaen"/>
          <w:b/>
          <w:sz w:val="24"/>
          <w:szCs w:val="24"/>
        </w:rPr>
        <w:t>ներկառուցվող սառնարանային սարք՝</w:t>
      </w:r>
      <w:r w:rsidR="00CA27E3">
        <w:rPr>
          <w:rFonts w:ascii="Sylfaen" w:hAnsi="Sylfaen"/>
          <w:sz w:val="24"/>
          <w:szCs w:val="24"/>
        </w:rPr>
        <w:t xml:space="preserve"> </w:t>
      </w:r>
      <w:r w:rsidRPr="00CA27E3">
        <w:rPr>
          <w:rFonts w:ascii="Sylfaen" w:hAnsi="Sylfaen"/>
          <w:sz w:val="24"/>
          <w:szCs w:val="24"/>
        </w:rPr>
        <w:t>կահույք</w:t>
      </w:r>
      <w:r w:rsidR="00B05B00" w:rsidRPr="00CA27E3">
        <w:rPr>
          <w:rFonts w:ascii="Sylfaen" w:hAnsi="Sylfaen"/>
          <w:sz w:val="24"/>
          <w:szCs w:val="24"/>
        </w:rPr>
        <w:t xml:space="preserve">ի </w:t>
      </w:r>
      <w:r w:rsidRPr="00CA27E3">
        <w:rPr>
          <w:rFonts w:ascii="Sylfaen" w:hAnsi="Sylfaen"/>
          <w:sz w:val="24"/>
          <w:szCs w:val="24"/>
        </w:rPr>
        <w:t>մ</w:t>
      </w:r>
      <w:r w:rsidR="00B05B00" w:rsidRPr="00CA27E3">
        <w:rPr>
          <w:rFonts w:ascii="Sylfaen" w:hAnsi="Sylfaen"/>
          <w:sz w:val="24"/>
          <w:szCs w:val="24"/>
        </w:rPr>
        <w:t>եջ</w:t>
      </w:r>
      <w:r w:rsidRPr="00CA27E3">
        <w:rPr>
          <w:rFonts w:ascii="Sylfaen" w:hAnsi="Sylfaen"/>
          <w:sz w:val="24"/>
          <w:szCs w:val="24"/>
        </w:rPr>
        <w:t xml:space="preserve">, պատի խորշում կամ հատուկ հարմարեցված այլ վայրում տեղադրելու համար նախատեսված ստացիոնար սառնարանային սարք. </w:t>
      </w:r>
    </w:p>
    <w:p w14:paraId="316141C9"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07153C">
        <w:rPr>
          <w:rFonts w:ascii="Sylfaen" w:hAnsi="Sylfaen"/>
          <w:b/>
          <w:sz w:val="24"/>
          <w:szCs w:val="24"/>
        </w:rPr>
        <w:lastRenderedPageBreak/>
        <w:t>սառեցրած սննդամթերքի պահման համար նախատեսված խցիկ՝</w:t>
      </w:r>
      <w:r w:rsidRPr="00CA27E3">
        <w:rPr>
          <w:rFonts w:ascii="Sylfaen" w:hAnsi="Sylfaen"/>
          <w:sz w:val="24"/>
          <w:szCs w:val="24"/>
        </w:rPr>
        <w:t xml:space="preserve"> սառեցրած սննդամթերքի պահման համար նախատեսված մեկ կամ մի քանի բաժանմունք ունեցող խցիկ. </w:t>
      </w:r>
    </w:p>
    <w:p w14:paraId="7B258033"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07153C">
        <w:rPr>
          <w:rFonts w:ascii="Sylfaen" w:hAnsi="Sylfaen"/>
          <w:b/>
          <w:sz w:val="24"/>
          <w:szCs w:val="24"/>
        </w:rPr>
        <w:t>սառեցրած սննդամթերքի պահման համար նախատեսված խցիկ</w:t>
      </w:r>
      <w:r w:rsidRPr="00CA27E3">
        <w:rPr>
          <w:rFonts w:ascii="Sylfaen" w:hAnsi="Sylfaen"/>
          <w:sz w:val="24"/>
          <w:szCs w:val="24"/>
        </w:rPr>
        <w:t>՝ առանց եղյամի առաջացման»՝ սառեցրած սննդամթերքի պահման համար նախատեսված խցիկ, որի բոլոր բաժանմունքներն ապասառեցվում</w:t>
      </w:r>
      <w:r w:rsidR="0024157F" w:rsidRPr="00CA27E3">
        <w:rPr>
          <w:rFonts w:ascii="Sylfaen" w:hAnsi="Sylfaen"/>
          <w:sz w:val="24"/>
          <w:szCs w:val="24"/>
        </w:rPr>
        <w:t xml:space="preserve"> են ավտոմատ կերպով՝ ձյունաջրի ավտոմատ հեռացմամբ, եւ որը պաղեցվում</w:t>
      </w:r>
      <w:r w:rsidRPr="00CA27E3">
        <w:rPr>
          <w:rFonts w:ascii="Sylfaen" w:hAnsi="Sylfaen"/>
          <w:sz w:val="24"/>
          <w:szCs w:val="24"/>
        </w:rPr>
        <w:t xml:space="preserve"> է առանց եղյամի առաջացման համակարգով. </w:t>
      </w:r>
    </w:p>
    <w:p w14:paraId="68B42FF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07153C">
        <w:rPr>
          <w:rFonts w:ascii="Sylfaen" w:hAnsi="Sylfaen"/>
          <w:b/>
          <w:sz w:val="24"/>
          <w:szCs w:val="24"/>
        </w:rPr>
        <w:t>սառցարան՝</w:t>
      </w:r>
      <w:r w:rsidRPr="00CA27E3">
        <w:rPr>
          <w:rFonts w:ascii="Sylfaen" w:hAnsi="Sylfaen"/>
          <w:sz w:val="24"/>
          <w:szCs w:val="24"/>
        </w:rPr>
        <w:t xml:space="preserve"> շրջակա միջավայրի ջերմաստիճանից մինչեւ -18 °C ջերմաստիճանի պայմաններում սառեցրած սննդամթերքի եւ «***» ռեժիմին համապատասխանող պայմաններում սառեցրած սննդամթերքի պահման համար նախատեսված մեկ կամ մի քանի բաժանմունք ունեցող սառնարանային սարք.</w:t>
      </w:r>
    </w:p>
    <w:p w14:paraId="63A11848"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07153C">
        <w:rPr>
          <w:rFonts w:ascii="Sylfaen" w:hAnsi="Sylfaen"/>
          <w:b/>
          <w:sz w:val="24"/>
          <w:szCs w:val="24"/>
        </w:rPr>
        <w:t>սառցարան</w:t>
      </w:r>
      <w:r w:rsidRPr="00CA27E3">
        <w:rPr>
          <w:rFonts w:ascii="Sylfaen" w:hAnsi="Sylfaen"/>
          <w:sz w:val="24"/>
          <w:szCs w:val="24"/>
        </w:rPr>
        <w:t>՝ առանց եղյամի առաջացման»՝ սառցարան, որի բոլոր բաժանմունք</w:t>
      </w:r>
      <w:r w:rsidR="00F96469" w:rsidRPr="00CA27E3">
        <w:rPr>
          <w:rFonts w:ascii="Sylfaen" w:hAnsi="Sylfaen"/>
          <w:sz w:val="24"/>
          <w:szCs w:val="24"/>
        </w:rPr>
        <w:t>ն</w:t>
      </w:r>
      <w:r w:rsidRPr="00CA27E3">
        <w:rPr>
          <w:rFonts w:ascii="Sylfaen" w:hAnsi="Sylfaen"/>
          <w:sz w:val="24"/>
          <w:szCs w:val="24"/>
        </w:rPr>
        <w:t>երն</w:t>
      </w:r>
      <w:r w:rsidR="00CA27E3">
        <w:rPr>
          <w:rFonts w:ascii="Sylfaen" w:hAnsi="Sylfaen"/>
          <w:sz w:val="24"/>
          <w:szCs w:val="24"/>
        </w:rPr>
        <w:t xml:space="preserve"> </w:t>
      </w:r>
      <w:r w:rsidRPr="00CA27E3">
        <w:rPr>
          <w:rFonts w:ascii="Sylfaen" w:hAnsi="Sylfaen"/>
          <w:sz w:val="24"/>
          <w:szCs w:val="24"/>
        </w:rPr>
        <w:t>ապասառեցվում են ավտոմատ կերպով՝ ձյունաջրի ավտոմատ հեռացմամբ, եւ որի առնվազն մեկ բաժանմունքը պաղեցվում է առանց եղյամի առաջացման համակարգով.</w:t>
      </w:r>
    </w:p>
    <w:p w14:paraId="362D5E2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սառցարանային բաժանմունք («****» մականշվածքով բաժանմունք)՝</w:t>
      </w:r>
      <w:r w:rsidRPr="00CA27E3">
        <w:rPr>
          <w:rFonts w:ascii="Sylfaen" w:hAnsi="Sylfaen"/>
          <w:sz w:val="24"/>
          <w:szCs w:val="24"/>
        </w:rPr>
        <w:t xml:space="preserve"> սննդամթերքը մինչեւ -18 °C-ից ոչ բարձր ջերմաստիճանը սառեցնելու եւ սառեցրած սննդամթերքը</w:t>
      </w:r>
      <w:r w:rsidR="00CA27E3">
        <w:rPr>
          <w:rFonts w:ascii="Sylfaen" w:hAnsi="Sylfaen"/>
          <w:sz w:val="24"/>
          <w:szCs w:val="24"/>
        </w:rPr>
        <w:t xml:space="preserve"> </w:t>
      </w:r>
      <w:r w:rsidRPr="00CA27E3">
        <w:rPr>
          <w:rFonts w:ascii="Sylfaen" w:hAnsi="Sylfaen"/>
          <w:sz w:val="24"/>
          <w:szCs w:val="24"/>
        </w:rPr>
        <w:t xml:space="preserve">«***» ռեժիմին համապատասխանող պայմաններում պահելու համար նախատեսված բաժանմունք (բաժանմունքի ներսում թույլատրվում են «**» մականշվածքով գոտիներ եւ (կամ) բաժանմունքներ). </w:t>
      </w:r>
    </w:p>
    <w:p w14:paraId="0582739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ընդհանուր բրուտտո ծավալ</w:t>
      </w:r>
      <w:r w:rsidRPr="00CA27E3">
        <w:rPr>
          <w:rFonts w:ascii="Sylfaen" w:hAnsi="Sylfaen"/>
          <w:sz w:val="24"/>
          <w:szCs w:val="24"/>
        </w:rPr>
        <w:t>՝ արտաքին դռնով, առանց ներքին կոմպլեկտավորող տարրեր</w:t>
      </w:r>
      <w:r w:rsidR="002140E3" w:rsidRPr="00CA27E3">
        <w:rPr>
          <w:rFonts w:ascii="Sylfaen" w:hAnsi="Sylfaen"/>
          <w:sz w:val="24"/>
          <w:szCs w:val="24"/>
        </w:rPr>
        <w:t>ի, փակ դռներով կամ կափարիչներով</w:t>
      </w:r>
      <w:r w:rsidRPr="00CA27E3">
        <w:rPr>
          <w:rFonts w:ascii="Sylfaen" w:hAnsi="Sylfaen"/>
          <w:sz w:val="24"/>
          <w:szCs w:val="24"/>
        </w:rPr>
        <w:t xml:space="preserve"> սառնարանային սարքի կամ բաժանմունքի ներքին միջնապատերով սահմանափակված ծավալը.</w:t>
      </w:r>
    </w:p>
    <w:p w14:paraId="789809E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պաղեցրած սննդամթերքի համար նախատեսված բաժանմունք</w:t>
      </w:r>
      <w:r w:rsidRPr="00CA27E3">
        <w:rPr>
          <w:rFonts w:ascii="Sylfaen" w:hAnsi="Sylfaen"/>
          <w:sz w:val="24"/>
          <w:szCs w:val="24"/>
        </w:rPr>
        <w:t>՝ շուտ փչացող սննդամթերքի պահման համար նախատեսված բաժանմունք.</w:t>
      </w:r>
    </w:p>
    <w:p w14:paraId="7BC1557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սառույց ստանալու համար նախատեսված բաժանմունք՝</w:t>
      </w:r>
      <w:r w:rsidRPr="00CA27E3">
        <w:rPr>
          <w:rFonts w:ascii="Sylfaen" w:hAnsi="Sylfaen"/>
          <w:sz w:val="24"/>
          <w:szCs w:val="24"/>
        </w:rPr>
        <w:t xml:space="preserve"> սառույց ստանալու եւ պահելու համար նախատեսված ցածրջերմաստիճանային բաժանմունք.</w:t>
      </w:r>
    </w:p>
    <w:p w14:paraId="42F868A8"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lastRenderedPageBreak/>
        <w:t xml:space="preserve">սառեցրած սննդամթերքի պահման համար նախատեսված բաժանմունք՝ </w:t>
      </w:r>
      <w:r w:rsidRPr="00CA27E3">
        <w:rPr>
          <w:rFonts w:ascii="Sylfaen" w:hAnsi="Sylfaen"/>
          <w:sz w:val="24"/>
          <w:szCs w:val="24"/>
        </w:rPr>
        <w:t>սառեցրած սննդամթերքի պահման համար նախատեսված ցածրջերմաստիճանային բաժանմունք.</w:t>
      </w:r>
    </w:p>
    <w:p w14:paraId="4ED3D85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թարմ սննդամթերքի պահման համար նախատեսված բաժանմունք՝</w:t>
      </w:r>
      <w:r w:rsidRPr="00CA27E3">
        <w:rPr>
          <w:rFonts w:ascii="Sylfaen" w:hAnsi="Sylfaen"/>
          <w:sz w:val="24"/>
          <w:szCs w:val="24"/>
        </w:rPr>
        <w:t xml:space="preserve"> չսառեցրած սննդամթերքի պահման համար նախատեսված բաժանմունք, որը կարող է բաժանվել մի քանի բաժինների.</w:t>
      </w:r>
    </w:p>
    <w:p w14:paraId="301E426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 մականշվածքով բաժանմունք՝</w:t>
      </w:r>
      <w:r w:rsidRPr="00CA27E3">
        <w:rPr>
          <w:rFonts w:ascii="Sylfaen" w:hAnsi="Sylfaen"/>
          <w:sz w:val="24"/>
          <w:szCs w:val="24"/>
        </w:rPr>
        <w:t xml:space="preserve"> սառեցրած սննդամթերքի պահման համար նախատեսված բաժանմունք, որտեղ ջերմաստիճանը -6 °C-ից բարձր չէ.</w:t>
      </w:r>
    </w:p>
    <w:p w14:paraId="13E5BB31"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 մականշվածքով բաժանմունք՝</w:t>
      </w:r>
      <w:r w:rsidRPr="00CA27E3">
        <w:rPr>
          <w:rFonts w:ascii="Sylfaen" w:hAnsi="Sylfaen"/>
          <w:sz w:val="24"/>
          <w:szCs w:val="24"/>
        </w:rPr>
        <w:t xml:space="preserve"> սառեցրած սննդամթերքի պահման համար նախատեսված բաժանմունք, որտեղ ջերմաստիճանը -12 °C-ից բարձր չէ.</w:t>
      </w:r>
    </w:p>
    <w:p w14:paraId="6F4AF780" w14:textId="77777777" w:rsidR="00FD48C7" w:rsidRPr="00CA27E3" w:rsidRDefault="00BB04FF" w:rsidP="0092264D">
      <w:pPr>
        <w:pStyle w:val="BodyText1"/>
        <w:shd w:val="clear" w:color="auto" w:fill="auto"/>
        <w:spacing w:after="160" w:line="343" w:lineRule="auto"/>
        <w:ind w:firstLine="567"/>
        <w:jc w:val="both"/>
        <w:rPr>
          <w:rFonts w:ascii="Sylfaen" w:hAnsi="Sylfaen" w:cs="Sylfaen"/>
          <w:sz w:val="24"/>
          <w:szCs w:val="24"/>
        </w:rPr>
      </w:pPr>
      <w:r w:rsidRPr="0092264D">
        <w:rPr>
          <w:rFonts w:ascii="Sylfaen" w:hAnsi="Sylfaen"/>
          <w:b/>
          <w:sz w:val="24"/>
          <w:szCs w:val="24"/>
        </w:rPr>
        <w:t>«***» մականշվածքով բաժանմունք՝</w:t>
      </w:r>
      <w:r w:rsidRPr="00CA27E3">
        <w:rPr>
          <w:rFonts w:ascii="Sylfaen" w:hAnsi="Sylfaen"/>
          <w:sz w:val="24"/>
          <w:szCs w:val="24"/>
        </w:rPr>
        <w:t xml:space="preserve"> սառեցրած սննդամթերքի պահման համար նախատեսված բաժանմունք, որտեղ ջերմաստիճանը -18 °C-ից բարձր չէ.</w:t>
      </w:r>
    </w:p>
    <w:p w14:paraId="2A05EC40" w14:textId="77777777" w:rsidR="00FD48C7" w:rsidRPr="00CA27E3" w:rsidRDefault="00BB04FF" w:rsidP="0092264D">
      <w:pPr>
        <w:pStyle w:val="BodyText1"/>
        <w:shd w:val="clear" w:color="auto" w:fill="auto"/>
        <w:spacing w:after="160" w:line="343" w:lineRule="auto"/>
        <w:ind w:firstLine="567"/>
        <w:jc w:val="both"/>
        <w:rPr>
          <w:rFonts w:ascii="Sylfaen" w:hAnsi="Sylfaen" w:cs="Sylfaen"/>
          <w:sz w:val="24"/>
          <w:szCs w:val="24"/>
        </w:rPr>
      </w:pPr>
      <w:r w:rsidRPr="0092264D">
        <w:rPr>
          <w:rFonts w:ascii="Sylfaen" w:hAnsi="Sylfaen"/>
          <w:b/>
          <w:sz w:val="24"/>
          <w:szCs w:val="24"/>
        </w:rPr>
        <w:t>չափավոր ջերմաստիճանով բաժանմունք՝</w:t>
      </w:r>
      <w:r w:rsidRPr="00CA27E3">
        <w:rPr>
          <w:rFonts w:ascii="Sylfaen" w:hAnsi="Sylfaen"/>
          <w:sz w:val="24"/>
          <w:szCs w:val="24"/>
        </w:rPr>
        <w:t xml:space="preserve"> թարմ սննդամթերքի պահման համար նախատեսված բաժանմունքի ջերաստիճանից ավելի բարձր ջերմաստիճանի պայմաններում սննդամթերքների կամ խմիչքների պահման համար նախատեսված բաժանմունք.</w:t>
      </w:r>
    </w:p>
    <w:p w14:paraId="40452BBE" w14:textId="77777777" w:rsidR="00FD48C7" w:rsidRPr="00CA27E3" w:rsidRDefault="00BB04FF" w:rsidP="0092264D">
      <w:pPr>
        <w:pStyle w:val="BodyText1"/>
        <w:shd w:val="clear" w:color="auto" w:fill="auto"/>
        <w:spacing w:after="160" w:line="343" w:lineRule="auto"/>
        <w:ind w:firstLine="567"/>
        <w:jc w:val="both"/>
        <w:rPr>
          <w:rFonts w:ascii="Sylfaen" w:hAnsi="Sylfaen" w:cs="Sylfaen"/>
          <w:sz w:val="24"/>
          <w:szCs w:val="24"/>
        </w:rPr>
      </w:pPr>
      <w:r w:rsidRPr="0092264D">
        <w:rPr>
          <w:rFonts w:ascii="Sylfaen" w:hAnsi="Sylfaen"/>
          <w:b/>
          <w:sz w:val="24"/>
          <w:szCs w:val="24"/>
        </w:rPr>
        <w:t>պահման օգտակար մակերես՝</w:t>
      </w:r>
      <w:r w:rsidRPr="00CA27E3">
        <w:rPr>
          <w:rFonts w:ascii="Sylfaen" w:hAnsi="Sylfaen"/>
          <w:sz w:val="24"/>
          <w:szCs w:val="24"/>
        </w:rPr>
        <w:t xml:space="preserve"> սննդամթերքի պահման համար նախատեսված հորիզոնական մակերեւույթների մակերեսների գումարը՝ օգտակար ծավալի սահմաններում՝ ներառյալ դռան դարակներն ու յուրաքանչյուր բաժանմունքի ներքեւի մասը.</w:t>
      </w:r>
    </w:p>
    <w:p w14:paraId="38ABDF5B" w14:textId="77777777" w:rsidR="00FD48C7" w:rsidRPr="00CA27E3" w:rsidRDefault="00BB04FF" w:rsidP="0092264D">
      <w:pPr>
        <w:pStyle w:val="BodyText1"/>
        <w:shd w:val="clear" w:color="auto" w:fill="auto"/>
        <w:spacing w:after="160" w:line="343" w:lineRule="auto"/>
        <w:ind w:firstLine="567"/>
        <w:jc w:val="both"/>
        <w:rPr>
          <w:rFonts w:ascii="Sylfaen" w:hAnsi="Sylfaen" w:cs="Sylfaen"/>
          <w:sz w:val="24"/>
          <w:szCs w:val="24"/>
        </w:rPr>
      </w:pPr>
      <w:r w:rsidRPr="0092264D">
        <w:rPr>
          <w:rFonts w:ascii="Sylfaen" w:hAnsi="Sylfaen"/>
          <w:b/>
          <w:sz w:val="24"/>
          <w:szCs w:val="24"/>
        </w:rPr>
        <w:t>օգտակար ծավալ՝</w:t>
      </w:r>
      <w:r w:rsidRPr="00CA27E3">
        <w:rPr>
          <w:rFonts w:ascii="Sylfaen" w:hAnsi="Sylfaen"/>
          <w:sz w:val="24"/>
          <w:szCs w:val="24"/>
        </w:rPr>
        <w:t xml:space="preserve"> յուրաքանչյուր բաժանմունքի ընդհանուր բրուտտո ծավալի եւ սննդամթերքի պահման համար չօգտագործվող տարրերի</w:t>
      </w:r>
      <w:r w:rsidR="00A8467E" w:rsidRPr="00CA27E3">
        <w:rPr>
          <w:rFonts w:ascii="Sylfaen" w:hAnsi="Sylfaen"/>
          <w:sz w:val="24"/>
          <w:szCs w:val="24"/>
        </w:rPr>
        <w:t xml:space="preserve"> եւ</w:t>
      </w:r>
      <w:r w:rsidRPr="00CA27E3">
        <w:rPr>
          <w:rFonts w:ascii="Sylfaen" w:hAnsi="Sylfaen"/>
          <w:sz w:val="24"/>
          <w:szCs w:val="24"/>
        </w:rPr>
        <w:t xml:space="preserve"> տարածքի ծավալի միջեւ տարբերությունը.</w:t>
      </w:r>
    </w:p>
    <w:p w14:paraId="34A47CE7" w14:textId="77777777" w:rsidR="00FD48C7" w:rsidRPr="00CA27E3" w:rsidRDefault="00BB04FF" w:rsidP="0092264D">
      <w:pPr>
        <w:pStyle w:val="BodyText1"/>
        <w:shd w:val="clear" w:color="auto" w:fill="auto"/>
        <w:spacing w:after="160" w:line="343" w:lineRule="auto"/>
        <w:ind w:firstLine="567"/>
        <w:jc w:val="both"/>
        <w:rPr>
          <w:rFonts w:ascii="Sylfaen" w:hAnsi="Sylfaen" w:cs="Sylfaen"/>
          <w:sz w:val="24"/>
          <w:szCs w:val="24"/>
        </w:rPr>
      </w:pPr>
      <w:r w:rsidRPr="0092264D">
        <w:rPr>
          <w:rFonts w:ascii="Sylfaen" w:hAnsi="Sylfaen"/>
          <w:b/>
          <w:sz w:val="24"/>
          <w:szCs w:val="24"/>
        </w:rPr>
        <w:t>դարակ՝</w:t>
      </w:r>
      <w:r w:rsidRPr="00CA27E3">
        <w:rPr>
          <w:rFonts w:ascii="Sylfaen" w:hAnsi="Sylfaen"/>
          <w:sz w:val="24"/>
          <w:szCs w:val="24"/>
        </w:rPr>
        <w:t xml:space="preserve"> հորիզոնական մակերեւույթ (վանդակաճաղ, միջնապատ եւ այլն), որի վրա կարող է տեղադրվել սննդամթերքը եւ որը կազմված է կողք կողքի դասավորված մեկ կամ մի քանի ամրացված կամ հանովի տարրերից.</w:t>
      </w:r>
    </w:p>
    <w:p w14:paraId="25587167" w14:textId="77777777" w:rsidR="00FD48C7" w:rsidRPr="00CA27E3" w:rsidRDefault="00BB04FF" w:rsidP="0092264D">
      <w:pPr>
        <w:pStyle w:val="BodyText1"/>
        <w:shd w:val="clear" w:color="auto" w:fill="auto"/>
        <w:spacing w:after="160" w:line="343" w:lineRule="auto"/>
        <w:ind w:firstLine="567"/>
        <w:jc w:val="both"/>
        <w:rPr>
          <w:rFonts w:ascii="Sylfaen" w:hAnsi="Sylfaen" w:cs="Sylfaen"/>
          <w:sz w:val="24"/>
          <w:szCs w:val="24"/>
        </w:rPr>
      </w:pPr>
      <w:r w:rsidRPr="0092264D">
        <w:rPr>
          <w:rFonts w:ascii="Sylfaen" w:hAnsi="Sylfaen"/>
          <w:b/>
          <w:sz w:val="24"/>
          <w:szCs w:val="24"/>
        </w:rPr>
        <w:t>էներգիայի սպառում՝</w:t>
      </w:r>
      <w:r w:rsidRPr="00CA27E3">
        <w:rPr>
          <w:rFonts w:ascii="Sylfaen" w:hAnsi="Sylfaen"/>
          <w:sz w:val="24"/>
          <w:szCs w:val="24"/>
        </w:rPr>
        <w:t xml:space="preserve"> սառնարանային սարքի կողմից 24 ժամվա ընթացքում սպառվող էներգիայի մեծությունը բնութագրող</w:t>
      </w:r>
      <w:r w:rsidR="00CA27E3">
        <w:rPr>
          <w:rFonts w:ascii="Sylfaen" w:hAnsi="Sylfaen"/>
          <w:sz w:val="24"/>
          <w:szCs w:val="24"/>
        </w:rPr>
        <w:t xml:space="preserve"> </w:t>
      </w:r>
      <w:r w:rsidRPr="00CA27E3">
        <w:rPr>
          <w:rFonts w:ascii="Sylfaen" w:hAnsi="Sylfaen"/>
          <w:sz w:val="24"/>
          <w:szCs w:val="24"/>
        </w:rPr>
        <w:t>պարամետր.</w:t>
      </w:r>
    </w:p>
    <w:p w14:paraId="4D033AD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lastRenderedPageBreak/>
        <w:t>«**» մականշվածքով բաժին՝</w:t>
      </w:r>
      <w:r w:rsidRPr="00CA27E3">
        <w:rPr>
          <w:rFonts w:ascii="Sylfaen" w:hAnsi="Sylfaen"/>
          <w:sz w:val="24"/>
          <w:szCs w:val="24"/>
        </w:rPr>
        <w:t xml:space="preserve"> սառցարանային բաժանմունքի կամ «***» մականշվածքով խցիկի բաժին, որը չունի առանձին դուռ կամ կափարիչ եւ որի ջերմաստիճանը -12 °C-ից բարձր չէ.</w:t>
      </w:r>
    </w:p>
    <w:p w14:paraId="0FF4E2FC"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առանց եղյամի առաջացման համակարգ՝</w:t>
      </w:r>
      <w:r w:rsidRPr="00CA27E3">
        <w:rPr>
          <w:rFonts w:ascii="Sylfaen" w:hAnsi="Sylfaen"/>
          <w:sz w:val="24"/>
          <w:szCs w:val="24"/>
        </w:rPr>
        <w:t xml:space="preserve"> ավտոմատ գործարկման համակարգ, որը կանխում է եղյամի մշտական առաջացումը, ապահովում է պաղեցումը՝ օդի</w:t>
      </w:r>
      <w:r w:rsidR="00CA27E3">
        <w:rPr>
          <w:rFonts w:ascii="Sylfaen" w:hAnsi="Sylfaen"/>
          <w:sz w:val="24"/>
          <w:szCs w:val="24"/>
        </w:rPr>
        <w:t xml:space="preserve"> </w:t>
      </w:r>
      <w:r w:rsidRPr="00CA27E3">
        <w:rPr>
          <w:rFonts w:ascii="Sylfaen" w:hAnsi="Sylfaen"/>
          <w:sz w:val="24"/>
          <w:szCs w:val="24"/>
        </w:rPr>
        <w:t>հարկադրական շրջանառության միջոցով՝ գոլորշիչի ավտոմատ ապասառեցմամբ եւ ձյունաջրի հեռացմամբ.</w:t>
      </w:r>
    </w:p>
    <w:p w14:paraId="40B49CB6"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սառնարան՝</w:t>
      </w:r>
      <w:r w:rsidRPr="00CA27E3">
        <w:rPr>
          <w:rFonts w:ascii="Sylfaen" w:hAnsi="Sylfaen"/>
          <w:sz w:val="24"/>
          <w:szCs w:val="24"/>
        </w:rPr>
        <w:t xml:space="preserve"> սննդամթերքի պահման համար նախատեսված սառնարանային սարք, որի մեկ կամ մի քանի բաժանմունքները նախատեսված են թարմ սննդամթերքի տեղադրման համար.</w:t>
      </w:r>
    </w:p>
    <w:p w14:paraId="6BECD0A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սառնարան՝ առանց եղյամի առաջացման՝</w:t>
      </w:r>
      <w:r w:rsidRPr="00CA27E3">
        <w:rPr>
          <w:rFonts w:ascii="Sylfaen" w:hAnsi="Sylfaen"/>
          <w:sz w:val="24"/>
          <w:szCs w:val="24"/>
        </w:rPr>
        <w:t xml:space="preserve"> ավտոմատ ապասառեցմամբ եւ բոլոր բաժանմունքներից ձյունաջրի հեռացմամբ սառնարանային սարք, որն ունի 2-ից ոչ պակաս բաժանմունքներ, որոնցից առնվազն</w:t>
      </w:r>
      <w:r w:rsidR="00CA27E3">
        <w:rPr>
          <w:rFonts w:ascii="Sylfaen" w:hAnsi="Sylfaen"/>
          <w:sz w:val="24"/>
          <w:szCs w:val="24"/>
        </w:rPr>
        <w:t xml:space="preserve"> </w:t>
      </w:r>
      <w:r w:rsidRPr="00CA27E3">
        <w:rPr>
          <w:rFonts w:ascii="Sylfaen" w:hAnsi="Sylfaen"/>
          <w:sz w:val="24"/>
          <w:szCs w:val="24"/>
        </w:rPr>
        <w:t>մեկը պաղեցվում է առանց եղյամի առաջացման համակարգով, եւ որոնցից առնվազն մեկը նախատեսված է սառեցրած սննդամթերքի պահման համար (նույնիսկ առանց եղյամի առաջացման համակարգի առկայության դեպքում մեկ բաժանմունք ունեցող սառնարանը չի</w:t>
      </w:r>
      <w:r w:rsidR="000E6C97" w:rsidRPr="000E6C97">
        <w:rPr>
          <w:rFonts w:ascii="Sylfaen" w:hAnsi="Sylfaen"/>
          <w:sz w:val="24"/>
          <w:szCs w:val="24"/>
        </w:rPr>
        <w:t> </w:t>
      </w:r>
      <w:r w:rsidRPr="00CA27E3">
        <w:rPr>
          <w:rFonts w:ascii="Sylfaen" w:hAnsi="Sylfaen"/>
          <w:sz w:val="24"/>
          <w:szCs w:val="24"/>
        </w:rPr>
        <w:t>համապատասխանում այս սահմանմանը).</w:t>
      </w:r>
    </w:p>
    <w:p w14:paraId="770E5F86"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սառնարան-սառցարան՝</w:t>
      </w:r>
      <w:r w:rsidRPr="00CA27E3">
        <w:rPr>
          <w:rFonts w:ascii="Sylfaen" w:hAnsi="Sylfaen"/>
          <w:sz w:val="24"/>
          <w:szCs w:val="24"/>
        </w:rPr>
        <w:t xml:space="preserve"> սառնարան, որն ունի 2-ից ոչ պակաս բաժանմունքներ, որոնցից առնվազն</w:t>
      </w:r>
      <w:r w:rsidR="00CA27E3">
        <w:rPr>
          <w:rFonts w:ascii="Sylfaen" w:hAnsi="Sylfaen"/>
          <w:sz w:val="24"/>
          <w:szCs w:val="24"/>
        </w:rPr>
        <w:t xml:space="preserve"> </w:t>
      </w:r>
      <w:r w:rsidRPr="00CA27E3">
        <w:rPr>
          <w:rFonts w:ascii="Sylfaen" w:hAnsi="Sylfaen"/>
          <w:sz w:val="24"/>
          <w:szCs w:val="24"/>
        </w:rPr>
        <w:t>մեկը նախատեսված է թարմ սննդամթերքի պահման համար (թարմ սննդամթերքի պահման համար նախատեսված բաժանմունք), եւ առնվազն մեկը</w:t>
      </w:r>
      <w:r w:rsidR="00CA27E3">
        <w:rPr>
          <w:rFonts w:ascii="Sylfaen" w:hAnsi="Sylfaen"/>
          <w:sz w:val="24"/>
          <w:szCs w:val="24"/>
        </w:rPr>
        <w:t xml:space="preserve"> </w:t>
      </w:r>
      <w:r w:rsidRPr="00CA27E3">
        <w:rPr>
          <w:rFonts w:ascii="Sylfaen" w:hAnsi="Sylfaen"/>
          <w:sz w:val="24"/>
          <w:szCs w:val="24"/>
        </w:rPr>
        <w:t>(սառցարանային բաժանմունք)՝ «***» ռեժիմին համապատասխանող պայմաններում</w:t>
      </w:r>
      <w:r w:rsidR="00F96469" w:rsidRPr="00CA27E3">
        <w:rPr>
          <w:rFonts w:ascii="Sylfaen" w:hAnsi="Sylfaen"/>
          <w:sz w:val="24"/>
          <w:szCs w:val="24"/>
        </w:rPr>
        <w:t>՝</w:t>
      </w:r>
      <w:r w:rsidRPr="00CA27E3">
        <w:rPr>
          <w:rFonts w:ascii="Sylfaen" w:hAnsi="Sylfaen"/>
          <w:sz w:val="24"/>
          <w:szCs w:val="24"/>
        </w:rPr>
        <w:t xml:space="preserve"> թարմ սննդամթերքի սառեցման եւ սառեցրած սննդամթերքի պահման համար.</w:t>
      </w:r>
      <w:r w:rsidR="00CA27E3">
        <w:rPr>
          <w:rFonts w:ascii="Sylfaen" w:hAnsi="Sylfaen"/>
          <w:sz w:val="24"/>
          <w:szCs w:val="24"/>
        </w:rPr>
        <w:t xml:space="preserve"> </w:t>
      </w:r>
    </w:p>
    <w:p w14:paraId="7D73A06C"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սառնարան-սառցարան՝</w:t>
      </w:r>
      <w:r w:rsidRPr="00CA27E3">
        <w:rPr>
          <w:rFonts w:ascii="Sylfaen" w:hAnsi="Sylfaen"/>
          <w:sz w:val="24"/>
          <w:szCs w:val="24"/>
        </w:rPr>
        <w:t xml:space="preserve"> առանց եղյամի առաջացման»՝ սառնարան, որի առնվազն 1 բաժանմունքը պաղեցվում է առանց եղյամի առաջացման համակարգով՝ ավտոմատ ապասառեցմամբ եւ դրանից ձյունաջրի հեռացմամբ.</w:t>
      </w:r>
    </w:p>
    <w:p w14:paraId="57DE3C1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սառնարան-պաղեցուցիչ՝</w:t>
      </w:r>
      <w:r w:rsidRPr="00CA27E3">
        <w:rPr>
          <w:rFonts w:ascii="Sylfaen" w:hAnsi="Sylfaen"/>
          <w:sz w:val="24"/>
          <w:szCs w:val="24"/>
        </w:rPr>
        <w:t xml:space="preserve"> սառնարան, որում առկա են թարմ սննդամթերքի պահման համար նախատեսված առնվազն 1 բաժանմունք եւ պաղեցման </w:t>
      </w:r>
      <w:r w:rsidRPr="00CA27E3">
        <w:rPr>
          <w:rFonts w:ascii="Sylfaen" w:hAnsi="Sylfaen"/>
          <w:sz w:val="24"/>
          <w:szCs w:val="24"/>
        </w:rPr>
        <w:lastRenderedPageBreak/>
        <w:t xml:space="preserve">բաժանմունք, սակայն բացակայում </w:t>
      </w:r>
      <w:r w:rsidR="00524097" w:rsidRPr="00CA27E3">
        <w:rPr>
          <w:rFonts w:ascii="Sylfaen" w:hAnsi="Sylfaen"/>
          <w:sz w:val="24"/>
          <w:szCs w:val="24"/>
        </w:rPr>
        <w:t>են</w:t>
      </w:r>
      <w:r w:rsidRPr="00CA27E3">
        <w:rPr>
          <w:rFonts w:ascii="Sylfaen" w:hAnsi="Sylfaen"/>
          <w:sz w:val="24"/>
          <w:szCs w:val="24"/>
        </w:rPr>
        <w:t xml:space="preserve"> սառեցրած սննդամթերքի </w:t>
      </w:r>
      <w:r w:rsidR="00524097" w:rsidRPr="00CA27E3">
        <w:rPr>
          <w:rFonts w:ascii="Sylfaen" w:hAnsi="Sylfaen"/>
          <w:sz w:val="24"/>
          <w:szCs w:val="24"/>
        </w:rPr>
        <w:t xml:space="preserve">պահման </w:t>
      </w:r>
      <w:r w:rsidR="001E750E" w:rsidRPr="00CA27E3">
        <w:rPr>
          <w:rFonts w:ascii="Sylfaen" w:hAnsi="Sylfaen"/>
          <w:sz w:val="24"/>
          <w:szCs w:val="24"/>
        </w:rPr>
        <w:t xml:space="preserve">համար </w:t>
      </w:r>
      <w:r w:rsidRPr="00CA27E3">
        <w:rPr>
          <w:rFonts w:ascii="Sylfaen" w:hAnsi="Sylfaen"/>
          <w:sz w:val="24"/>
          <w:szCs w:val="24"/>
        </w:rPr>
        <w:t>նախատեսված բաժանմունք</w:t>
      </w:r>
      <w:r w:rsidR="00F96469" w:rsidRPr="00CA27E3">
        <w:rPr>
          <w:rFonts w:ascii="Sylfaen" w:hAnsi="Sylfaen"/>
          <w:sz w:val="24"/>
          <w:szCs w:val="24"/>
        </w:rPr>
        <w:t>ն</w:t>
      </w:r>
      <w:r w:rsidR="00524097" w:rsidRPr="00CA27E3">
        <w:rPr>
          <w:rFonts w:ascii="Sylfaen" w:hAnsi="Sylfaen"/>
          <w:sz w:val="24"/>
          <w:szCs w:val="24"/>
        </w:rPr>
        <w:t>եր</w:t>
      </w:r>
      <w:r w:rsidRPr="00CA27E3">
        <w:rPr>
          <w:rFonts w:ascii="Sylfaen" w:hAnsi="Sylfaen"/>
          <w:sz w:val="24"/>
          <w:szCs w:val="24"/>
        </w:rPr>
        <w:t xml:space="preserve">. </w:t>
      </w:r>
    </w:p>
    <w:p w14:paraId="03B4AEC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սառնարանային սարք՝</w:t>
      </w:r>
      <w:r w:rsidRPr="00CA27E3">
        <w:rPr>
          <w:rFonts w:ascii="Sylfaen" w:hAnsi="Sylfaen"/>
          <w:sz w:val="24"/>
          <w:szCs w:val="24"/>
        </w:rPr>
        <w:t xml:space="preserve"> գործարանային արտադրության ջերմամեկուսացված խցիկ՝ 1 կամ մի քանի բաժանմունքներով, որոնց պաղեցումն ապահովվում է 1 կամ մի քանի սառնարանային ագրեգատներով, բնական կոնվեկցիայով եւ (կամ) առանց եղյամի առաջացման համակարգով.</w:t>
      </w:r>
    </w:p>
    <w:p w14:paraId="45A2C3E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աբսորբցիոն տիպի սառնարանային սարք՝</w:t>
      </w:r>
      <w:r w:rsidRPr="00CA27E3">
        <w:rPr>
          <w:rFonts w:ascii="Sylfaen" w:hAnsi="Sylfaen"/>
          <w:sz w:val="24"/>
          <w:szCs w:val="24"/>
        </w:rPr>
        <w:t xml:space="preserve"> սառնարանային սարք, որում </w:t>
      </w:r>
      <w:r w:rsidR="004E151F" w:rsidRPr="00CA27E3">
        <w:rPr>
          <w:rFonts w:ascii="Sylfaen" w:hAnsi="Sylfaen"/>
          <w:sz w:val="24"/>
          <w:szCs w:val="24"/>
        </w:rPr>
        <w:t>սառնության առաջացումն</w:t>
      </w:r>
      <w:r w:rsidRPr="00CA27E3">
        <w:rPr>
          <w:rFonts w:ascii="Sylfaen" w:hAnsi="Sylfaen"/>
          <w:sz w:val="24"/>
          <w:szCs w:val="24"/>
        </w:rPr>
        <w:t xml:space="preserve"> իրականացվում է աբսորբման եղանակով՝ ջերմության արտաքին աղբյուրի օգտագործմամբ.</w:t>
      </w:r>
    </w:p>
    <w:p w14:paraId="1041DE5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գինու պահման համար նախատեսված սառնարանային սարք, գինու պահարան, գինու մառան՝</w:t>
      </w:r>
      <w:r w:rsidRPr="00CA27E3">
        <w:rPr>
          <w:rFonts w:ascii="Sylfaen" w:hAnsi="Sylfaen"/>
          <w:sz w:val="24"/>
          <w:szCs w:val="24"/>
        </w:rPr>
        <w:t xml:space="preserve"> սառնարանային սարք, որը կազմված է գինու պահման համար նախատեսված մեկ կամ մի քանի բաժանմունքից եւ չունի որեւէ այլ բաժանմունք.</w:t>
      </w:r>
      <w:r w:rsidR="00CA27E3">
        <w:rPr>
          <w:rFonts w:ascii="Sylfaen" w:hAnsi="Sylfaen"/>
          <w:sz w:val="24"/>
          <w:szCs w:val="24"/>
        </w:rPr>
        <w:t xml:space="preserve"> </w:t>
      </w:r>
    </w:p>
    <w:p w14:paraId="49FC7C23"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սեղմումային տիպի սառնարանային</w:t>
      </w:r>
      <w:r w:rsidR="00CA27E3" w:rsidRPr="0092264D">
        <w:rPr>
          <w:rFonts w:ascii="Sylfaen" w:hAnsi="Sylfaen"/>
          <w:b/>
          <w:sz w:val="24"/>
          <w:szCs w:val="24"/>
        </w:rPr>
        <w:t xml:space="preserve"> </w:t>
      </w:r>
      <w:r w:rsidRPr="0092264D">
        <w:rPr>
          <w:rFonts w:ascii="Sylfaen" w:hAnsi="Sylfaen"/>
          <w:b/>
          <w:sz w:val="24"/>
          <w:szCs w:val="24"/>
        </w:rPr>
        <w:t>սարք՝</w:t>
      </w:r>
      <w:r w:rsidRPr="00CA27E3">
        <w:rPr>
          <w:rFonts w:ascii="Sylfaen" w:hAnsi="Sylfaen"/>
          <w:sz w:val="24"/>
          <w:szCs w:val="24"/>
        </w:rPr>
        <w:t xml:space="preserve"> սառնարանային սարք, որում սառնության առաջացումն իրականացվում է սեղմումային սառնարանային ագրեգատի միջոցով.</w:t>
      </w:r>
    </w:p>
    <w:p w14:paraId="7633293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«արկղ» տիպի սառնարանային սարք՝</w:t>
      </w:r>
      <w:r w:rsidRPr="00CA27E3">
        <w:rPr>
          <w:rFonts w:ascii="Sylfaen" w:hAnsi="Sylfaen"/>
          <w:sz w:val="24"/>
          <w:szCs w:val="24"/>
        </w:rPr>
        <w:t xml:space="preserve"> սառնարանային սարք, որի բաժանմունքը (բաժանմունքները) հասանելի են վերեւից.</w:t>
      </w:r>
    </w:p>
    <w:p w14:paraId="23C0653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«պահարան» տիպի սառնարանային սարք՝</w:t>
      </w:r>
      <w:r w:rsidRPr="00CA27E3">
        <w:rPr>
          <w:rFonts w:ascii="Sylfaen" w:hAnsi="Sylfaen"/>
          <w:sz w:val="24"/>
          <w:szCs w:val="24"/>
        </w:rPr>
        <w:t xml:space="preserve"> սառնարանային սարք, որի բաժանմունքը (բաժանմունքները) հասանելի են առջեւից.</w:t>
      </w:r>
    </w:p>
    <w:p w14:paraId="26F8BB9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92264D">
        <w:rPr>
          <w:rFonts w:ascii="Sylfaen" w:hAnsi="Sylfaen"/>
          <w:b/>
          <w:sz w:val="24"/>
          <w:szCs w:val="24"/>
        </w:rPr>
        <w:t>համարժեք սառնարանային սարք՝</w:t>
      </w:r>
      <w:r w:rsidRPr="00CA27E3">
        <w:rPr>
          <w:rFonts w:ascii="Sylfaen" w:hAnsi="Sylfaen"/>
          <w:sz w:val="24"/>
          <w:szCs w:val="24"/>
        </w:rPr>
        <w:t xml:space="preserve"> միեւնույն ընդհանուր բրուտտո ծավալով եւ օգտակար ծավալներով սառնարանային սարքի մոդել, որն ունի նույնպիսի տեխնիկական, արտադրական եւ շահագործման բնութագրեր ու բաժանմունքների տ</w:t>
      </w:r>
      <w:r w:rsidR="0063066F" w:rsidRPr="00CA27E3">
        <w:rPr>
          <w:rFonts w:ascii="Sylfaen" w:hAnsi="Sylfaen"/>
          <w:sz w:val="24"/>
          <w:szCs w:val="24"/>
        </w:rPr>
        <w:t>իպ</w:t>
      </w:r>
      <w:r w:rsidRPr="00CA27E3">
        <w:rPr>
          <w:rFonts w:ascii="Sylfaen" w:hAnsi="Sylfaen"/>
          <w:sz w:val="24"/>
          <w:szCs w:val="24"/>
        </w:rPr>
        <w:t>եր, ինչ որ նույն արտադրողի մեկ այլ սառնարանային սարք, որը Միության</w:t>
      </w:r>
      <w:r w:rsidR="00CA27E3">
        <w:rPr>
          <w:rFonts w:ascii="Sylfaen" w:hAnsi="Sylfaen"/>
          <w:sz w:val="24"/>
          <w:szCs w:val="24"/>
        </w:rPr>
        <w:t xml:space="preserve"> </w:t>
      </w:r>
      <w:r w:rsidRPr="00CA27E3">
        <w:rPr>
          <w:rFonts w:ascii="Sylfaen" w:hAnsi="Sylfaen"/>
          <w:sz w:val="24"/>
          <w:szCs w:val="24"/>
        </w:rPr>
        <w:t>մաքսային տարածքում շրջանառության մեջ է դրվում այլ առեւտրային նշանի ներքո։</w:t>
      </w:r>
    </w:p>
    <w:p w14:paraId="2F414EF2" w14:textId="77777777" w:rsidR="004657BA" w:rsidRPr="00CA27E3" w:rsidRDefault="004657BA" w:rsidP="00CA27E3">
      <w:pPr>
        <w:pStyle w:val="BodyText1"/>
        <w:shd w:val="clear" w:color="auto" w:fill="auto"/>
        <w:spacing w:after="160"/>
        <w:ind w:firstLine="0"/>
        <w:jc w:val="center"/>
        <w:rPr>
          <w:rFonts w:ascii="Sylfaen" w:hAnsi="Sylfaen" w:cs="Sylfaen"/>
          <w:sz w:val="24"/>
          <w:szCs w:val="24"/>
        </w:rPr>
      </w:pPr>
    </w:p>
    <w:p w14:paraId="777E7181" w14:textId="77777777" w:rsidR="00FD48C7" w:rsidRPr="00CA27E3" w:rsidRDefault="00BB04FF" w:rsidP="0092264D">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III. Սառնարանային սարքերի էներգետիկ արդյունավետությանը ներկայացվող պահանջները </w:t>
      </w:r>
      <w:r w:rsidR="00CA27E3">
        <w:rPr>
          <w:rFonts w:ascii="Sylfaen" w:hAnsi="Sylfaen"/>
          <w:sz w:val="24"/>
          <w:szCs w:val="24"/>
        </w:rPr>
        <w:t>եւ</w:t>
      </w:r>
      <w:r w:rsidRPr="00CA27E3">
        <w:rPr>
          <w:rFonts w:ascii="Sylfaen" w:hAnsi="Sylfaen"/>
          <w:sz w:val="24"/>
          <w:szCs w:val="24"/>
        </w:rPr>
        <w:t xml:space="preserve"> էներգետիկ արդյունավետության ցուցանիշների սահմանման առանձնահատկությունները</w:t>
      </w:r>
    </w:p>
    <w:p w14:paraId="48D548AA" w14:textId="77777777" w:rsidR="00FD48C7" w:rsidRPr="00CA27E3" w:rsidRDefault="00BB04FF" w:rsidP="0092264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92264D" w:rsidRPr="0092264D">
        <w:rPr>
          <w:rFonts w:ascii="Sylfaen" w:hAnsi="Sylfaen"/>
          <w:sz w:val="24"/>
          <w:szCs w:val="24"/>
        </w:rPr>
        <w:tab/>
      </w:r>
      <w:r w:rsidRPr="00CA27E3">
        <w:rPr>
          <w:rFonts w:ascii="Sylfaen" w:hAnsi="Sylfaen"/>
          <w:sz w:val="24"/>
          <w:szCs w:val="24"/>
        </w:rPr>
        <w:t>Սառնարանային սարքերի նկատմամբ անցկացվում են համապատասխան փորձարկումներ եւ որոշվում են էներգետիկ արդյունավետության ցուցիչ</w:t>
      </w:r>
      <w:r w:rsidR="00CE3919" w:rsidRPr="00CA27E3">
        <w:rPr>
          <w:rFonts w:ascii="Sylfaen" w:hAnsi="Sylfaen"/>
          <w:sz w:val="24"/>
          <w:szCs w:val="24"/>
        </w:rPr>
        <w:t>ներ</w:t>
      </w:r>
      <w:r w:rsidRPr="00CA27E3">
        <w:rPr>
          <w:rFonts w:ascii="Sylfaen" w:hAnsi="Sylfaen"/>
          <w:sz w:val="24"/>
          <w:szCs w:val="24"/>
        </w:rPr>
        <w:t>ի (EEI) արժեքները։</w:t>
      </w:r>
    </w:p>
    <w:p w14:paraId="395183B1"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Սառնարանային սարքի EEI-ը հաշվարկվում է հետ</w:t>
      </w:r>
      <w:r w:rsidR="00CA27E3">
        <w:rPr>
          <w:rFonts w:ascii="Sylfaen" w:hAnsi="Sylfaen"/>
          <w:sz w:val="24"/>
          <w:szCs w:val="24"/>
        </w:rPr>
        <w:t>եւ</w:t>
      </w:r>
      <w:r w:rsidRPr="00CA27E3">
        <w:rPr>
          <w:rFonts w:ascii="Sylfaen" w:hAnsi="Sylfaen"/>
          <w:sz w:val="24"/>
          <w:szCs w:val="24"/>
        </w:rPr>
        <w:t>յալ բանաձ</w:t>
      </w:r>
      <w:r w:rsidR="00CA27E3">
        <w:rPr>
          <w:rFonts w:ascii="Sylfaen" w:hAnsi="Sylfaen"/>
          <w:sz w:val="24"/>
          <w:szCs w:val="24"/>
        </w:rPr>
        <w:t>եւ</w:t>
      </w:r>
      <w:r w:rsidRPr="00CA27E3">
        <w:rPr>
          <w:rFonts w:ascii="Sylfaen" w:hAnsi="Sylfaen"/>
          <w:sz w:val="24"/>
          <w:szCs w:val="24"/>
        </w:rPr>
        <w:t>ով՝</w:t>
      </w:r>
    </w:p>
    <w:p w14:paraId="0735E04A" w14:textId="77777777" w:rsidR="0057067E" w:rsidRPr="00CA27E3" w:rsidRDefault="0057067E" w:rsidP="00CA27E3">
      <w:pPr>
        <w:pStyle w:val="BodyText1"/>
        <w:shd w:val="clear" w:color="auto" w:fill="auto"/>
        <w:spacing w:after="160"/>
        <w:ind w:firstLine="0"/>
        <w:jc w:val="center"/>
        <w:rPr>
          <w:rFonts w:ascii="Sylfaen" w:hAnsi="Sylfaen" w:cs="Sylfaen"/>
          <w:i/>
          <w:iCs/>
          <w:sz w:val="24"/>
          <w:szCs w:val="24"/>
        </w:rPr>
      </w:pPr>
      <m:oMathPara>
        <m:oMath>
          <m:r>
            <w:rPr>
              <w:rFonts w:ascii="Cambria Math" w:hAnsi="Cambria Math" w:cs="Sylfaen"/>
              <w:sz w:val="24"/>
              <w:szCs w:val="24"/>
            </w:rPr>
            <m:t>EEI</m:t>
          </m:r>
          <m:r>
            <w:rPr>
              <w:rFonts w:ascii="Cambria Math" w:hAnsi="Sylfaen" w:cs="Sylfaen"/>
              <w:sz w:val="24"/>
              <w:szCs w:val="24"/>
            </w:rPr>
            <m:t>=</m:t>
          </m:r>
          <m:f>
            <m:fPr>
              <m:ctrlPr>
                <w:rPr>
                  <w:rFonts w:ascii="Cambria Math" w:hAnsi="Sylfaen" w:cs="Sylfaen"/>
                  <w:i/>
                  <w:iCs/>
                  <w:sz w:val="24"/>
                  <w:szCs w:val="24"/>
                </w:rPr>
              </m:ctrlPr>
            </m:fPr>
            <m:num>
              <m:sSub>
                <m:sSubPr>
                  <m:ctrlPr>
                    <w:rPr>
                      <w:rFonts w:ascii="Cambria Math" w:hAnsi="Sylfaen" w:cs="Sylfaen"/>
                      <w:i/>
                      <w:iCs/>
                      <w:sz w:val="24"/>
                      <w:szCs w:val="24"/>
                    </w:rPr>
                  </m:ctrlPr>
                </m:sSubPr>
                <m:e>
                  <m:r>
                    <w:rPr>
                      <w:rFonts w:ascii="Cambria Math" w:hAnsi="Cambria Math" w:cs="Sylfaen"/>
                      <w:sz w:val="24"/>
                      <w:szCs w:val="24"/>
                    </w:rPr>
                    <m:t>AE</m:t>
                  </m:r>
                </m:e>
                <m:sub>
                  <m:r>
                    <w:rPr>
                      <w:rFonts w:ascii="Cambria Math" w:hAnsi="Cambria Math" w:cs="Sylfaen"/>
                      <w:sz w:val="24"/>
                      <w:szCs w:val="24"/>
                    </w:rPr>
                    <m:t>c</m:t>
                  </m:r>
                </m:sub>
              </m:sSub>
            </m:num>
            <m:den>
              <m:sSub>
                <m:sSubPr>
                  <m:ctrlPr>
                    <w:rPr>
                      <w:rFonts w:ascii="Cambria Math" w:hAnsi="Sylfaen" w:cs="Sylfaen"/>
                      <w:i/>
                      <w:iCs/>
                      <w:sz w:val="24"/>
                      <w:szCs w:val="24"/>
                    </w:rPr>
                  </m:ctrlPr>
                </m:sSubPr>
                <m:e>
                  <m:r>
                    <w:rPr>
                      <w:rFonts w:ascii="Cambria Math" w:hAnsi="Cambria Math" w:cs="Sylfaen"/>
                      <w:sz w:val="24"/>
                      <w:szCs w:val="24"/>
                    </w:rPr>
                    <m:t>SAE</m:t>
                  </m:r>
                </m:e>
                <m:sub>
                  <m:r>
                    <w:rPr>
                      <w:rFonts w:ascii="Cambria Math" w:hAnsi="Cambria Math" w:cs="Sylfaen"/>
                      <w:sz w:val="24"/>
                      <w:szCs w:val="24"/>
                    </w:rPr>
                    <m:t>c</m:t>
                  </m:r>
                </m:sub>
              </m:sSub>
            </m:den>
          </m:f>
          <m:r>
            <m:rPr>
              <m:sty m:val="p"/>
            </m:rPr>
            <w:rPr>
              <w:rFonts w:ascii="Sylfaen" w:hAnsi="Sylfaen" w:cs="Sylfaen"/>
              <w:sz w:val="24"/>
              <w:szCs w:val="24"/>
            </w:rPr>
            <m:t>×</m:t>
          </m:r>
          <m:r>
            <w:rPr>
              <w:rFonts w:ascii="Cambria Math" w:hAnsi="Sylfaen" w:cs="Sylfaen"/>
              <w:sz w:val="24"/>
              <w:szCs w:val="24"/>
            </w:rPr>
            <m:t>100,</m:t>
          </m:r>
        </m:oMath>
      </m:oMathPara>
    </w:p>
    <w:p w14:paraId="38EA3932" w14:textId="77777777" w:rsidR="000E6C97" w:rsidRDefault="000E6C97" w:rsidP="00CA27E3">
      <w:pPr>
        <w:pStyle w:val="BodyText1"/>
        <w:shd w:val="clear" w:color="auto" w:fill="auto"/>
        <w:spacing w:after="160"/>
        <w:ind w:firstLine="567"/>
        <w:jc w:val="both"/>
        <w:rPr>
          <w:rFonts w:ascii="Sylfaen" w:hAnsi="Sylfaen"/>
          <w:sz w:val="24"/>
          <w:szCs w:val="24"/>
          <w:lang w:val="en-US"/>
        </w:rPr>
      </w:pPr>
    </w:p>
    <w:p w14:paraId="0CA1037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180FA176"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AE</w:t>
      </w:r>
      <w:r w:rsidRPr="00CA27E3">
        <w:rPr>
          <w:rFonts w:ascii="Sylfaen" w:hAnsi="Sylfaen"/>
          <w:smallCaps/>
          <w:sz w:val="24"/>
          <w:szCs w:val="24"/>
          <w:vertAlign w:val="subscript"/>
        </w:rPr>
        <w:t>c</w:t>
      </w:r>
      <w:r w:rsidRPr="00CA27E3">
        <w:rPr>
          <w:rFonts w:ascii="Sylfaen" w:hAnsi="Sylfaen"/>
          <w:sz w:val="24"/>
          <w:szCs w:val="24"/>
        </w:rPr>
        <w:t>՝ էներգիայի տարեկան սպառումն է (մինչ</w:t>
      </w:r>
      <w:r w:rsidR="00CA27E3">
        <w:rPr>
          <w:rFonts w:ascii="Sylfaen" w:hAnsi="Sylfaen"/>
          <w:sz w:val="24"/>
          <w:szCs w:val="24"/>
        </w:rPr>
        <w:t>եւ</w:t>
      </w:r>
      <w:r w:rsidRPr="00CA27E3">
        <w:rPr>
          <w:rFonts w:ascii="Sylfaen" w:hAnsi="Sylfaen"/>
          <w:sz w:val="24"/>
          <w:szCs w:val="24"/>
        </w:rPr>
        <w:t xml:space="preserve"> 2 տասնորդական նիշ կլորացմամբ).</w:t>
      </w:r>
    </w:p>
    <w:p w14:paraId="2AB1F78C"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SAE</w:t>
      </w:r>
      <w:r w:rsidRPr="00CA27E3">
        <w:rPr>
          <w:rFonts w:ascii="Sylfaen" w:hAnsi="Sylfaen"/>
          <w:smallCaps/>
          <w:sz w:val="24"/>
          <w:szCs w:val="24"/>
          <w:vertAlign w:val="subscript"/>
        </w:rPr>
        <w:t>c</w:t>
      </w:r>
      <w:r w:rsidRPr="00CA27E3">
        <w:rPr>
          <w:rFonts w:ascii="Sylfaen" w:hAnsi="Sylfaen"/>
          <w:sz w:val="24"/>
          <w:szCs w:val="24"/>
        </w:rPr>
        <w:t>՝ էներգիայի ստանդարտ տարեկան սպառումը։</w:t>
      </w:r>
    </w:p>
    <w:p w14:paraId="08727ADF"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AE</w:t>
      </w:r>
      <w:r w:rsidRPr="00CA27E3">
        <w:rPr>
          <w:rFonts w:ascii="Sylfaen" w:hAnsi="Sylfaen"/>
          <w:smallCaps/>
          <w:sz w:val="24"/>
          <w:szCs w:val="24"/>
          <w:vertAlign w:val="subscript"/>
        </w:rPr>
        <w:t>c</w:t>
      </w:r>
      <w:r w:rsidRPr="00CA27E3">
        <w:rPr>
          <w:rFonts w:ascii="Sylfaen" w:hAnsi="Sylfaen"/>
          <w:sz w:val="24"/>
          <w:szCs w:val="24"/>
        </w:rPr>
        <w:t>-ը հաշվարկվում է կՎտ</w:t>
      </w:r>
      <w:r w:rsidR="00BF48AF" w:rsidRPr="00CA27E3">
        <w:rPr>
          <w:rFonts w:ascii="Sylfaen" w:hAnsi="Sylfaen" w:cs="TimesNewRoman"/>
          <w:color w:val="auto"/>
          <w:sz w:val="24"/>
          <w:szCs w:val="24"/>
          <w:lang w:bidi="ar-SA"/>
        </w:rPr>
        <w:t>∙</w:t>
      </w:r>
      <w:r w:rsidRPr="00CA27E3">
        <w:rPr>
          <w:rFonts w:ascii="Sylfaen" w:hAnsi="Sylfaen"/>
          <w:sz w:val="24"/>
          <w:szCs w:val="24"/>
        </w:rPr>
        <w:t xml:space="preserve">ժ/տարի-ով՝ հետեւյալ բանաձեւով՝ </w:t>
      </w:r>
    </w:p>
    <w:p w14:paraId="2AE07BA7" w14:textId="77777777" w:rsidR="00FD48C7" w:rsidRPr="000E6C97" w:rsidRDefault="00BB04FF" w:rsidP="00CA27E3">
      <w:pPr>
        <w:pStyle w:val="BodyText1"/>
        <w:shd w:val="clear" w:color="auto" w:fill="auto"/>
        <w:spacing w:after="160"/>
        <w:ind w:firstLine="0"/>
        <w:jc w:val="center"/>
        <w:rPr>
          <w:rFonts w:ascii="Sylfaen" w:hAnsi="Sylfaen" w:cs="Sylfaen"/>
          <w:sz w:val="24"/>
          <w:szCs w:val="24"/>
        </w:rPr>
      </w:pPr>
      <w:r w:rsidRPr="000E6C97">
        <w:rPr>
          <w:rFonts w:ascii="Sylfaen" w:hAnsi="Sylfaen"/>
          <w:smallCaps/>
          <w:sz w:val="24"/>
          <w:szCs w:val="24"/>
        </w:rPr>
        <w:t>AE</w:t>
      </w:r>
      <w:r w:rsidRPr="000E6C97">
        <w:rPr>
          <w:rFonts w:ascii="Sylfaen" w:hAnsi="Sylfaen"/>
          <w:smallCaps/>
          <w:sz w:val="24"/>
          <w:szCs w:val="24"/>
          <w:vertAlign w:val="subscript"/>
        </w:rPr>
        <w:t>c</w:t>
      </w:r>
      <w:r w:rsidRPr="000E6C97">
        <w:rPr>
          <w:rFonts w:ascii="Sylfaen" w:hAnsi="Sylfaen"/>
          <w:sz w:val="24"/>
          <w:szCs w:val="24"/>
        </w:rPr>
        <w:t xml:space="preserve"> = E</w:t>
      </w:r>
      <w:r w:rsidRPr="000E6C97">
        <w:rPr>
          <w:rFonts w:ascii="Sylfaen" w:hAnsi="Sylfaen"/>
          <w:sz w:val="24"/>
          <w:szCs w:val="24"/>
          <w:vertAlign w:val="subscript"/>
        </w:rPr>
        <w:t>24h</w:t>
      </w:r>
      <w:r w:rsidRPr="000E6C97">
        <w:rPr>
          <w:rFonts w:ascii="Sylfaen" w:hAnsi="Sylfaen"/>
          <w:sz w:val="24"/>
          <w:szCs w:val="24"/>
        </w:rPr>
        <w:t xml:space="preserve"> × 365,</w:t>
      </w:r>
    </w:p>
    <w:p w14:paraId="00F489D1" w14:textId="77777777" w:rsidR="000E6C97" w:rsidRPr="003D2C38" w:rsidRDefault="000E6C97" w:rsidP="00CA27E3">
      <w:pPr>
        <w:pStyle w:val="BodyText1"/>
        <w:shd w:val="clear" w:color="auto" w:fill="auto"/>
        <w:spacing w:after="160"/>
        <w:ind w:firstLine="567"/>
        <w:jc w:val="both"/>
        <w:rPr>
          <w:rFonts w:ascii="Sylfaen" w:hAnsi="Sylfaen"/>
          <w:sz w:val="24"/>
          <w:szCs w:val="24"/>
        </w:rPr>
      </w:pPr>
    </w:p>
    <w:p w14:paraId="4057C9B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որտեղ E</w:t>
      </w:r>
      <w:r w:rsidRPr="00CA27E3">
        <w:rPr>
          <w:rFonts w:ascii="Sylfaen" w:hAnsi="Sylfaen"/>
          <w:sz w:val="24"/>
          <w:szCs w:val="24"/>
          <w:vertAlign w:val="subscript"/>
        </w:rPr>
        <w:t>24h</w:t>
      </w:r>
      <w:r w:rsidRPr="00CA27E3">
        <w:rPr>
          <w:rFonts w:ascii="Sylfaen" w:hAnsi="Sylfaen"/>
          <w:sz w:val="24"/>
          <w:szCs w:val="24"/>
        </w:rPr>
        <w:t>՝ էներգիայի օրական սպառումն է՝ կՎտ</w:t>
      </w:r>
      <w:r w:rsidR="00BF48AF" w:rsidRPr="00CA27E3">
        <w:rPr>
          <w:rFonts w:ascii="Sylfaen" w:hAnsi="Sylfaen" w:cs="TimesNewRoman"/>
          <w:color w:val="auto"/>
          <w:sz w:val="24"/>
          <w:szCs w:val="24"/>
          <w:lang w:bidi="ar-SA"/>
        </w:rPr>
        <w:t>∙</w:t>
      </w:r>
      <w:r w:rsidRPr="00CA27E3">
        <w:rPr>
          <w:rFonts w:ascii="Sylfaen" w:hAnsi="Sylfaen"/>
          <w:sz w:val="24"/>
          <w:szCs w:val="24"/>
        </w:rPr>
        <w:t>ժ-ով (մինչ</w:t>
      </w:r>
      <w:r w:rsidR="00CA27E3">
        <w:rPr>
          <w:rFonts w:ascii="Sylfaen" w:hAnsi="Sylfaen"/>
          <w:sz w:val="24"/>
          <w:szCs w:val="24"/>
        </w:rPr>
        <w:t>եւ</w:t>
      </w:r>
      <w:r w:rsidRPr="00CA27E3">
        <w:rPr>
          <w:rFonts w:ascii="Sylfaen" w:hAnsi="Sylfaen"/>
          <w:sz w:val="24"/>
          <w:szCs w:val="24"/>
        </w:rPr>
        <w:t xml:space="preserve"> 3</w:t>
      </w:r>
      <w:r w:rsidR="0092264D" w:rsidRPr="0092264D">
        <w:rPr>
          <w:rFonts w:ascii="Sylfaen" w:hAnsi="Sylfaen"/>
          <w:sz w:val="24"/>
          <w:szCs w:val="24"/>
        </w:rPr>
        <w:t> </w:t>
      </w:r>
      <w:r w:rsidRPr="00CA27E3">
        <w:rPr>
          <w:rFonts w:ascii="Sylfaen" w:hAnsi="Sylfaen"/>
          <w:sz w:val="24"/>
          <w:szCs w:val="24"/>
        </w:rPr>
        <w:t>տասնորդական նիշ կլորացմամբ)</w:t>
      </w:r>
      <w:r w:rsidR="00BF48AF" w:rsidRPr="00CA27E3">
        <w:rPr>
          <w:rFonts w:ascii="Sylfaen" w:hAnsi="Sylfaen"/>
          <w:sz w:val="24"/>
          <w:szCs w:val="24"/>
        </w:rPr>
        <w:t>։</w:t>
      </w:r>
    </w:p>
    <w:p w14:paraId="02E2C44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SAE</w:t>
      </w:r>
      <w:r w:rsidRPr="00CA27E3">
        <w:rPr>
          <w:rFonts w:ascii="Sylfaen" w:hAnsi="Sylfaen"/>
          <w:smallCaps/>
          <w:sz w:val="24"/>
          <w:szCs w:val="24"/>
          <w:vertAlign w:val="subscript"/>
        </w:rPr>
        <w:t>C</w:t>
      </w:r>
      <w:r w:rsidRPr="00CA27E3">
        <w:rPr>
          <w:rFonts w:ascii="Sylfaen" w:hAnsi="Sylfaen"/>
          <w:sz w:val="24"/>
          <w:szCs w:val="24"/>
        </w:rPr>
        <w:t>-ը հաշվարկվում է կՎտ</w:t>
      </w:r>
      <w:r w:rsidR="009A0A7A" w:rsidRPr="00CA27E3">
        <w:rPr>
          <w:rFonts w:ascii="Sylfaen" w:hAnsi="Sylfaen" w:cs="TimesNewRoman"/>
          <w:color w:val="auto"/>
          <w:sz w:val="24"/>
          <w:szCs w:val="24"/>
          <w:lang w:bidi="ar-SA"/>
        </w:rPr>
        <w:t>∙</w:t>
      </w:r>
      <w:r w:rsidRPr="00CA27E3">
        <w:rPr>
          <w:rFonts w:ascii="Sylfaen" w:hAnsi="Sylfaen"/>
          <w:sz w:val="24"/>
          <w:szCs w:val="24"/>
        </w:rPr>
        <w:t>ժ-ով՝ հետ</w:t>
      </w:r>
      <w:r w:rsidR="00CA27E3">
        <w:rPr>
          <w:rFonts w:ascii="Sylfaen" w:hAnsi="Sylfaen"/>
          <w:sz w:val="24"/>
          <w:szCs w:val="24"/>
        </w:rPr>
        <w:t>եւ</w:t>
      </w:r>
      <w:r w:rsidRPr="00CA27E3">
        <w:rPr>
          <w:rFonts w:ascii="Sylfaen" w:hAnsi="Sylfaen"/>
          <w:sz w:val="24"/>
          <w:szCs w:val="24"/>
        </w:rPr>
        <w:t>յալ բանաձ</w:t>
      </w:r>
      <w:r w:rsidR="00CA27E3">
        <w:rPr>
          <w:rFonts w:ascii="Sylfaen" w:hAnsi="Sylfaen"/>
          <w:sz w:val="24"/>
          <w:szCs w:val="24"/>
        </w:rPr>
        <w:t>եւ</w:t>
      </w:r>
      <w:r w:rsidRPr="00CA27E3">
        <w:rPr>
          <w:rFonts w:ascii="Sylfaen" w:hAnsi="Sylfaen"/>
          <w:sz w:val="24"/>
          <w:szCs w:val="24"/>
        </w:rPr>
        <w:t>ով (մինչ</w:t>
      </w:r>
      <w:r w:rsidR="00CA27E3">
        <w:rPr>
          <w:rFonts w:ascii="Sylfaen" w:hAnsi="Sylfaen"/>
          <w:sz w:val="24"/>
          <w:szCs w:val="24"/>
        </w:rPr>
        <w:t>եւ</w:t>
      </w:r>
      <w:r w:rsidRPr="00CA27E3">
        <w:rPr>
          <w:rFonts w:ascii="Sylfaen" w:hAnsi="Sylfaen"/>
          <w:sz w:val="24"/>
          <w:szCs w:val="24"/>
        </w:rPr>
        <w:t xml:space="preserve"> 2</w:t>
      </w:r>
      <w:r w:rsidR="0092264D" w:rsidRPr="0092264D">
        <w:rPr>
          <w:rFonts w:ascii="Sylfaen" w:hAnsi="Sylfaen"/>
          <w:sz w:val="24"/>
          <w:szCs w:val="24"/>
        </w:rPr>
        <w:t> </w:t>
      </w:r>
      <w:r w:rsidRPr="00CA27E3">
        <w:rPr>
          <w:rFonts w:ascii="Sylfaen" w:hAnsi="Sylfaen"/>
          <w:sz w:val="24"/>
          <w:szCs w:val="24"/>
        </w:rPr>
        <w:t>տասնորդական նիշ կլորացմամբ)՝</w:t>
      </w:r>
    </w:p>
    <w:p w14:paraId="508FD531" w14:textId="77777777" w:rsidR="00FD48C7" w:rsidRPr="00CA27E3" w:rsidRDefault="00BB04FF" w:rsidP="00CA27E3">
      <w:pPr>
        <w:pStyle w:val="BodyText1"/>
        <w:shd w:val="clear" w:color="auto" w:fill="auto"/>
        <w:spacing w:after="160"/>
        <w:ind w:firstLine="0"/>
        <w:jc w:val="center"/>
        <w:rPr>
          <w:rFonts w:ascii="Sylfaen" w:hAnsi="Sylfaen" w:cs="Sylfaen"/>
          <w:sz w:val="24"/>
          <w:szCs w:val="24"/>
        </w:rPr>
      </w:pPr>
      <w:r w:rsidRPr="00CA27E3">
        <w:rPr>
          <w:rFonts w:ascii="Sylfaen" w:hAnsi="Sylfaen"/>
          <w:smallCaps/>
          <w:sz w:val="24"/>
          <w:szCs w:val="24"/>
        </w:rPr>
        <w:t>SAE</w:t>
      </w:r>
      <w:r w:rsidRPr="00CA27E3">
        <w:rPr>
          <w:rFonts w:ascii="Sylfaen" w:hAnsi="Sylfaen"/>
          <w:smallCaps/>
          <w:sz w:val="24"/>
          <w:szCs w:val="24"/>
          <w:vertAlign w:val="subscript"/>
        </w:rPr>
        <w:t>c</w:t>
      </w:r>
      <w:r w:rsidRPr="00CA27E3">
        <w:rPr>
          <w:rFonts w:ascii="Sylfaen" w:hAnsi="Sylfaen"/>
          <w:sz w:val="24"/>
          <w:szCs w:val="24"/>
        </w:rPr>
        <w:t xml:space="preserve"> = V</w:t>
      </w:r>
      <w:r w:rsidRPr="00CA27E3">
        <w:rPr>
          <w:rFonts w:ascii="Sylfaen" w:hAnsi="Sylfaen"/>
          <w:sz w:val="24"/>
          <w:szCs w:val="24"/>
          <w:vertAlign w:val="subscript"/>
        </w:rPr>
        <w:t>eq</w:t>
      </w:r>
      <w:r w:rsidRPr="00CA27E3">
        <w:rPr>
          <w:rFonts w:ascii="Sylfaen" w:hAnsi="Sylfaen"/>
          <w:sz w:val="24"/>
          <w:szCs w:val="24"/>
        </w:rPr>
        <w:t xml:space="preserve"> × M + N + CH,</w:t>
      </w:r>
    </w:p>
    <w:p w14:paraId="38F2A201" w14:textId="77777777" w:rsidR="000E6C97" w:rsidRDefault="000E6C97" w:rsidP="00CA27E3">
      <w:pPr>
        <w:pStyle w:val="BodyText1"/>
        <w:shd w:val="clear" w:color="auto" w:fill="auto"/>
        <w:spacing w:after="160"/>
        <w:ind w:firstLine="567"/>
        <w:jc w:val="both"/>
        <w:rPr>
          <w:rFonts w:ascii="Sylfaen" w:hAnsi="Sylfaen"/>
          <w:sz w:val="24"/>
          <w:szCs w:val="24"/>
          <w:lang w:val="en-US"/>
        </w:rPr>
      </w:pPr>
    </w:p>
    <w:p w14:paraId="4F3DCBB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10BE078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V</w:t>
      </w:r>
      <w:r w:rsidRPr="00CA27E3">
        <w:rPr>
          <w:rFonts w:ascii="Sylfaen" w:hAnsi="Sylfaen"/>
          <w:sz w:val="24"/>
          <w:szCs w:val="24"/>
          <w:vertAlign w:val="subscript"/>
        </w:rPr>
        <w:t>eq</w:t>
      </w:r>
      <w:r w:rsidRPr="00CA27E3">
        <w:rPr>
          <w:rFonts w:ascii="Sylfaen" w:hAnsi="Sylfaen"/>
          <w:sz w:val="24"/>
          <w:szCs w:val="24"/>
        </w:rPr>
        <w:t>՝ կենցաղային սառնարանային սարքի համարժեք ծավալն է (լիտրերով).</w:t>
      </w:r>
    </w:p>
    <w:p w14:paraId="65336EC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CH՝ մեծություն, որը հավասար է 50 կվտ</w:t>
      </w:r>
      <w:r w:rsidR="009A0A7A" w:rsidRPr="00CA27E3">
        <w:rPr>
          <w:rFonts w:ascii="Sylfaen" w:hAnsi="Sylfaen" w:cs="TimesNewRoman"/>
          <w:color w:val="auto"/>
          <w:sz w:val="24"/>
          <w:szCs w:val="24"/>
          <w:lang w:bidi="ar-SA"/>
        </w:rPr>
        <w:t>∙</w:t>
      </w:r>
      <w:r w:rsidRPr="00CA27E3">
        <w:rPr>
          <w:rFonts w:ascii="Sylfaen" w:hAnsi="Sylfaen"/>
          <w:sz w:val="24"/>
          <w:szCs w:val="24"/>
        </w:rPr>
        <w:t>ժ</w:t>
      </w:r>
      <w:r w:rsidR="009A0A7A" w:rsidRPr="00CA27E3">
        <w:rPr>
          <w:rFonts w:ascii="Sylfaen" w:hAnsi="Sylfaen"/>
          <w:sz w:val="24"/>
          <w:szCs w:val="24"/>
        </w:rPr>
        <w:t>/</w:t>
      </w:r>
      <w:r w:rsidRPr="00CA27E3">
        <w:rPr>
          <w:rFonts w:ascii="Sylfaen" w:hAnsi="Sylfaen"/>
          <w:sz w:val="24"/>
          <w:szCs w:val="24"/>
        </w:rPr>
        <w:t>տարի՝ պաղեցրած սննդամթերքի համար նախատեսված բաժանմունքի՝ 15լ-ից ոչ պակաս</w:t>
      </w:r>
      <w:r w:rsidR="00CA27E3">
        <w:rPr>
          <w:rFonts w:ascii="Sylfaen" w:hAnsi="Sylfaen"/>
          <w:sz w:val="24"/>
          <w:szCs w:val="24"/>
        </w:rPr>
        <w:t xml:space="preserve"> </w:t>
      </w:r>
      <w:r w:rsidRPr="00CA27E3">
        <w:rPr>
          <w:rFonts w:ascii="Sylfaen" w:hAnsi="Sylfaen"/>
          <w:sz w:val="24"/>
          <w:szCs w:val="24"/>
        </w:rPr>
        <w:t xml:space="preserve">օգտակար ծավալ ունեցող սառնարանային սարքերի համար. </w:t>
      </w:r>
    </w:p>
    <w:p w14:paraId="012EA77C" w14:textId="77777777" w:rsidR="00FD48C7" w:rsidRPr="00DC5495" w:rsidRDefault="00BB04FF"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M եւ N՝ ճշգրտման գործակիցներ, որոնց արժեքները տարբեր տիպի սառնարանային սարքերի համար բերված են 1-ին աղյուսակում (անկախ դռների կամ շարժական արկղերի քանակից)։</w:t>
      </w:r>
    </w:p>
    <w:p w14:paraId="75DC00EF" w14:textId="77777777" w:rsidR="0092264D" w:rsidRPr="00DC5495" w:rsidRDefault="0092264D" w:rsidP="00CA27E3">
      <w:pPr>
        <w:pStyle w:val="BodyText1"/>
        <w:shd w:val="clear" w:color="auto" w:fill="auto"/>
        <w:spacing w:after="160"/>
        <w:ind w:firstLine="567"/>
        <w:jc w:val="both"/>
        <w:rPr>
          <w:rFonts w:ascii="Sylfaen" w:hAnsi="Sylfaen" w:cs="Sylfaen"/>
          <w:sz w:val="24"/>
          <w:szCs w:val="24"/>
        </w:rPr>
      </w:pPr>
    </w:p>
    <w:p w14:paraId="141CB635" w14:textId="77777777" w:rsidR="00FD48C7" w:rsidRDefault="00FD48C7" w:rsidP="00CA27E3">
      <w:pPr>
        <w:spacing w:after="160" w:line="360" w:lineRule="auto"/>
        <w:ind w:firstLine="567"/>
        <w:jc w:val="both"/>
        <w:rPr>
          <w:rFonts w:ascii="Sylfaen" w:hAnsi="Sylfaen" w:cs="Sylfaen"/>
        </w:rPr>
      </w:pPr>
    </w:p>
    <w:p w14:paraId="2C86C521" w14:textId="77777777" w:rsidR="00CA27E3" w:rsidRPr="00CA27E3" w:rsidRDefault="00CA27E3" w:rsidP="00CA27E3">
      <w:pPr>
        <w:spacing w:after="160" w:line="360" w:lineRule="auto"/>
        <w:ind w:firstLine="567"/>
        <w:jc w:val="both"/>
        <w:rPr>
          <w:rFonts w:ascii="Sylfaen" w:hAnsi="Sylfaen" w:cs="Sylfaen"/>
        </w:rPr>
        <w:sectPr w:rsidR="00CA27E3" w:rsidRPr="00CA27E3" w:rsidSect="0027701C">
          <w:pgSz w:w="11907" w:h="16840" w:code="9"/>
          <w:pgMar w:top="1135" w:right="1418" w:bottom="1418" w:left="1418" w:header="0" w:footer="538" w:gutter="0"/>
          <w:pgNumType w:start="1"/>
          <w:cols w:space="720"/>
          <w:noEndnote/>
          <w:titlePg/>
          <w:docGrid w:linePitch="360"/>
        </w:sectPr>
      </w:pPr>
    </w:p>
    <w:p w14:paraId="49454D77" w14:textId="77777777" w:rsidR="00FD48C7" w:rsidRPr="00CA27E3" w:rsidRDefault="00BB04FF" w:rsidP="00CA27E3">
      <w:pPr>
        <w:pStyle w:val="Tablecaption0"/>
        <w:shd w:val="clear" w:color="auto" w:fill="auto"/>
        <w:spacing w:after="160" w:line="360" w:lineRule="auto"/>
        <w:rPr>
          <w:rFonts w:ascii="Sylfaen" w:hAnsi="Sylfaen" w:cs="Sylfaen"/>
          <w:sz w:val="24"/>
          <w:szCs w:val="24"/>
        </w:rPr>
      </w:pPr>
      <w:r w:rsidRPr="00CA27E3">
        <w:rPr>
          <w:rFonts w:ascii="Sylfaen" w:hAnsi="Sylfaen"/>
          <w:sz w:val="24"/>
          <w:szCs w:val="24"/>
        </w:rPr>
        <w:lastRenderedPageBreak/>
        <w:t>Աղյուսակ 1</w:t>
      </w:r>
    </w:p>
    <w:p w14:paraId="02B9BD34" w14:textId="77777777" w:rsidR="00FD48C7" w:rsidRPr="00CA27E3" w:rsidRDefault="00BB04FF"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Սառնարանային սարքերի տ</w:t>
      </w:r>
      <w:r w:rsidR="00DD1287" w:rsidRPr="00CA27E3">
        <w:rPr>
          <w:rFonts w:ascii="Sylfaen" w:hAnsi="Sylfaen"/>
          <w:sz w:val="24"/>
          <w:szCs w:val="24"/>
        </w:rPr>
        <w:t>իպեր</w:t>
      </w:r>
      <w:r w:rsidRPr="00CA27E3">
        <w:rPr>
          <w:rFonts w:ascii="Sylfaen" w:hAnsi="Sylfaen"/>
          <w:sz w:val="24"/>
          <w:szCs w:val="24"/>
        </w:rPr>
        <w:t xml:space="preserve">ը </w:t>
      </w:r>
    </w:p>
    <w:tbl>
      <w:tblPr>
        <w:tblOverlap w:val="never"/>
        <w:tblW w:w="15627" w:type="dxa"/>
        <w:jc w:val="center"/>
        <w:tblLayout w:type="fixed"/>
        <w:tblCellMar>
          <w:left w:w="10" w:type="dxa"/>
          <w:right w:w="10" w:type="dxa"/>
        </w:tblCellMar>
        <w:tblLook w:val="0000" w:firstRow="0" w:lastRow="0" w:firstColumn="0" w:lastColumn="0" w:noHBand="0" w:noVBand="0"/>
      </w:tblPr>
      <w:tblGrid>
        <w:gridCol w:w="2990"/>
        <w:gridCol w:w="1508"/>
        <w:gridCol w:w="925"/>
        <w:gridCol w:w="918"/>
        <w:gridCol w:w="2057"/>
        <w:gridCol w:w="1276"/>
        <w:gridCol w:w="1134"/>
        <w:gridCol w:w="636"/>
        <w:gridCol w:w="708"/>
        <w:gridCol w:w="709"/>
        <w:gridCol w:w="851"/>
        <w:gridCol w:w="1915"/>
      </w:tblGrid>
      <w:tr w:rsidR="00CA27E3" w:rsidRPr="00CA27E3" w14:paraId="186579C0" w14:textId="77777777" w:rsidTr="000E6C97">
        <w:trPr>
          <w:tblHeader/>
          <w:jc w:val="center"/>
        </w:trPr>
        <w:tc>
          <w:tcPr>
            <w:tcW w:w="2990" w:type="dxa"/>
            <w:tcBorders>
              <w:top w:val="single" w:sz="4" w:space="0" w:color="auto"/>
              <w:left w:val="single" w:sz="4" w:space="0" w:color="auto"/>
            </w:tcBorders>
            <w:shd w:val="clear" w:color="auto" w:fill="FFFFFF"/>
            <w:vAlign w:val="bottom"/>
          </w:tcPr>
          <w:p w14:paraId="2A9C27BE"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Սառնարանային սարքի նկարագրությունը</w:t>
            </w:r>
          </w:p>
        </w:tc>
        <w:tc>
          <w:tcPr>
            <w:tcW w:w="10722" w:type="dxa"/>
            <w:gridSpan w:val="10"/>
            <w:tcBorders>
              <w:top w:val="single" w:sz="4" w:space="0" w:color="auto"/>
              <w:left w:val="single" w:sz="4" w:space="0" w:color="auto"/>
            </w:tcBorders>
            <w:shd w:val="clear" w:color="auto" w:fill="FFFFFF"/>
            <w:vAlign w:val="center"/>
          </w:tcPr>
          <w:p w14:paraId="43AD722D"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Սառնարանային սարքում բաժանմունքների (խցիկների) առկայությունը եւ համադրությունը</w:t>
            </w:r>
            <w:r w:rsidRPr="00CA27E3">
              <w:rPr>
                <w:rStyle w:val="FootnoteReference"/>
                <w:rFonts w:ascii="Sylfaen" w:hAnsi="Sylfaen"/>
                <w:sz w:val="20"/>
                <w:szCs w:val="20"/>
              </w:rPr>
              <w:footnoteReference w:id="1"/>
            </w:r>
          </w:p>
        </w:tc>
        <w:tc>
          <w:tcPr>
            <w:tcW w:w="1915" w:type="dxa"/>
            <w:vMerge w:val="restart"/>
            <w:tcBorders>
              <w:top w:val="single" w:sz="4" w:space="0" w:color="auto"/>
              <w:left w:val="single" w:sz="4" w:space="0" w:color="auto"/>
              <w:right w:val="single" w:sz="4" w:space="0" w:color="auto"/>
            </w:tcBorders>
            <w:shd w:val="clear" w:color="auto" w:fill="FFFFFF"/>
            <w:vAlign w:val="center"/>
          </w:tcPr>
          <w:p w14:paraId="70020422"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Սառնարանային սարքերի տ</w:t>
            </w:r>
            <w:r w:rsidR="00334A60" w:rsidRPr="00CA27E3">
              <w:rPr>
                <w:rFonts w:ascii="Sylfaen" w:hAnsi="Sylfaen"/>
                <w:sz w:val="20"/>
                <w:szCs w:val="20"/>
              </w:rPr>
              <w:t>իպ</w:t>
            </w:r>
            <w:r w:rsidRPr="00CA27E3">
              <w:rPr>
                <w:rFonts w:ascii="Sylfaen" w:hAnsi="Sylfaen"/>
                <w:sz w:val="20"/>
                <w:szCs w:val="20"/>
              </w:rPr>
              <w:t>երը</w:t>
            </w:r>
            <w:r w:rsidR="000E6C97" w:rsidRPr="000E6C97">
              <w:rPr>
                <w:rFonts w:ascii="Sylfaen" w:hAnsi="Sylfaen"/>
                <w:sz w:val="20"/>
                <w:szCs w:val="20"/>
              </w:rPr>
              <w:t xml:space="preserve"> </w:t>
            </w:r>
            <w:r w:rsidRPr="00CA27E3">
              <w:rPr>
                <w:rFonts w:ascii="Sylfaen" w:hAnsi="Sylfaen"/>
                <w:sz w:val="20"/>
                <w:szCs w:val="20"/>
              </w:rPr>
              <w:t>M, N</w:t>
            </w:r>
          </w:p>
        </w:tc>
      </w:tr>
      <w:tr w:rsidR="00CA27E3" w:rsidRPr="00CA27E3" w14:paraId="76BBFEE3" w14:textId="77777777" w:rsidTr="000E6C97">
        <w:trPr>
          <w:tblHeader/>
          <w:jc w:val="center"/>
        </w:trPr>
        <w:tc>
          <w:tcPr>
            <w:tcW w:w="2990" w:type="dxa"/>
            <w:tcBorders>
              <w:top w:val="single" w:sz="4" w:space="0" w:color="auto"/>
              <w:left w:val="single" w:sz="4" w:space="0" w:color="auto"/>
            </w:tcBorders>
            <w:shd w:val="clear" w:color="auto" w:fill="FFFFFF"/>
            <w:vAlign w:val="center"/>
          </w:tcPr>
          <w:p w14:paraId="07FC75B9"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պահման ա</w:t>
            </w:r>
            <w:r w:rsidR="00980903" w:rsidRPr="00CA27E3">
              <w:rPr>
                <w:rFonts w:ascii="Sylfaen" w:hAnsi="Sylfaen"/>
                <w:sz w:val="20"/>
                <w:szCs w:val="20"/>
              </w:rPr>
              <w:t>ն</w:t>
            </w:r>
            <w:r w:rsidRPr="00CA27E3">
              <w:rPr>
                <w:rFonts w:ascii="Sylfaen" w:hAnsi="Sylfaen"/>
                <w:sz w:val="20"/>
                <w:szCs w:val="20"/>
              </w:rPr>
              <w:t>վանական ջերմաստիճանը (T</w:t>
            </w:r>
            <w:r w:rsidRPr="00CA27E3">
              <w:rPr>
                <w:rFonts w:ascii="Sylfaen" w:hAnsi="Sylfaen"/>
                <w:smallCaps/>
                <w:sz w:val="20"/>
                <w:szCs w:val="20"/>
                <w:vertAlign w:val="subscript"/>
              </w:rPr>
              <w:t>c</w:t>
            </w:r>
            <w:r w:rsidRPr="00CA27E3">
              <w:rPr>
                <w:rFonts w:ascii="Sylfaen" w:hAnsi="Sylfaen"/>
                <w:sz w:val="20"/>
                <w:szCs w:val="20"/>
              </w:rPr>
              <w:t>՝ EEI-ը հաշվարկելիս) ( °C)</w:t>
            </w:r>
          </w:p>
        </w:tc>
        <w:tc>
          <w:tcPr>
            <w:tcW w:w="1508" w:type="dxa"/>
            <w:tcBorders>
              <w:top w:val="single" w:sz="4" w:space="0" w:color="auto"/>
              <w:left w:val="single" w:sz="4" w:space="0" w:color="auto"/>
            </w:tcBorders>
            <w:shd w:val="clear" w:color="auto" w:fill="FFFFFF"/>
            <w:vAlign w:val="center"/>
          </w:tcPr>
          <w:p w14:paraId="7B3CEBCE"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 xml:space="preserve">+14 </w:t>
            </w:r>
            <w:r w:rsidR="00CA27E3" w:rsidRPr="00CA27E3">
              <w:rPr>
                <w:rFonts w:ascii="Sylfaen" w:hAnsi="Sylfaen"/>
                <w:sz w:val="20"/>
                <w:szCs w:val="20"/>
              </w:rPr>
              <w:t>եւ</w:t>
            </w:r>
            <w:r w:rsidRPr="00CA27E3">
              <w:rPr>
                <w:rFonts w:ascii="Sylfaen" w:hAnsi="Sylfaen"/>
                <w:sz w:val="20"/>
                <w:szCs w:val="20"/>
              </w:rPr>
              <w:t xml:space="preserve"> բարձր</w:t>
            </w:r>
          </w:p>
        </w:tc>
        <w:tc>
          <w:tcPr>
            <w:tcW w:w="925" w:type="dxa"/>
            <w:tcBorders>
              <w:top w:val="single" w:sz="4" w:space="0" w:color="auto"/>
              <w:left w:val="single" w:sz="4" w:space="0" w:color="auto"/>
            </w:tcBorders>
            <w:shd w:val="clear" w:color="auto" w:fill="FFFFFF"/>
            <w:vAlign w:val="center"/>
          </w:tcPr>
          <w:p w14:paraId="6B2F477A" w14:textId="77777777" w:rsidR="00FD48C7" w:rsidRPr="00CA27E3" w:rsidRDefault="00BB04FF" w:rsidP="000E6C97">
            <w:pPr>
              <w:pStyle w:val="Other0"/>
              <w:shd w:val="clear" w:color="auto" w:fill="auto"/>
              <w:spacing w:after="120"/>
              <w:ind w:hanging="10"/>
              <w:rPr>
                <w:rFonts w:ascii="Sylfaen" w:hAnsi="Sylfaen" w:cs="Sylfaen"/>
                <w:sz w:val="20"/>
                <w:szCs w:val="20"/>
              </w:rPr>
            </w:pPr>
            <w:r w:rsidRPr="00CA27E3">
              <w:rPr>
                <w:rFonts w:ascii="Sylfaen" w:hAnsi="Sylfaen"/>
                <w:sz w:val="20"/>
                <w:szCs w:val="20"/>
              </w:rPr>
              <w:t>+12</w:t>
            </w:r>
          </w:p>
        </w:tc>
        <w:tc>
          <w:tcPr>
            <w:tcW w:w="918" w:type="dxa"/>
            <w:tcBorders>
              <w:top w:val="single" w:sz="4" w:space="0" w:color="auto"/>
              <w:left w:val="single" w:sz="4" w:space="0" w:color="auto"/>
            </w:tcBorders>
            <w:shd w:val="clear" w:color="auto" w:fill="FFFFFF"/>
            <w:vAlign w:val="center"/>
          </w:tcPr>
          <w:p w14:paraId="0FD60716"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+12</w:t>
            </w:r>
          </w:p>
        </w:tc>
        <w:tc>
          <w:tcPr>
            <w:tcW w:w="2057" w:type="dxa"/>
            <w:tcBorders>
              <w:top w:val="single" w:sz="4" w:space="0" w:color="auto"/>
              <w:left w:val="single" w:sz="4" w:space="0" w:color="auto"/>
            </w:tcBorders>
            <w:shd w:val="clear" w:color="auto" w:fill="FFFFFF"/>
            <w:vAlign w:val="center"/>
          </w:tcPr>
          <w:p w14:paraId="20DAA2E6"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+5</w:t>
            </w:r>
          </w:p>
        </w:tc>
        <w:tc>
          <w:tcPr>
            <w:tcW w:w="1276" w:type="dxa"/>
            <w:tcBorders>
              <w:top w:val="single" w:sz="4" w:space="0" w:color="auto"/>
              <w:left w:val="single" w:sz="4" w:space="0" w:color="auto"/>
            </w:tcBorders>
            <w:shd w:val="clear" w:color="auto" w:fill="FFFFFF"/>
            <w:vAlign w:val="center"/>
          </w:tcPr>
          <w:p w14:paraId="7EA8051A"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0</w:t>
            </w:r>
          </w:p>
        </w:tc>
        <w:tc>
          <w:tcPr>
            <w:tcW w:w="1134" w:type="dxa"/>
            <w:tcBorders>
              <w:top w:val="single" w:sz="4" w:space="0" w:color="auto"/>
              <w:left w:val="single" w:sz="4" w:space="0" w:color="auto"/>
            </w:tcBorders>
            <w:shd w:val="clear" w:color="auto" w:fill="FFFFFF"/>
            <w:vAlign w:val="center"/>
          </w:tcPr>
          <w:p w14:paraId="0ED8B574"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0</w:t>
            </w:r>
          </w:p>
        </w:tc>
        <w:tc>
          <w:tcPr>
            <w:tcW w:w="636" w:type="dxa"/>
            <w:tcBorders>
              <w:top w:val="single" w:sz="4" w:space="0" w:color="auto"/>
              <w:left w:val="single" w:sz="4" w:space="0" w:color="auto"/>
            </w:tcBorders>
            <w:shd w:val="clear" w:color="auto" w:fill="FFFFFF"/>
            <w:vAlign w:val="center"/>
          </w:tcPr>
          <w:p w14:paraId="2AB5D21F"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-6</w:t>
            </w:r>
          </w:p>
        </w:tc>
        <w:tc>
          <w:tcPr>
            <w:tcW w:w="708" w:type="dxa"/>
            <w:tcBorders>
              <w:top w:val="single" w:sz="4" w:space="0" w:color="auto"/>
              <w:left w:val="single" w:sz="4" w:space="0" w:color="auto"/>
            </w:tcBorders>
            <w:shd w:val="clear" w:color="auto" w:fill="FFFFFF"/>
            <w:vAlign w:val="center"/>
          </w:tcPr>
          <w:p w14:paraId="1C4AC4D5"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-12</w:t>
            </w:r>
          </w:p>
        </w:tc>
        <w:tc>
          <w:tcPr>
            <w:tcW w:w="709" w:type="dxa"/>
            <w:tcBorders>
              <w:top w:val="single" w:sz="4" w:space="0" w:color="auto"/>
              <w:left w:val="single" w:sz="4" w:space="0" w:color="auto"/>
            </w:tcBorders>
            <w:shd w:val="clear" w:color="auto" w:fill="FFFFFF"/>
            <w:vAlign w:val="center"/>
          </w:tcPr>
          <w:p w14:paraId="7B6DE37C"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-18</w:t>
            </w:r>
          </w:p>
        </w:tc>
        <w:tc>
          <w:tcPr>
            <w:tcW w:w="851" w:type="dxa"/>
            <w:tcBorders>
              <w:top w:val="single" w:sz="4" w:space="0" w:color="auto"/>
              <w:left w:val="single" w:sz="4" w:space="0" w:color="auto"/>
            </w:tcBorders>
            <w:shd w:val="clear" w:color="auto" w:fill="FFFFFF"/>
            <w:vAlign w:val="center"/>
          </w:tcPr>
          <w:p w14:paraId="41BD1085" w14:textId="77777777" w:rsidR="00FD48C7" w:rsidRPr="00CA27E3" w:rsidRDefault="00BB04FF" w:rsidP="000E6C97">
            <w:pPr>
              <w:pStyle w:val="Other0"/>
              <w:shd w:val="clear" w:color="auto" w:fill="auto"/>
              <w:spacing w:after="120"/>
              <w:rPr>
                <w:rFonts w:ascii="Sylfaen" w:hAnsi="Sylfaen" w:cs="Sylfaen"/>
                <w:sz w:val="20"/>
                <w:szCs w:val="20"/>
              </w:rPr>
            </w:pPr>
            <w:r w:rsidRPr="00CA27E3">
              <w:rPr>
                <w:rFonts w:ascii="Sylfaen" w:hAnsi="Sylfaen"/>
                <w:sz w:val="20"/>
                <w:szCs w:val="20"/>
              </w:rPr>
              <w:t>-18</w:t>
            </w:r>
          </w:p>
        </w:tc>
        <w:tc>
          <w:tcPr>
            <w:tcW w:w="1915" w:type="dxa"/>
            <w:vMerge/>
            <w:tcBorders>
              <w:left w:val="single" w:sz="4" w:space="0" w:color="auto"/>
              <w:right w:val="single" w:sz="4" w:space="0" w:color="auto"/>
            </w:tcBorders>
            <w:shd w:val="clear" w:color="auto" w:fill="FFFFFF"/>
            <w:vAlign w:val="center"/>
          </w:tcPr>
          <w:p w14:paraId="0D2F9D8E" w14:textId="77777777" w:rsidR="00FD48C7" w:rsidRPr="00CA27E3" w:rsidRDefault="00FD48C7" w:rsidP="00CA27E3">
            <w:pPr>
              <w:spacing w:after="120"/>
              <w:rPr>
                <w:rFonts w:ascii="Sylfaen" w:hAnsi="Sylfaen" w:cs="Sylfaen"/>
                <w:sz w:val="20"/>
                <w:szCs w:val="20"/>
              </w:rPr>
            </w:pPr>
          </w:p>
        </w:tc>
      </w:tr>
      <w:tr w:rsidR="00CA27E3" w:rsidRPr="00CA27E3" w14:paraId="7290E3F8" w14:textId="77777777" w:rsidTr="000E6C97">
        <w:trPr>
          <w:tblHeader/>
          <w:jc w:val="center"/>
        </w:trPr>
        <w:tc>
          <w:tcPr>
            <w:tcW w:w="2990" w:type="dxa"/>
            <w:tcBorders>
              <w:top w:val="single" w:sz="4" w:space="0" w:color="auto"/>
              <w:left w:val="single" w:sz="4" w:space="0" w:color="auto"/>
            </w:tcBorders>
            <w:shd w:val="clear" w:color="auto" w:fill="FFFFFF"/>
            <w:vAlign w:val="center"/>
          </w:tcPr>
          <w:p w14:paraId="252E5469"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բաժանմունքների տեսակները</w:t>
            </w:r>
          </w:p>
        </w:tc>
        <w:tc>
          <w:tcPr>
            <w:tcW w:w="1508" w:type="dxa"/>
            <w:tcBorders>
              <w:top w:val="single" w:sz="4" w:space="0" w:color="auto"/>
              <w:left w:val="single" w:sz="4" w:space="0" w:color="auto"/>
            </w:tcBorders>
            <w:shd w:val="clear" w:color="auto" w:fill="FFFFFF"/>
            <w:vAlign w:val="center"/>
          </w:tcPr>
          <w:p w14:paraId="7D69030D"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Բարձրջերմ</w:t>
            </w:r>
            <w:r w:rsidR="000E6C97">
              <w:rPr>
                <w:rFonts w:ascii="Sylfaen" w:hAnsi="Sylfaen"/>
                <w:sz w:val="20"/>
                <w:szCs w:val="20"/>
                <w:lang w:val="en-US"/>
              </w:rPr>
              <w:t>-</w:t>
            </w:r>
            <w:r w:rsidRPr="00CA27E3">
              <w:rPr>
                <w:rFonts w:ascii="Sylfaen" w:hAnsi="Sylfaen"/>
                <w:sz w:val="20"/>
                <w:szCs w:val="20"/>
              </w:rPr>
              <w:t>աստիճանային</w:t>
            </w:r>
          </w:p>
        </w:tc>
        <w:tc>
          <w:tcPr>
            <w:tcW w:w="925" w:type="dxa"/>
            <w:tcBorders>
              <w:top w:val="single" w:sz="4" w:space="0" w:color="auto"/>
              <w:left w:val="single" w:sz="4" w:space="0" w:color="auto"/>
            </w:tcBorders>
            <w:shd w:val="clear" w:color="auto" w:fill="FFFFFF"/>
            <w:vAlign w:val="center"/>
          </w:tcPr>
          <w:p w14:paraId="40A711CB" w14:textId="77777777" w:rsidR="00FD48C7" w:rsidRPr="00CA27E3" w:rsidRDefault="009B27BF" w:rsidP="0078386D">
            <w:pPr>
              <w:pStyle w:val="Other0"/>
              <w:shd w:val="clear" w:color="auto" w:fill="auto"/>
              <w:spacing w:after="120"/>
              <w:rPr>
                <w:rFonts w:ascii="Sylfaen" w:hAnsi="Sylfaen" w:cs="Sylfaen"/>
                <w:sz w:val="20"/>
                <w:szCs w:val="20"/>
                <w:vertAlign w:val="superscript"/>
              </w:rPr>
            </w:pPr>
            <w:r w:rsidRPr="00CA27E3">
              <w:rPr>
                <w:rFonts w:ascii="Sylfaen" w:hAnsi="Sylfaen"/>
                <w:sz w:val="20"/>
                <w:szCs w:val="20"/>
              </w:rPr>
              <w:t>գ</w:t>
            </w:r>
            <w:r w:rsidR="00BB04FF" w:rsidRPr="00CA27E3">
              <w:rPr>
                <w:rFonts w:ascii="Sylfaen" w:hAnsi="Sylfaen"/>
                <w:sz w:val="20"/>
                <w:szCs w:val="20"/>
              </w:rPr>
              <w:t xml:space="preserve">ինու պահման </w:t>
            </w:r>
            <w:r w:rsidR="00D3520C" w:rsidRPr="00CA27E3">
              <w:rPr>
                <w:rFonts w:ascii="Sylfaen" w:hAnsi="Sylfaen"/>
                <w:sz w:val="20"/>
                <w:szCs w:val="20"/>
              </w:rPr>
              <w:t>համար</w:t>
            </w:r>
            <w:r w:rsidR="00BB04FF" w:rsidRPr="00CA27E3">
              <w:rPr>
                <w:rStyle w:val="FootnoteReference"/>
                <w:rFonts w:ascii="Sylfaen" w:hAnsi="Sylfaen"/>
                <w:sz w:val="20"/>
                <w:szCs w:val="20"/>
              </w:rPr>
              <w:footnoteReference w:id="2"/>
            </w:r>
          </w:p>
        </w:tc>
        <w:tc>
          <w:tcPr>
            <w:tcW w:w="918" w:type="dxa"/>
            <w:tcBorders>
              <w:top w:val="single" w:sz="4" w:space="0" w:color="auto"/>
              <w:left w:val="single" w:sz="4" w:space="0" w:color="auto"/>
            </w:tcBorders>
            <w:shd w:val="clear" w:color="auto" w:fill="FFFFFF"/>
            <w:vAlign w:val="center"/>
          </w:tcPr>
          <w:p w14:paraId="64626D30" w14:textId="77777777" w:rsidR="00FD48C7" w:rsidRPr="00CA27E3" w:rsidRDefault="00EF7AAD" w:rsidP="0078386D">
            <w:pPr>
              <w:pStyle w:val="Other0"/>
              <w:shd w:val="clear" w:color="auto" w:fill="auto"/>
              <w:spacing w:after="120"/>
              <w:rPr>
                <w:rFonts w:ascii="Sylfaen" w:hAnsi="Sylfaen" w:cs="Sylfaen"/>
                <w:sz w:val="20"/>
                <w:szCs w:val="20"/>
              </w:rPr>
            </w:pPr>
            <w:r w:rsidRPr="00CA27E3">
              <w:rPr>
                <w:rFonts w:ascii="Sylfaen" w:hAnsi="Sylfaen"/>
                <w:sz w:val="20"/>
                <w:szCs w:val="20"/>
              </w:rPr>
              <w:t>գ</w:t>
            </w:r>
            <w:r w:rsidR="00D41A9D" w:rsidRPr="00CA27E3">
              <w:rPr>
                <w:rFonts w:ascii="Sylfaen" w:hAnsi="Sylfaen"/>
                <w:sz w:val="20"/>
                <w:szCs w:val="20"/>
              </w:rPr>
              <w:t>ինու մառան</w:t>
            </w:r>
            <w:r w:rsidR="00D41A9D" w:rsidRPr="00CA27E3">
              <w:rPr>
                <w:rFonts w:ascii="Sylfaen" w:hAnsi="Sylfaen"/>
                <w:sz w:val="20"/>
                <w:szCs w:val="20"/>
                <w:vertAlign w:val="superscript"/>
              </w:rPr>
              <w:t xml:space="preserve"> </w:t>
            </w:r>
            <w:r w:rsidR="00D41A9D" w:rsidRPr="00CA27E3">
              <w:rPr>
                <w:rStyle w:val="FootnoteReference"/>
                <w:rFonts w:ascii="Sylfaen" w:hAnsi="Sylfaen"/>
                <w:sz w:val="20"/>
                <w:szCs w:val="20"/>
              </w:rPr>
              <w:footnoteReference w:id="3"/>
            </w:r>
          </w:p>
        </w:tc>
        <w:tc>
          <w:tcPr>
            <w:tcW w:w="2057" w:type="dxa"/>
            <w:tcBorders>
              <w:top w:val="single" w:sz="4" w:space="0" w:color="auto"/>
              <w:left w:val="single" w:sz="4" w:space="0" w:color="auto"/>
            </w:tcBorders>
            <w:shd w:val="clear" w:color="auto" w:fill="FFFFFF"/>
            <w:vAlign w:val="center"/>
          </w:tcPr>
          <w:p w14:paraId="2F03BF7A" w14:textId="77777777" w:rsidR="00FD48C7" w:rsidRPr="00CA27E3" w:rsidRDefault="00EC512E" w:rsidP="0078386D">
            <w:pPr>
              <w:pStyle w:val="Other0"/>
              <w:shd w:val="clear" w:color="auto" w:fill="auto"/>
              <w:spacing w:after="120"/>
              <w:rPr>
                <w:rFonts w:ascii="Sylfaen" w:hAnsi="Sylfaen" w:cs="Sylfaen"/>
                <w:sz w:val="20"/>
                <w:szCs w:val="20"/>
              </w:rPr>
            </w:pPr>
            <w:r w:rsidRPr="00CA27E3">
              <w:rPr>
                <w:rFonts w:ascii="Sylfaen" w:hAnsi="Sylfaen"/>
                <w:sz w:val="20"/>
                <w:szCs w:val="20"/>
              </w:rPr>
              <w:t>թ</w:t>
            </w:r>
            <w:r w:rsidR="00BB04FF" w:rsidRPr="00CA27E3">
              <w:rPr>
                <w:rFonts w:ascii="Sylfaen" w:hAnsi="Sylfaen"/>
                <w:sz w:val="20"/>
                <w:szCs w:val="20"/>
              </w:rPr>
              <w:t xml:space="preserve">արմ սննդամթերքի պահման </w:t>
            </w:r>
            <w:r w:rsidR="00D3520C" w:rsidRPr="00CA27E3">
              <w:rPr>
                <w:rFonts w:ascii="Sylfaen" w:hAnsi="Sylfaen"/>
                <w:sz w:val="20"/>
                <w:szCs w:val="20"/>
              </w:rPr>
              <w:t>համար</w:t>
            </w:r>
            <w:r w:rsidR="00BB04FF" w:rsidRPr="00CA27E3">
              <w:rPr>
                <w:rStyle w:val="FootnoteReference"/>
                <w:rFonts w:ascii="Sylfaen" w:hAnsi="Sylfaen"/>
                <w:sz w:val="20"/>
                <w:szCs w:val="20"/>
              </w:rPr>
              <w:footnoteReference w:id="4"/>
            </w:r>
          </w:p>
        </w:tc>
        <w:tc>
          <w:tcPr>
            <w:tcW w:w="1276" w:type="dxa"/>
            <w:tcBorders>
              <w:top w:val="single" w:sz="4" w:space="0" w:color="auto"/>
              <w:left w:val="single" w:sz="4" w:space="0" w:color="auto"/>
            </w:tcBorders>
            <w:shd w:val="clear" w:color="auto" w:fill="FFFFFF"/>
            <w:vAlign w:val="center"/>
          </w:tcPr>
          <w:p w14:paraId="3DD57A85"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Պաղեցման համար</w:t>
            </w:r>
            <w:r w:rsidRPr="00CA27E3">
              <w:rPr>
                <w:rStyle w:val="FootnoteReference"/>
                <w:rFonts w:ascii="Sylfaen" w:hAnsi="Sylfaen"/>
                <w:sz w:val="20"/>
                <w:szCs w:val="20"/>
              </w:rPr>
              <w:footnoteReference w:id="5"/>
            </w:r>
          </w:p>
        </w:tc>
        <w:tc>
          <w:tcPr>
            <w:tcW w:w="1134" w:type="dxa"/>
            <w:tcBorders>
              <w:top w:val="single" w:sz="4" w:space="0" w:color="auto"/>
              <w:left w:val="single" w:sz="4" w:space="0" w:color="auto"/>
            </w:tcBorders>
            <w:shd w:val="clear" w:color="auto" w:fill="FFFFFF"/>
            <w:vAlign w:val="center"/>
          </w:tcPr>
          <w:p w14:paraId="41CA19EE"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սառույցի ստացում</w:t>
            </w:r>
            <w:r w:rsidRPr="00CA27E3">
              <w:rPr>
                <w:rStyle w:val="FootnoteReference"/>
                <w:rFonts w:ascii="Sylfaen" w:hAnsi="Sylfaen"/>
                <w:sz w:val="20"/>
                <w:szCs w:val="20"/>
              </w:rPr>
              <w:footnoteReference w:id="6"/>
            </w:r>
          </w:p>
        </w:tc>
        <w:tc>
          <w:tcPr>
            <w:tcW w:w="636" w:type="dxa"/>
            <w:tcBorders>
              <w:top w:val="single" w:sz="4" w:space="0" w:color="auto"/>
              <w:left w:val="single" w:sz="4" w:space="0" w:color="auto"/>
            </w:tcBorders>
            <w:shd w:val="clear" w:color="auto" w:fill="FFFFFF"/>
            <w:vAlign w:val="center"/>
          </w:tcPr>
          <w:p w14:paraId="0151A298"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w:t>
            </w:r>
            <w:r w:rsidRPr="00CA27E3">
              <w:rPr>
                <w:rStyle w:val="FootnoteReference"/>
                <w:rFonts w:ascii="Sylfaen" w:hAnsi="Sylfaen"/>
                <w:sz w:val="20"/>
                <w:szCs w:val="20"/>
              </w:rPr>
              <w:footnoteReference w:id="7"/>
            </w:r>
          </w:p>
        </w:tc>
        <w:tc>
          <w:tcPr>
            <w:tcW w:w="708" w:type="dxa"/>
            <w:tcBorders>
              <w:top w:val="single" w:sz="4" w:space="0" w:color="auto"/>
              <w:left w:val="single" w:sz="4" w:space="0" w:color="auto"/>
            </w:tcBorders>
            <w:shd w:val="clear" w:color="auto" w:fill="FFFFFF"/>
            <w:vAlign w:val="center"/>
          </w:tcPr>
          <w:p w14:paraId="33D7609C"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w:t>
            </w:r>
            <w:r w:rsidRPr="00CA27E3">
              <w:rPr>
                <w:rStyle w:val="FootnoteReference"/>
                <w:rFonts w:ascii="Sylfaen" w:hAnsi="Sylfaen"/>
                <w:sz w:val="20"/>
                <w:szCs w:val="20"/>
              </w:rPr>
              <w:footnoteReference w:id="8"/>
            </w:r>
          </w:p>
        </w:tc>
        <w:tc>
          <w:tcPr>
            <w:tcW w:w="709" w:type="dxa"/>
            <w:tcBorders>
              <w:top w:val="single" w:sz="4" w:space="0" w:color="auto"/>
              <w:left w:val="single" w:sz="4" w:space="0" w:color="auto"/>
            </w:tcBorders>
            <w:shd w:val="clear" w:color="auto" w:fill="FFFFFF"/>
            <w:vAlign w:val="center"/>
          </w:tcPr>
          <w:p w14:paraId="68A20DC6"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w:t>
            </w:r>
            <w:r w:rsidRPr="00CA27E3">
              <w:rPr>
                <w:rStyle w:val="FootnoteReference"/>
                <w:rFonts w:ascii="Sylfaen" w:hAnsi="Sylfaen"/>
                <w:sz w:val="20"/>
                <w:szCs w:val="20"/>
              </w:rPr>
              <w:footnoteReference w:id="9"/>
            </w:r>
          </w:p>
        </w:tc>
        <w:tc>
          <w:tcPr>
            <w:tcW w:w="851" w:type="dxa"/>
            <w:tcBorders>
              <w:top w:val="single" w:sz="4" w:space="0" w:color="auto"/>
              <w:left w:val="single" w:sz="4" w:space="0" w:color="auto"/>
            </w:tcBorders>
            <w:shd w:val="clear" w:color="auto" w:fill="FFFFFF"/>
            <w:vAlign w:val="center"/>
          </w:tcPr>
          <w:p w14:paraId="2BF746C0"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w:t>
            </w:r>
            <w:r w:rsidRPr="00CA27E3">
              <w:rPr>
                <w:rStyle w:val="FootnoteReference"/>
                <w:rFonts w:ascii="Sylfaen" w:hAnsi="Sylfaen"/>
                <w:sz w:val="20"/>
                <w:szCs w:val="20"/>
              </w:rPr>
              <w:footnoteReference w:id="10"/>
            </w:r>
          </w:p>
        </w:tc>
        <w:tc>
          <w:tcPr>
            <w:tcW w:w="1915" w:type="dxa"/>
            <w:vMerge/>
            <w:tcBorders>
              <w:left w:val="single" w:sz="4" w:space="0" w:color="auto"/>
              <w:right w:val="single" w:sz="4" w:space="0" w:color="auto"/>
            </w:tcBorders>
            <w:shd w:val="clear" w:color="auto" w:fill="FFFFFF"/>
            <w:vAlign w:val="center"/>
          </w:tcPr>
          <w:p w14:paraId="4861FF6D" w14:textId="77777777" w:rsidR="00FD48C7" w:rsidRPr="00CA27E3" w:rsidRDefault="00FD48C7" w:rsidP="00CA27E3">
            <w:pPr>
              <w:spacing w:after="120"/>
              <w:rPr>
                <w:rFonts w:ascii="Sylfaen" w:hAnsi="Sylfaen" w:cs="Sylfaen"/>
                <w:sz w:val="20"/>
                <w:szCs w:val="20"/>
              </w:rPr>
            </w:pPr>
          </w:p>
        </w:tc>
      </w:tr>
      <w:tr w:rsidR="00CA27E3" w:rsidRPr="00CA27E3" w14:paraId="058A0FF7" w14:textId="77777777" w:rsidTr="000E6C97">
        <w:trPr>
          <w:jc w:val="center"/>
        </w:trPr>
        <w:tc>
          <w:tcPr>
            <w:tcW w:w="2990" w:type="dxa"/>
            <w:tcBorders>
              <w:top w:val="single" w:sz="4" w:space="0" w:color="auto"/>
              <w:left w:val="single" w:sz="4" w:space="0" w:color="auto"/>
            </w:tcBorders>
            <w:shd w:val="clear" w:color="auto" w:fill="FFFFFF"/>
            <w:vAlign w:val="center"/>
          </w:tcPr>
          <w:p w14:paraId="3B86861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Սառնարան</w:t>
            </w:r>
          </w:p>
        </w:tc>
        <w:tc>
          <w:tcPr>
            <w:tcW w:w="1508" w:type="dxa"/>
            <w:tcBorders>
              <w:top w:val="single" w:sz="4" w:space="0" w:color="auto"/>
              <w:left w:val="single" w:sz="4" w:space="0" w:color="auto"/>
            </w:tcBorders>
            <w:shd w:val="clear" w:color="auto" w:fill="FFFFFF"/>
            <w:vAlign w:val="center"/>
          </w:tcPr>
          <w:p w14:paraId="32D3413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6D7A273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0240087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6D922ED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1C1D193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235C919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314951E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64D8BA4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6970079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09DF3F9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right w:val="single" w:sz="4" w:space="0" w:color="auto"/>
            </w:tcBorders>
            <w:shd w:val="clear" w:color="auto" w:fill="FFFFFF"/>
            <w:vAlign w:val="center"/>
          </w:tcPr>
          <w:p w14:paraId="54972546"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տիպ 1</w:t>
            </w:r>
          </w:p>
          <w:p w14:paraId="457DC8B8"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0,233; 245</w:t>
            </w:r>
          </w:p>
        </w:tc>
      </w:tr>
      <w:tr w:rsidR="00CA27E3" w:rsidRPr="00CA27E3" w14:paraId="0C75CA2F" w14:textId="77777777" w:rsidTr="000E6C97">
        <w:trPr>
          <w:trHeight w:val="756"/>
          <w:jc w:val="center"/>
        </w:trPr>
        <w:tc>
          <w:tcPr>
            <w:tcW w:w="2990" w:type="dxa"/>
            <w:vMerge w:val="restart"/>
            <w:tcBorders>
              <w:top w:val="single" w:sz="4" w:space="0" w:color="auto"/>
              <w:left w:val="single" w:sz="4" w:space="0" w:color="auto"/>
            </w:tcBorders>
            <w:shd w:val="clear" w:color="auto" w:fill="FFFFFF"/>
            <w:vAlign w:val="center"/>
          </w:tcPr>
          <w:p w14:paraId="1C933765" w14:textId="77777777" w:rsidR="00181016" w:rsidRPr="00CA27E3" w:rsidRDefault="00181016" w:rsidP="000E6C97">
            <w:pPr>
              <w:pStyle w:val="Other0"/>
              <w:shd w:val="clear" w:color="auto" w:fill="auto"/>
              <w:spacing w:after="120"/>
              <w:ind w:right="110"/>
              <w:rPr>
                <w:rFonts w:ascii="Sylfaen" w:hAnsi="Sylfaen" w:cs="Sylfaen"/>
                <w:sz w:val="20"/>
                <w:szCs w:val="20"/>
              </w:rPr>
            </w:pPr>
            <w:r w:rsidRPr="00CA27E3">
              <w:rPr>
                <w:rFonts w:ascii="Sylfaen" w:hAnsi="Sylfaen"/>
                <w:sz w:val="20"/>
                <w:szCs w:val="20"/>
              </w:rPr>
              <w:t>Գինու պահման համար նախատեսված սառնարանային սարք (գինու</w:t>
            </w:r>
            <w:r w:rsidR="000E6C97" w:rsidRPr="000E6C97">
              <w:rPr>
                <w:rFonts w:ascii="Sylfaen" w:hAnsi="Sylfaen"/>
                <w:sz w:val="20"/>
                <w:szCs w:val="20"/>
              </w:rPr>
              <w:t> </w:t>
            </w:r>
            <w:r w:rsidRPr="00CA27E3">
              <w:rPr>
                <w:rFonts w:ascii="Sylfaen" w:hAnsi="Sylfaen"/>
                <w:sz w:val="20"/>
                <w:szCs w:val="20"/>
              </w:rPr>
              <w:t xml:space="preserve">պահարան, գինու </w:t>
            </w:r>
            <w:r w:rsidRPr="00CA27E3">
              <w:rPr>
                <w:rFonts w:ascii="Sylfaen" w:hAnsi="Sylfaen"/>
                <w:sz w:val="20"/>
                <w:szCs w:val="20"/>
              </w:rPr>
              <w:lastRenderedPageBreak/>
              <w:t>մառան)</w:t>
            </w:r>
          </w:p>
        </w:tc>
        <w:tc>
          <w:tcPr>
            <w:tcW w:w="1508" w:type="dxa"/>
            <w:tcBorders>
              <w:top w:val="single" w:sz="4" w:space="0" w:color="auto"/>
              <w:left w:val="single" w:sz="4" w:space="0" w:color="auto"/>
              <w:bottom w:val="single" w:sz="4" w:space="0" w:color="auto"/>
            </w:tcBorders>
            <w:shd w:val="clear" w:color="auto" w:fill="FFFFFF"/>
            <w:vAlign w:val="center"/>
          </w:tcPr>
          <w:p w14:paraId="56C0EE2A"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lastRenderedPageBreak/>
              <w:t>±</w:t>
            </w:r>
          </w:p>
        </w:tc>
        <w:tc>
          <w:tcPr>
            <w:tcW w:w="925" w:type="dxa"/>
            <w:tcBorders>
              <w:top w:val="single" w:sz="4" w:space="0" w:color="auto"/>
              <w:left w:val="single" w:sz="4" w:space="0" w:color="auto"/>
              <w:bottom w:val="single" w:sz="4" w:space="0" w:color="auto"/>
            </w:tcBorders>
            <w:shd w:val="clear" w:color="auto" w:fill="FFFFFF"/>
            <w:vAlign w:val="center"/>
          </w:tcPr>
          <w:p w14:paraId="427D9E3E"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bottom w:val="single" w:sz="4" w:space="0" w:color="auto"/>
            </w:tcBorders>
            <w:shd w:val="clear" w:color="auto" w:fill="FFFFFF"/>
            <w:vAlign w:val="center"/>
          </w:tcPr>
          <w:p w14:paraId="682C9A52"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bottom w:val="single" w:sz="4" w:space="0" w:color="auto"/>
            </w:tcBorders>
            <w:shd w:val="clear" w:color="auto" w:fill="FFFFFF"/>
            <w:vAlign w:val="center"/>
          </w:tcPr>
          <w:p w14:paraId="122927EA"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vAlign w:val="center"/>
          </w:tcPr>
          <w:p w14:paraId="4FECF39B"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vAlign w:val="center"/>
          </w:tcPr>
          <w:p w14:paraId="504A529B"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bottom w:val="single" w:sz="4" w:space="0" w:color="auto"/>
            </w:tcBorders>
            <w:shd w:val="clear" w:color="auto" w:fill="FFFFFF"/>
            <w:vAlign w:val="center"/>
          </w:tcPr>
          <w:p w14:paraId="4E4FE138"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bottom w:val="single" w:sz="4" w:space="0" w:color="auto"/>
            </w:tcBorders>
            <w:shd w:val="clear" w:color="auto" w:fill="FFFFFF"/>
            <w:vAlign w:val="center"/>
          </w:tcPr>
          <w:p w14:paraId="6980042C"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bottom w:val="single" w:sz="4" w:space="0" w:color="auto"/>
            </w:tcBorders>
            <w:shd w:val="clear" w:color="auto" w:fill="FFFFFF"/>
            <w:vAlign w:val="center"/>
          </w:tcPr>
          <w:p w14:paraId="6F2CFC39"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bottom w:val="single" w:sz="4" w:space="0" w:color="auto"/>
            </w:tcBorders>
            <w:shd w:val="clear" w:color="auto" w:fill="FFFFFF"/>
            <w:vAlign w:val="center"/>
          </w:tcPr>
          <w:p w14:paraId="2BD51AA8"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vMerge w:val="restart"/>
            <w:tcBorders>
              <w:top w:val="single" w:sz="4" w:space="0" w:color="auto"/>
              <w:left w:val="single" w:sz="4" w:space="0" w:color="auto"/>
              <w:right w:val="single" w:sz="4" w:space="0" w:color="auto"/>
            </w:tcBorders>
            <w:shd w:val="clear" w:color="auto" w:fill="FFFFFF"/>
            <w:vAlign w:val="center"/>
          </w:tcPr>
          <w:p w14:paraId="296C73ED" w14:textId="77777777" w:rsidR="00181016" w:rsidRPr="00CA27E3" w:rsidRDefault="00181016" w:rsidP="0078386D">
            <w:pPr>
              <w:pStyle w:val="Other0"/>
              <w:shd w:val="clear" w:color="auto" w:fill="auto"/>
              <w:spacing w:after="120"/>
              <w:rPr>
                <w:rFonts w:ascii="Sylfaen" w:hAnsi="Sylfaen" w:cs="Sylfaen"/>
                <w:sz w:val="20"/>
                <w:szCs w:val="20"/>
              </w:rPr>
            </w:pPr>
            <w:r w:rsidRPr="00CA27E3">
              <w:rPr>
                <w:rFonts w:ascii="Sylfaen" w:hAnsi="Sylfaen"/>
                <w:sz w:val="20"/>
                <w:szCs w:val="20"/>
              </w:rPr>
              <w:t>տիպ 2</w:t>
            </w:r>
          </w:p>
          <w:p w14:paraId="40A81D38" w14:textId="77777777" w:rsidR="00181016" w:rsidRPr="00CA27E3" w:rsidRDefault="00181016" w:rsidP="0078386D">
            <w:pPr>
              <w:pStyle w:val="Other0"/>
              <w:spacing w:after="120"/>
              <w:rPr>
                <w:rFonts w:ascii="Sylfaen" w:hAnsi="Sylfaen" w:cs="Sylfaen"/>
                <w:sz w:val="20"/>
                <w:szCs w:val="20"/>
              </w:rPr>
            </w:pPr>
            <w:r w:rsidRPr="00CA27E3">
              <w:rPr>
                <w:rFonts w:ascii="Sylfaen" w:hAnsi="Sylfaen"/>
                <w:sz w:val="20"/>
                <w:szCs w:val="20"/>
              </w:rPr>
              <w:t>0,233; 245</w:t>
            </w:r>
          </w:p>
        </w:tc>
      </w:tr>
      <w:tr w:rsidR="00CA27E3" w:rsidRPr="00CA27E3" w14:paraId="27AF52FC" w14:textId="77777777" w:rsidTr="000E6C97">
        <w:trPr>
          <w:trHeight w:val="451"/>
          <w:jc w:val="center"/>
        </w:trPr>
        <w:tc>
          <w:tcPr>
            <w:tcW w:w="2990" w:type="dxa"/>
            <w:vMerge/>
            <w:tcBorders>
              <w:left w:val="single" w:sz="4" w:space="0" w:color="auto"/>
            </w:tcBorders>
            <w:shd w:val="clear" w:color="auto" w:fill="FFFFFF"/>
          </w:tcPr>
          <w:p w14:paraId="1DDA2293" w14:textId="77777777" w:rsidR="00181016" w:rsidRPr="00CA27E3" w:rsidRDefault="00181016" w:rsidP="0092264D">
            <w:pPr>
              <w:pStyle w:val="Other0"/>
              <w:shd w:val="clear" w:color="auto" w:fill="auto"/>
              <w:spacing w:after="120"/>
              <w:rPr>
                <w:rFonts w:ascii="Sylfaen" w:hAnsi="Sylfaen" w:cs="Sylfaen"/>
                <w:sz w:val="20"/>
                <w:szCs w:val="20"/>
              </w:rPr>
            </w:pPr>
          </w:p>
        </w:tc>
        <w:tc>
          <w:tcPr>
            <w:tcW w:w="1508" w:type="dxa"/>
            <w:tcBorders>
              <w:top w:val="single" w:sz="4" w:space="0" w:color="auto"/>
              <w:left w:val="single" w:sz="4" w:space="0" w:color="auto"/>
            </w:tcBorders>
            <w:shd w:val="clear" w:color="auto" w:fill="FFFFFF"/>
            <w:vAlign w:val="center"/>
          </w:tcPr>
          <w:p w14:paraId="546D2F67" w14:textId="77777777" w:rsidR="00181016" w:rsidRPr="00CA27E3" w:rsidRDefault="00EC512E"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7BC05FA0" w14:textId="77777777" w:rsidR="00181016" w:rsidRPr="00CA27E3" w:rsidRDefault="00EC512E"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1E217BD5"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059853DA"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3FD591E2"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7F4A7413"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6653E919"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3C224903"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0A57C545"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64379EFD"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vMerge/>
            <w:tcBorders>
              <w:left w:val="single" w:sz="4" w:space="0" w:color="auto"/>
              <w:right w:val="single" w:sz="4" w:space="0" w:color="auto"/>
            </w:tcBorders>
            <w:shd w:val="clear" w:color="auto" w:fill="FFFFFF"/>
          </w:tcPr>
          <w:p w14:paraId="44DB2F38" w14:textId="77777777" w:rsidR="00181016" w:rsidRPr="00CA27E3" w:rsidRDefault="00181016" w:rsidP="0078386D">
            <w:pPr>
              <w:pStyle w:val="Other0"/>
              <w:shd w:val="clear" w:color="auto" w:fill="auto"/>
              <w:spacing w:after="120"/>
              <w:rPr>
                <w:rFonts w:ascii="Sylfaen" w:hAnsi="Sylfaen" w:cs="Sylfaen"/>
                <w:sz w:val="20"/>
                <w:szCs w:val="20"/>
              </w:rPr>
            </w:pPr>
          </w:p>
        </w:tc>
      </w:tr>
      <w:tr w:rsidR="00CA27E3" w:rsidRPr="00CA27E3" w14:paraId="690D68B2" w14:textId="77777777" w:rsidTr="000E6C97">
        <w:trPr>
          <w:trHeight w:val="578"/>
          <w:jc w:val="center"/>
        </w:trPr>
        <w:tc>
          <w:tcPr>
            <w:tcW w:w="2990" w:type="dxa"/>
            <w:vMerge/>
            <w:tcBorders>
              <w:left w:val="single" w:sz="4" w:space="0" w:color="auto"/>
            </w:tcBorders>
            <w:shd w:val="clear" w:color="auto" w:fill="FFFFFF"/>
          </w:tcPr>
          <w:p w14:paraId="0C0F46A5" w14:textId="77777777" w:rsidR="00181016" w:rsidRPr="00CA27E3" w:rsidRDefault="00181016" w:rsidP="0092264D">
            <w:pPr>
              <w:spacing w:after="120"/>
              <w:jc w:val="center"/>
              <w:rPr>
                <w:rFonts w:ascii="Sylfaen" w:hAnsi="Sylfaen" w:cs="Sylfaen"/>
                <w:sz w:val="20"/>
                <w:szCs w:val="20"/>
              </w:rPr>
            </w:pPr>
          </w:p>
        </w:tc>
        <w:tc>
          <w:tcPr>
            <w:tcW w:w="1508" w:type="dxa"/>
            <w:tcBorders>
              <w:top w:val="single" w:sz="4" w:space="0" w:color="auto"/>
              <w:left w:val="single" w:sz="4" w:space="0" w:color="auto"/>
            </w:tcBorders>
            <w:shd w:val="clear" w:color="auto" w:fill="FFFFFF"/>
            <w:vAlign w:val="center"/>
          </w:tcPr>
          <w:p w14:paraId="4115EB27"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00EB0E64"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5493AFED"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40D0E746"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29453502"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5F0F59A1"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6AEE4F66"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5368FB0F"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7D7443CA"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70599850" w14:textId="77777777" w:rsidR="00181016" w:rsidRPr="00CA27E3" w:rsidRDefault="00181016"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vMerge/>
            <w:tcBorders>
              <w:left w:val="single" w:sz="4" w:space="0" w:color="auto"/>
              <w:right w:val="single" w:sz="4" w:space="0" w:color="auto"/>
            </w:tcBorders>
            <w:shd w:val="clear" w:color="auto" w:fill="FFFFFF"/>
          </w:tcPr>
          <w:p w14:paraId="38351FB0" w14:textId="77777777" w:rsidR="00181016" w:rsidRPr="00CA27E3" w:rsidRDefault="00181016" w:rsidP="0078386D">
            <w:pPr>
              <w:spacing w:after="120"/>
              <w:jc w:val="center"/>
              <w:rPr>
                <w:rFonts w:ascii="Sylfaen" w:hAnsi="Sylfaen" w:cs="Sylfaen"/>
                <w:sz w:val="20"/>
                <w:szCs w:val="20"/>
              </w:rPr>
            </w:pPr>
          </w:p>
        </w:tc>
      </w:tr>
      <w:tr w:rsidR="00CA27E3" w:rsidRPr="00CA27E3" w14:paraId="34926741" w14:textId="77777777" w:rsidTr="000E6C97">
        <w:trPr>
          <w:jc w:val="center"/>
        </w:trPr>
        <w:tc>
          <w:tcPr>
            <w:tcW w:w="2990" w:type="dxa"/>
            <w:vMerge w:val="restart"/>
            <w:tcBorders>
              <w:top w:val="single" w:sz="4" w:space="0" w:color="auto"/>
              <w:left w:val="single" w:sz="4" w:space="0" w:color="auto"/>
            </w:tcBorders>
            <w:shd w:val="clear" w:color="auto" w:fill="FFFFFF"/>
            <w:vAlign w:val="center"/>
          </w:tcPr>
          <w:p w14:paraId="427652A0" w14:textId="77777777" w:rsidR="00FD48C7" w:rsidRPr="00CA27E3" w:rsidRDefault="00BB04FF" w:rsidP="0092264D">
            <w:pPr>
              <w:pStyle w:val="Other0"/>
              <w:shd w:val="clear" w:color="auto" w:fill="auto"/>
              <w:spacing w:after="120"/>
              <w:rPr>
                <w:rFonts w:ascii="Sylfaen" w:hAnsi="Sylfaen" w:cs="Sylfaen"/>
                <w:sz w:val="20"/>
                <w:szCs w:val="20"/>
              </w:rPr>
            </w:pPr>
            <w:r w:rsidRPr="00CA27E3">
              <w:rPr>
                <w:rFonts w:ascii="Sylfaen" w:hAnsi="Sylfaen"/>
                <w:sz w:val="20"/>
                <w:szCs w:val="20"/>
              </w:rPr>
              <w:t>Սառնարան-պաղեցուցիչ եւ սառնարան՝ առանց մականշվածքով բաժանմունքների</w:t>
            </w:r>
          </w:p>
        </w:tc>
        <w:tc>
          <w:tcPr>
            <w:tcW w:w="1508" w:type="dxa"/>
            <w:tcBorders>
              <w:top w:val="single" w:sz="4" w:space="0" w:color="auto"/>
              <w:left w:val="single" w:sz="4" w:space="0" w:color="auto"/>
            </w:tcBorders>
            <w:shd w:val="clear" w:color="auto" w:fill="FFFFFF"/>
            <w:vAlign w:val="center"/>
          </w:tcPr>
          <w:p w14:paraId="504C956C" w14:textId="77777777" w:rsidR="00FD48C7" w:rsidRPr="00CA27E3" w:rsidRDefault="007F4973"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250D2D26" w14:textId="77777777" w:rsidR="00FD48C7" w:rsidRPr="00CA27E3" w:rsidRDefault="007F4973"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0589C747" w14:textId="77777777" w:rsidR="00FD48C7" w:rsidRPr="00CA27E3" w:rsidRDefault="007F4973"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11AE925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712FBE4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4FA3CB56" w14:textId="77777777" w:rsidR="00FD48C7" w:rsidRPr="00CA27E3" w:rsidRDefault="007F4973"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59BC93C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327D5A6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0E032FD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2B4E101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vMerge w:val="restart"/>
            <w:tcBorders>
              <w:top w:val="single" w:sz="4" w:space="0" w:color="auto"/>
              <w:left w:val="single" w:sz="4" w:space="0" w:color="auto"/>
              <w:right w:val="single" w:sz="4" w:space="0" w:color="auto"/>
            </w:tcBorders>
            <w:shd w:val="clear" w:color="auto" w:fill="FFFFFF"/>
            <w:vAlign w:val="center"/>
          </w:tcPr>
          <w:p w14:paraId="6CCBE771"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տիպ 3</w:t>
            </w:r>
          </w:p>
          <w:p w14:paraId="657AD6E1" w14:textId="77777777" w:rsidR="00FD48C7" w:rsidRPr="00CA27E3" w:rsidRDefault="00BB04FF" w:rsidP="0078386D">
            <w:pPr>
              <w:pStyle w:val="Other0"/>
              <w:shd w:val="clear" w:color="auto" w:fill="auto"/>
              <w:spacing w:after="120"/>
              <w:rPr>
                <w:rFonts w:ascii="Sylfaen" w:hAnsi="Sylfaen" w:cs="Sylfaen"/>
                <w:sz w:val="20"/>
                <w:szCs w:val="20"/>
              </w:rPr>
            </w:pPr>
            <w:r w:rsidRPr="00CA27E3">
              <w:rPr>
                <w:rFonts w:ascii="Sylfaen" w:hAnsi="Sylfaen"/>
                <w:sz w:val="20"/>
                <w:szCs w:val="20"/>
              </w:rPr>
              <w:t>0,233; 245</w:t>
            </w:r>
          </w:p>
        </w:tc>
      </w:tr>
      <w:tr w:rsidR="00CA27E3" w:rsidRPr="00CA27E3" w14:paraId="261176E8" w14:textId="77777777" w:rsidTr="000E6C97">
        <w:trPr>
          <w:jc w:val="center"/>
        </w:trPr>
        <w:tc>
          <w:tcPr>
            <w:tcW w:w="2990" w:type="dxa"/>
            <w:vMerge/>
            <w:tcBorders>
              <w:left w:val="single" w:sz="4" w:space="0" w:color="auto"/>
            </w:tcBorders>
            <w:shd w:val="clear" w:color="auto" w:fill="FFFFFF"/>
            <w:vAlign w:val="center"/>
          </w:tcPr>
          <w:p w14:paraId="6F900991" w14:textId="77777777" w:rsidR="00FD48C7" w:rsidRPr="00CA27E3" w:rsidRDefault="00FD48C7" w:rsidP="00CA27E3">
            <w:pPr>
              <w:spacing w:after="120"/>
              <w:rPr>
                <w:rFonts w:ascii="Sylfaen" w:hAnsi="Sylfaen" w:cs="Sylfaen"/>
                <w:sz w:val="20"/>
                <w:szCs w:val="20"/>
              </w:rPr>
            </w:pPr>
          </w:p>
        </w:tc>
        <w:tc>
          <w:tcPr>
            <w:tcW w:w="1508" w:type="dxa"/>
            <w:tcBorders>
              <w:top w:val="single" w:sz="4" w:space="0" w:color="auto"/>
              <w:left w:val="single" w:sz="4" w:space="0" w:color="auto"/>
            </w:tcBorders>
            <w:shd w:val="clear" w:color="auto" w:fill="FFFFFF"/>
            <w:vAlign w:val="center"/>
          </w:tcPr>
          <w:p w14:paraId="03CC0188"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446369A4"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34D88B00"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7259515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67928EB5"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7C79ABC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62BF5B4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621D0A4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0F1F558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4021D85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vMerge/>
            <w:tcBorders>
              <w:left w:val="single" w:sz="4" w:space="0" w:color="auto"/>
              <w:right w:val="single" w:sz="4" w:space="0" w:color="auto"/>
            </w:tcBorders>
            <w:shd w:val="clear" w:color="auto" w:fill="FFFFFF"/>
            <w:vAlign w:val="center"/>
          </w:tcPr>
          <w:p w14:paraId="6D7469F3" w14:textId="77777777" w:rsidR="00FD48C7" w:rsidRPr="00CA27E3" w:rsidRDefault="00FD48C7" w:rsidP="00CA27E3">
            <w:pPr>
              <w:spacing w:after="120"/>
              <w:rPr>
                <w:rFonts w:ascii="Sylfaen" w:hAnsi="Sylfaen" w:cs="Sylfaen"/>
                <w:sz w:val="20"/>
                <w:szCs w:val="20"/>
              </w:rPr>
            </w:pPr>
          </w:p>
        </w:tc>
      </w:tr>
      <w:tr w:rsidR="00CA27E3" w:rsidRPr="00CA27E3" w14:paraId="2B9B7638" w14:textId="77777777" w:rsidTr="000E6C97">
        <w:trPr>
          <w:jc w:val="center"/>
        </w:trPr>
        <w:tc>
          <w:tcPr>
            <w:tcW w:w="2990" w:type="dxa"/>
            <w:tcBorders>
              <w:top w:val="single" w:sz="4" w:space="0" w:color="auto"/>
              <w:left w:val="single" w:sz="4" w:space="0" w:color="auto"/>
            </w:tcBorders>
            <w:shd w:val="clear" w:color="auto" w:fill="FFFFFF"/>
            <w:vAlign w:val="center"/>
          </w:tcPr>
          <w:p w14:paraId="070B5DD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 մականշվածքով բաժանմունք</w:t>
            </w:r>
            <w:r w:rsidR="00F96469" w:rsidRPr="00CA27E3">
              <w:rPr>
                <w:rFonts w:ascii="Sylfaen" w:hAnsi="Sylfaen"/>
                <w:sz w:val="20"/>
                <w:szCs w:val="20"/>
              </w:rPr>
              <w:t>ն</w:t>
            </w:r>
            <w:r w:rsidRPr="00CA27E3">
              <w:rPr>
                <w:rFonts w:ascii="Sylfaen" w:hAnsi="Sylfaen"/>
                <w:sz w:val="20"/>
                <w:szCs w:val="20"/>
              </w:rPr>
              <w:t xml:space="preserve">եր ունեցող սառնարան </w:t>
            </w:r>
          </w:p>
        </w:tc>
        <w:tc>
          <w:tcPr>
            <w:tcW w:w="1508" w:type="dxa"/>
            <w:tcBorders>
              <w:top w:val="single" w:sz="4" w:space="0" w:color="auto"/>
              <w:left w:val="single" w:sz="4" w:space="0" w:color="auto"/>
            </w:tcBorders>
            <w:shd w:val="clear" w:color="auto" w:fill="FFFFFF"/>
            <w:vAlign w:val="center"/>
          </w:tcPr>
          <w:p w14:paraId="5A1C372E"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077DC864"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7F7D4E49"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05313BF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4CD50B94" w14:textId="77777777" w:rsidR="00FD48C7" w:rsidRPr="00CA27E3" w:rsidRDefault="005058A8"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2429F8BF"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793871E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0576A5C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33C37F1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6DF06CF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right w:val="single" w:sz="4" w:space="0" w:color="auto"/>
            </w:tcBorders>
            <w:shd w:val="clear" w:color="auto" w:fill="FFFFFF"/>
            <w:vAlign w:val="center"/>
          </w:tcPr>
          <w:p w14:paraId="3B918CC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4</w:t>
            </w:r>
          </w:p>
          <w:p w14:paraId="59D3C0E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0,643; 191</w:t>
            </w:r>
          </w:p>
        </w:tc>
      </w:tr>
      <w:tr w:rsidR="00CA27E3" w:rsidRPr="00CA27E3" w14:paraId="593A74BC" w14:textId="77777777" w:rsidTr="000E6C97">
        <w:trPr>
          <w:jc w:val="center"/>
        </w:trPr>
        <w:tc>
          <w:tcPr>
            <w:tcW w:w="2990" w:type="dxa"/>
            <w:tcBorders>
              <w:top w:val="single" w:sz="4" w:space="0" w:color="auto"/>
              <w:left w:val="single" w:sz="4" w:space="0" w:color="auto"/>
            </w:tcBorders>
            <w:shd w:val="clear" w:color="auto" w:fill="FFFFFF"/>
            <w:vAlign w:val="center"/>
          </w:tcPr>
          <w:p w14:paraId="06130D3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 մականշվածքով բաժանմունք</w:t>
            </w:r>
            <w:r w:rsidR="00F96469" w:rsidRPr="00CA27E3">
              <w:rPr>
                <w:rFonts w:ascii="Sylfaen" w:hAnsi="Sylfaen"/>
                <w:sz w:val="20"/>
                <w:szCs w:val="20"/>
              </w:rPr>
              <w:t>ն</w:t>
            </w:r>
            <w:r w:rsidRPr="00CA27E3">
              <w:rPr>
                <w:rFonts w:ascii="Sylfaen" w:hAnsi="Sylfaen"/>
                <w:sz w:val="20"/>
                <w:szCs w:val="20"/>
              </w:rPr>
              <w:t>եր ունեցող սառնարան</w:t>
            </w:r>
          </w:p>
        </w:tc>
        <w:tc>
          <w:tcPr>
            <w:tcW w:w="1508" w:type="dxa"/>
            <w:tcBorders>
              <w:top w:val="single" w:sz="4" w:space="0" w:color="auto"/>
              <w:left w:val="single" w:sz="4" w:space="0" w:color="auto"/>
            </w:tcBorders>
            <w:shd w:val="clear" w:color="auto" w:fill="FFFFFF"/>
            <w:vAlign w:val="center"/>
          </w:tcPr>
          <w:p w14:paraId="23EE229D"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01B2A6A6"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3DAFD7F7"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1DFCF84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0CCD623C"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3E3E523E"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77E5E212"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491ECCA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3D9E86F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05ACE9E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right w:val="single" w:sz="4" w:space="0" w:color="auto"/>
            </w:tcBorders>
            <w:shd w:val="clear" w:color="auto" w:fill="FFFFFF"/>
            <w:vAlign w:val="center"/>
          </w:tcPr>
          <w:p w14:paraId="55962EE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5</w:t>
            </w:r>
          </w:p>
          <w:p w14:paraId="7D91B0D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0,450; 245</w:t>
            </w:r>
          </w:p>
        </w:tc>
      </w:tr>
      <w:tr w:rsidR="00CA27E3" w:rsidRPr="00CA27E3" w14:paraId="62E8268B" w14:textId="77777777" w:rsidTr="000E6C97">
        <w:trPr>
          <w:trHeight w:val="984"/>
          <w:jc w:val="center"/>
        </w:trPr>
        <w:tc>
          <w:tcPr>
            <w:tcW w:w="2990" w:type="dxa"/>
            <w:tcBorders>
              <w:top w:val="single" w:sz="4" w:space="0" w:color="auto"/>
              <w:left w:val="single" w:sz="4" w:space="0" w:color="auto"/>
            </w:tcBorders>
            <w:shd w:val="clear" w:color="auto" w:fill="FFFFFF"/>
            <w:vAlign w:val="center"/>
          </w:tcPr>
          <w:p w14:paraId="329D2C8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 մականշվածքով բաժանմունք</w:t>
            </w:r>
            <w:r w:rsidR="00F96469" w:rsidRPr="00CA27E3">
              <w:rPr>
                <w:rFonts w:ascii="Sylfaen" w:hAnsi="Sylfaen"/>
                <w:sz w:val="20"/>
                <w:szCs w:val="20"/>
              </w:rPr>
              <w:t>ն</w:t>
            </w:r>
            <w:r w:rsidRPr="00CA27E3">
              <w:rPr>
                <w:rFonts w:ascii="Sylfaen" w:hAnsi="Sylfaen"/>
                <w:sz w:val="20"/>
                <w:szCs w:val="20"/>
              </w:rPr>
              <w:t>եր ունեցող սառնարան</w:t>
            </w:r>
          </w:p>
        </w:tc>
        <w:tc>
          <w:tcPr>
            <w:tcW w:w="1508" w:type="dxa"/>
            <w:tcBorders>
              <w:top w:val="single" w:sz="4" w:space="0" w:color="auto"/>
              <w:left w:val="single" w:sz="4" w:space="0" w:color="auto"/>
            </w:tcBorders>
            <w:shd w:val="clear" w:color="auto" w:fill="FFFFFF"/>
            <w:vAlign w:val="center"/>
          </w:tcPr>
          <w:p w14:paraId="52C24E3F"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0340B5DC"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648D6CC5"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2092B61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37601F6B"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7DA212E6"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4DBC0940"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41BBB44A"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5900652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7F34928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right w:val="single" w:sz="4" w:space="0" w:color="auto"/>
            </w:tcBorders>
            <w:shd w:val="clear" w:color="auto" w:fill="FFFFFF"/>
            <w:vAlign w:val="center"/>
          </w:tcPr>
          <w:p w14:paraId="1EE73D2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6</w:t>
            </w:r>
          </w:p>
          <w:p w14:paraId="2823079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0,777; 303</w:t>
            </w:r>
          </w:p>
        </w:tc>
      </w:tr>
      <w:tr w:rsidR="00CA27E3" w:rsidRPr="00CA27E3" w14:paraId="45E96208" w14:textId="77777777" w:rsidTr="000E6C97">
        <w:trPr>
          <w:trHeight w:val="912"/>
          <w:jc w:val="center"/>
        </w:trPr>
        <w:tc>
          <w:tcPr>
            <w:tcW w:w="2990" w:type="dxa"/>
            <w:tcBorders>
              <w:top w:val="single" w:sz="4" w:space="0" w:color="auto"/>
              <w:left w:val="single" w:sz="4" w:space="0" w:color="auto"/>
              <w:bottom w:val="single" w:sz="4" w:space="0" w:color="auto"/>
            </w:tcBorders>
            <w:shd w:val="clear" w:color="auto" w:fill="FFFFFF"/>
            <w:vAlign w:val="center"/>
          </w:tcPr>
          <w:p w14:paraId="7F1B7CC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Սառնարան-սառցարան</w:t>
            </w:r>
          </w:p>
        </w:tc>
        <w:tc>
          <w:tcPr>
            <w:tcW w:w="1508" w:type="dxa"/>
            <w:tcBorders>
              <w:top w:val="single" w:sz="4" w:space="0" w:color="auto"/>
              <w:left w:val="single" w:sz="4" w:space="0" w:color="auto"/>
              <w:bottom w:val="single" w:sz="4" w:space="0" w:color="auto"/>
            </w:tcBorders>
            <w:shd w:val="clear" w:color="auto" w:fill="FFFFFF"/>
            <w:vAlign w:val="center"/>
          </w:tcPr>
          <w:p w14:paraId="5C8F0023"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bottom w:val="single" w:sz="4" w:space="0" w:color="auto"/>
            </w:tcBorders>
            <w:shd w:val="clear" w:color="auto" w:fill="FFFFFF"/>
            <w:vAlign w:val="center"/>
          </w:tcPr>
          <w:p w14:paraId="750525BD"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bottom w:val="single" w:sz="4" w:space="0" w:color="auto"/>
            </w:tcBorders>
            <w:shd w:val="clear" w:color="auto" w:fill="FFFFFF"/>
            <w:vAlign w:val="center"/>
          </w:tcPr>
          <w:p w14:paraId="6185BA7F"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bottom w:val="single" w:sz="4" w:space="0" w:color="auto"/>
            </w:tcBorders>
            <w:shd w:val="clear" w:color="auto" w:fill="FFFFFF"/>
            <w:vAlign w:val="center"/>
          </w:tcPr>
          <w:p w14:paraId="6250774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vAlign w:val="center"/>
          </w:tcPr>
          <w:p w14:paraId="43FC89CD"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vAlign w:val="center"/>
          </w:tcPr>
          <w:p w14:paraId="4A3F615A"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bottom w:val="single" w:sz="4" w:space="0" w:color="auto"/>
            </w:tcBorders>
            <w:shd w:val="clear" w:color="auto" w:fill="FFFFFF"/>
            <w:vAlign w:val="center"/>
          </w:tcPr>
          <w:p w14:paraId="7C869867"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bottom w:val="single" w:sz="4" w:space="0" w:color="auto"/>
            </w:tcBorders>
            <w:shd w:val="clear" w:color="auto" w:fill="FFFFFF"/>
            <w:vAlign w:val="center"/>
          </w:tcPr>
          <w:p w14:paraId="52919809"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bottom w:val="single" w:sz="4" w:space="0" w:color="auto"/>
            </w:tcBorders>
            <w:shd w:val="clear" w:color="auto" w:fill="FFFFFF"/>
            <w:vAlign w:val="center"/>
          </w:tcPr>
          <w:p w14:paraId="36826B69"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bottom w:val="single" w:sz="4" w:space="0" w:color="auto"/>
            </w:tcBorders>
            <w:shd w:val="clear" w:color="auto" w:fill="FFFFFF"/>
            <w:vAlign w:val="center"/>
          </w:tcPr>
          <w:p w14:paraId="445F625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14:paraId="1A4BF96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7</w:t>
            </w:r>
          </w:p>
          <w:p w14:paraId="6FAC73F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0,777; 303</w:t>
            </w:r>
          </w:p>
        </w:tc>
      </w:tr>
      <w:tr w:rsidR="00CA27E3" w:rsidRPr="00CA27E3" w14:paraId="6E313FBA" w14:textId="77777777" w:rsidTr="000E6C97">
        <w:trPr>
          <w:jc w:val="center"/>
        </w:trPr>
        <w:tc>
          <w:tcPr>
            <w:tcW w:w="2990" w:type="dxa"/>
            <w:tcBorders>
              <w:top w:val="single" w:sz="4" w:space="0" w:color="auto"/>
              <w:left w:val="single" w:sz="4" w:space="0" w:color="auto"/>
            </w:tcBorders>
            <w:shd w:val="clear" w:color="auto" w:fill="FFFFFF"/>
            <w:vAlign w:val="center"/>
          </w:tcPr>
          <w:p w14:paraId="2562B9A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 xml:space="preserve">«Պահարան» տիպի </w:t>
            </w:r>
            <w:r w:rsidRPr="00CA27E3">
              <w:rPr>
                <w:rFonts w:ascii="Sylfaen" w:hAnsi="Sylfaen"/>
                <w:sz w:val="20"/>
                <w:szCs w:val="20"/>
              </w:rPr>
              <w:lastRenderedPageBreak/>
              <w:t>սառնարանային սարք</w:t>
            </w:r>
          </w:p>
        </w:tc>
        <w:tc>
          <w:tcPr>
            <w:tcW w:w="1508" w:type="dxa"/>
            <w:tcBorders>
              <w:top w:val="single" w:sz="4" w:space="0" w:color="auto"/>
              <w:left w:val="single" w:sz="4" w:space="0" w:color="auto"/>
            </w:tcBorders>
            <w:shd w:val="clear" w:color="auto" w:fill="FFFFFF"/>
            <w:vAlign w:val="center"/>
          </w:tcPr>
          <w:p w14:paraId="57781E7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lastRenderedPageBreak/>
              <w:t>-</w:t>
            </w:r>
          </w:p>
        </w:tc>
        <w:tc>
          <w:tcPr>
            <w:tcW w:w="925" w:type="dxa"/>
            <w:tcBorders>
              <w:top w:val="single" w:sz="4" w:space="0" w:color="auto"/>
              <w:left w:val="single" w:sz="4" w:space="0" w:color="auto"/>
            </w:tcBorders>
            <w:shd w:val="clear" w:color="auto" w:fill="FFFFFF"/>
            <w:vAlign w:val="center"/>
          </w:tcPr>
          <w:p w14:paraId="3635B84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45EBA86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7CA94A9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05A0744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7798A7F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3670C47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1F2CD388"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15BBCFE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r w:rsidRPr="00CA27E3">
              <w:rPr>
                <w:rStyle w:val="FootnoteReference"/>
                <w:rFonts w:ascii="Sylfaen" w:hAnsi="Sylfaen"/>
                <w:sz w:val="20"/>
                <w:szCs w:val="20"/>
              </w:rPr>
              <w:footnoteReference w:id="11"/>
            </w:r>
          </w:p>
        </w:tc>
        <w:tc>
          <w:tcPr>
            <w:tcW w:w="851" w:type="dxa"/>
            <w:tcBorders>
              <w:top w:val="single" w:sz="4" w:space="0" w:color="auto"/>
              <w:left w:val="single" w:sz="4" w:space="0" w:color="auto"/>
            </w:tcBorders>
            <w:shd w:val="clear" w:color="auto" w:fill="FFFFFF"/>
            <w:vAlign w:val="center"/>
          </w:tcPr>
          <w:p w14:paraId="61231C3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right w:val="single" w:sz="4" w:space="0" w:color="auto"/>
            </w:tcBorders>
            <w:shd w:val="clear" w:color="auto" w:fill="FFFFFF"/>
            <w:vAlign w:val="center"/>
          </w:tcPr>
          <w:p w14:paraId="1AFF5C2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8</w:t>
            </w:r>
          </w:p>
          <w:p w14:paraId="517E1D2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lastRenderedPageBreak/>
              <w:t>0,539; 315</w:t>
            </w:r>
          </w:p>
        </w:tc>
      </w:tr>
      <w:tr w:rsidR="00CA27E3" w:rsidRPr="00CA27E3" w14:paraId="12E3325C" w14:textId="77777777" w:rsidTr="000E6C97">
        <w:trPr>
          <w:jc w:val="center"/>
        </w:trPr>
        <w:tc>
          <w:tcPr>
            <w:tcW w:w="2990" w:type="dxa"/>
            <w:tcBorders>
              <w:top w:val="single" w:sz="4" w:space="0" w:color="auto"/>
              <w:left w:val="single" w:sz="4" w:space="0" w:color="auto"/>
            </w:tcBorders>
            <w:shd w:val="clear" w:color="auto" w:fill="FFFFFF"/>
            <w:vAlign w:val="center"/>
          </w:tcPr>
          <w:p w14:paraId="7266A54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lastRenderedPageBreak/>
              <w:t>«Արկղ» տիպի սառնարանային սարք</w:t>
            </w:r>
          </w:p>
        </w:tc>
        <w:tc>
          <w:tcPr>
            <w:tcW w:w="1508" w:type="dxa"/>
            <w:tcBorders>
              <w:top w:val="single" w:sz="4" w:space="0" w:color="auto"/>
              <w:left w:val="single" w:sz="4" w:space="0" w:color="auto"/>
            </w:tcBorders>
            <w:shd w:val="clear" w:color="auto" w:fill="FFFFFF"/>
            <w:vAlign w:val="center"/>
          </w:tcPr>
          <w:p w14:paraId="66DE6AA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tcBorders>
            <w:shd w:val="clear" w:color="auto" w:fill="FFFFFF"/>
            <w:vAlign w:val="center"/>
          </w:tcPr>
          <w:p w14:paraId="7DAD8F5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tcBorders>
            <w:shd w:val="clear" w:color="auto" w:fill="FFFFFF"/>
            <w:vAlign w:val="center"/>
          </w:tcPr>
          <w:p w14:paraId="0661935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tcBorders>
            <w:shd w:val="clear" w:color="auto" w:fill="FFFFFF"/>
            <w:vAlign w:val="center"/>
          </w:tcPr>
          <w:p w14:paraId="685E3F0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tcBorders>
            <w:shd w:val="clear" w:color="auto" w:fill="FFFFFF"/>
            <w:vAlign w:val="center"/>
          </w:tcPr>
          <w:p w14:paraId="02A5DCB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tcBorders>
            <w:shd w:val="clear" w:color="auto" w:fill="FFFFFF"/>
            <w:vAlign w:val="center"/>
          </w:tcPr>
          <w:p w14:paraId="30124B0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tcBorders>
            <w:shd w:val="clear" w:color="auto" w:fill="FFFFFF"/>
            <w:vAlign w:val="center"/>
          </w:tcPr>
          <w:p w14:paraId="48D4210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tcBorders>
            <w:shd w:val="clear" w:color="auto" w:fill="FFFFFF"/>
            <w:vAlign w:val="center"/>
          </w:tcPr>
          <w:p w14:paraId="0D032AB0"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tcBorders>
            <w:shd w:val="clear" w:color="auto" w:fill="FFFFFF"/>
            <w:vAlign w:val="center"/>
          </w:tcPr>
          <w:p w14:paraId="4D89571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tcBorders>
            <w:shd w:val="clear" w:color="auto" w:fill="FFFFFF"/>
            <w:vAlign w:val="center"/>
          </w:tcPr>
          <w:p w14:paraId="28DDD25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right w:val="single" w:sz="4" w:space="0" w:color="auto"/>
            </w:tcBorders>
            <w:shd w:val="clear" w:color="auto" w:fill="FFFFFF"/>
            <w:vAlign w:val="center"/>
          </w:tcPr>
          <w:p w14:paraId="60DAF8B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9</w:t>
            </w:r>
          </w:p>
          <w:p w14:paraId="4B839B2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0,472; 286</w:t>
            </w:r>
          </w:p>
        </w:tc>
      </w:tr>
      <w:tr w:rsidR="00CA27E3" w:rsidRPr="00CA27E3" w14:paraId="04D18207" w14:textId="77777777" w:rsidTr="000E6C97">
        <w:trPr>
          <w:jc w:val="center"/>
        </w:trPr>
        <w:tc>
          <w:tcPr>
            <w:tcW w:w="2990" w:type="dxa"/>
            <w:tcBorders>
              <w:top w:val="single" w:sz="4" w:space="0" w:color="auto"/>
              <w:left w:val="single" w:sz="4" w:space="0" w:color="auto"/>
              <w:bottom w:val="single" w:sz="4" w:space="0" w:color="auto"/>
            </w:tcBorders>
            <w:shd w:val="clear" w:color="auto" w:fill="FFFFFF"/>
            <w:vAlign w:val="center"/>
          </w:tcPr>
          <w:p w14:paraId="310FA01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Ունիվերսալ եւ այլ կիրառման սառնարանային սարքեր</w:t>
            </w:r>
          </w:p>
        </w:tc>
        <w:tc>
          <w:tcPr>
            <w:tcW w:w="1508" w:type="dxa"/>
            <w:tcBorders>
              <w:top w:val="single" w:sz="4" w:space="0" w:color="auto"/>
              <w:left w:val="single" w:sz="4" w:space="0" w:color="auto"/>
              <w:bottom w:val="single" w:sz="4" w:space="0" w:color="auto"/>
            </w:tcBorders>
            <w:shd w:val="clear" w:color="auto" w:fill="FFFFFF"/>
            <w:vAlign w:val="center"/>
          </w:tcPr>
          <w:p w14:paraId="3F7D02FF"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25" w:type="dxa"/>
            <w:tcBorders>
              <w:top w:val="single" w:sz="4" w:space="0" w:color="auto"/>
              <w:left w:val="single" w:sz="4" w:space="0" w:color="auto"/>
              <w:bottom w:val="single" w:sz="4" w:space="0" w:color="auto"/>
            </w:tcBorders>
            <w:shd w:val="clear" w:color="auto" w:fill="FFFFFF"/>
            <w:vAlign w:val="center"/>
          </w:tcPr>
          <w:p w14:paraId="39E8C169"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918" w:type="dxa"/>
            <w:tcBorders>
              <w:top w:val="single" w:sz="4" w:space="0" w:color="auto"/>
              <w:left w:val="single" w:sz="4" w:space="0" w:color="auto"/>
              <w:bottom w:val="single" w:sz="4" w:space="0" w:color="auto"/>
            </w:tcBorders>
            <w:shd w:val="clear" w:color="auto" w:fill="FFFFFF"/>
            <w:vAlign w:val="center"/>
          </w:tcPr>
          <w:p w14:paraId="3150ABA4"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2057" w:type="dxa"/>
            <w:tcBorders>
              <w:top w:val="single" w:sz="4" w:space="0" w:color="auto"/>
              <w:left w:val="single" w:sz="4" w:space="0" w:color="auto"/>
              <w:bottom w:val="single" w:sz="4" w:space="0" w:color="auto"/>
            </w:tcBorders>
            <w:shd w:val="clear" w:color="auto" w:fill="FFFFFF"/>
            <w:vAlign w:val="center"/>
          </w:tcPr>
          <w:p w14:paraId="7ED58BE4"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276" w:type="dxa"/>
            <w:tcBorders>
              <w:top w:val="single" w:sz="4" w:space="0" w:color="auto"/>
              <w:left w:val="single" w:sz="4" w:space="0" w:color="auto"/>
              <w:bottom w:val="single" w:sz="4" w:space="0" w:color="auto"/>
            </w:tcBorders>
            <w:shd w:val="clear" w:color="auto" w:fill="FFFFFF"/>
            <w:vAlign w:val="center"/>
          </w:tcPr>
          <w:p w14:paraId="61649772"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134" w:type="dxa"/>
            <w:tcBorders>
              <w:top w:val="single" w:sz="4" w:space="0" w:color="auto"/>
              <w:left w:val="single" w:sz="4" w:space="0" w:color="auto"/>
              <w:bottom w:val="single" w:sz="4" w:space="0" w:color="auto"/>
            </w:tcBorders>
            <w:shd w:val="clear" w:color="auto" w:fill="FFFFFF"/>
            <w:vAlign w:val="center"/>
          </w:tcPr>
          <w:p w14:paraId="6B12E6B9"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636" w:type="dxa"/>
            <w:tcBorders>
              <w:top w:val="single" w:sz="4" w:space="0" w:color="auto"/>
              <w:left w:val="single" w:sz="4" w:space="0" w:color="auto"/>
              <w:bottom w:val="single" w:sz="4" w:space="0" w:color="auto"/>
            </w:tcBorders>
            <w:shd w:val="clear" w:color="auto" w:fill="FFFFFF"/>
            <w:vAlign w:val="center"/>
          </w:tcPr>
          <w:p w14:paraId="4F2A4024"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8" w:type="dxa"/>
            <w:tcBorders>
              <w:top w:val="single" w:sz="4" w:space="0" w:color="auto"/>
              <w:left w:val="single" w:sz="4" w:space="0" w:color="auto"/>
              <w:bottom w:val="single" w:sz="4" w:space="0" w:color="auto"/>
            </w:tcBorders>
            <w:shd w:val="clear" w:color="auto" w:fill="FFFFFF"/>
            <w:vAlign w:val="center"/>
          </w:tcPr>
          <w:p w14:paraId="22EB8583"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709" w:type="dxa"/>
            <w:tcBorders>
              <w:top w:val="single" w:sz="4" w:space="0" w:color="auto"/>
              <w:left w:val="single" w:sz="4" w:space="0" w:color="auto"/>
              <w:bottom w:val="single" w:sz="4" w:space="0" w:color="auto"/>
            </w:tcBorders>
            <w:shd w:val="clear" w:color="auto" w:fill="FFFFFF"/>
            <w:vAlign w:val="center"/>
          </w:tcPr>
          <w:p w14:paraId="406DC3AA"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851" w:type="dxa"/>
            <w:tcBorders>
              <w:top w:val="single" w:sz="4" w:space="0" w:color="auto"/>
              <w:left w:val="single" w:sz="4" w:space="0" w:color="auto"/>
              <w:bottom w:val="single" w:sz="4" w:space="0" w:color="auto"/>
            </w:tcBorders>
            <w:shd w:val="clear" w:color="auto" w:fill="FFFFFF"/>
            <w:vAlign w:val="center"/>
          </w:tcPr>
          <w:p w14:paraId="4DF818C3" w14:textId="77777777" w:rsidR="00FD48C7" w:rsidRPr="00CA27E3" w:rsidRDefault="00C70245" w:rsidP="00CA27E3">
            <w:pPr>
              <w:pStyle w:val="Other0"/>
              <w:shd w:val="clear" w:color="auto" w:fill="auto"/>
              <w:spacing w:after="120"/>
              <w:rPr>
                <w:rFonts w:ascii="Sylfaen" w:hAnsi="Sylfaen" w:cs="Sylfaen"/>
                <w:sz w:val="20"/>
                <w:szCs w:val="20"/>
              </w:rPr>
            </w:pPr>
            <w:r w:rsidRPr="00CA27E3">
              <w:rPr>
                <w:rFonts w:ascii="Sylfaen" w:hAnsi="Sylfaen"/>
                <w:sz w:val="20"/>
                <w:szCs w:val="20"/>
              </w:rPr>
              <w:t>±</w:t>
            </w:r>
          </w:p>
        </w:tc>
        <w:tc>
          <w:tcPr>
            <w:tcW w:w="1915" w:type="dxa"/>
            <w:tcBorders>
              <w:top w:val="single" w:sz="4" w:space="0" w:color="auto"/>
              <w:left w:val="single" w:sz="4" w:space="0" w:color="auto"/>
              <w:bottom w:val="single" w:sz="4" w:space="0" w:color="auto"/>
              <w:right w:val="single" w:sz="4" w:space="0" w:color="auto"/>
            </w:tcBorders>
            <w:shd w:val="clear" w:color="auto" w:fill="FFFFFF"/>
            <w:vAlign w:val="center"/>
          </w:tcPr>
          <w:p w14:paraId="41DAE00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տիպ 10</w:t>
            </w:r>
            <w:r w:rsidRPr="00CA27E3">
              <w:rPr>
                <w:rStyle w:val="FootnoteReference"/>
                <w:rFonts w:ascii="Sylfaen" w:hAnsi="Sylfaen"/>
                <w:sz w:val="20"/>
                <w:szCs w:val="20"/>
              </w:rPr>
              <w:footnoteReference w:id="12"/>
            </w:r>
          </w:p>
        </w:tc>
      </w:tr>
    </w:tbl>
    <w:p w14:paraId="74760854" w14:textId="77777777" w:rsidR="00FD48C7" w:rsidRPr="00CA27E3" w:rsidRDefault="00FD48C7" w:rsidP="00CA27E3">
      <w:pPr>
        <w:pStyle w:val="Bodytext40"/>
        <w:shd w:val="clear" w:color="auto" w:fill="auto"/>
        <w:spacing w:after="160" w:line="360" w:lineRule="auto"/>
        <w:jc w:val="left"/>
        <w:rPr>
          <w:rFonts w:ascii="Sylfaen" w:hAnsi="Sylfaen" w:cs="Sylfaen"/>
        </w:rPr>
      </w:pPr>
    </w:p>
    <w:p w14:paraId="6F2A6AC9" w14:textId="77777777" w:rsidR="00FD48C7" w:rsidRPr="00CA27E3" w:rsidRDefault="00FD48C7" w:rsidP="00CA27E3">
      <w:pPr>
        <w:spacing w:after="160" w:line="360" w:lineRule="auto"/>
        <w:rPr>
          <w:rFonts w:ascii="Sylfaen" w:hAnsi="Sylfaen" w:cs="Sylfaen"/>
        </w:rPr>
        <w:sectPr w:rsidR="00FD48C7" w:rsidRPr="00CA27E3" w:rsidSect="0027701C">
          <w:pgSz w:w="16840" w:h="11907" w:code="9"/>
          <w:pgMar w:top="1418" w:right="1418" w:bottom="1418" w:left="1418" w:header="0" w:footer="719" w:gutter="0"/>
          <w:cols w:space="720"/>
          <w:noEndnote/>
          <w:docGrid w:linePitch="360"/>
        </w:sectPr>
      </w:pPr>
    </w:p>
    <w:p w14:paraId="494F8CFE" w14:textId="77777777" w:rsidR="00FD48C7" w:rsidRPr="00CA27E3" w:rsidRDefault="00BB04FF" w:rsidP="0078386D">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V</w:t>
      </w:r>
      <w:r w:rsidRPr="00CA27E3">
        <w:rPr>
          <w:rFonts w:ascii="Sylfaen" w:hAnsi="Sylfaen"/>
          <w:sz w:val="24"/>
          <w:szCs w:val="24"/>
          <w:vertAlign w:val="subscript"/>
        </w:rPr>
        <w:t>eq</w:t>
      </w:r>
      <w:r w:rsidRPr="00CA27E3">
        <w:rPr>
          <w:rFonts w:ascii="Sylfaen" w:hAnsi="Sylfaen"/>
          <w:sz w:val="24"/>
          <w:szCs w:val="24"/>
        </w:rPr>
        <w:t>-ը հաշվարկվում է հետ</w:t>
      </w:r>
      <w:r w:rsidR="00CA27E3">
        <w:rPr>
          <w:rFonts w:ascii="Sylfaen" w:hAnsi="Sylfaen"/>
          <w:sz w:val="24"/>
          <w:szCs w:val="24"/>
        </w:rPr>
        <w:t>եւ</w:t>
      </w:r>
      <w:r w:rsidRPr="00CA27E3">
        <w:rPr>
          <w:rFonts w:ascii="Sylfaen" w:hAnsi="Sylfaen"/>
          <w:sz w:val="24"/>
          <w:szCs w:val="24"/>
        </w:rPr>
        <w:t>յալ բանաձ</w:t>
      </w:r>
      <w:r w:rsidR="00CA27E3">
        <w:rPr>
          <w:rFonts w:ascii="Sylfaen" w:hAnsi="Sylfaen"/>
          <w:sz w:val="24"/>
          <w:szCs w:val="24"/>
        </w:rPr>
        <w:t>եւ</w:t>
      </w:r>
      <w:r w:rsidRPr="00CA27E3">
        <w:rPr>
          <w:rFonts w:ascii="Sylfaen" w:hAnsi="Sylfaen"/>
          <w:sz w:val="24"/>
          <w:szCs w:val="24"/>
        </w:rPr>
        <w:t>ով.</w:t>
      </w:r>
    </w:p>
    <w:p w14:paraId="0BE0BC60" w14:textId="77777777" w:rsidR="00181016" w:rsidRPr="00CA27E3" w:rsidRDefault="00000000" w:rsidP="0078386D">
      <w:pPr>
        <w:pStyle w:val="BodyText1"/>
        <w:shd w:val="clear" w:color="auto" w:fill="auto"/>
        <w:spacing w:after="160"/>
        <w:ind w:firstLine="0"/>
        <w:jc w:val="both"/>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V</m:t>
              </m:r>
            </m:e>
            <m:sub>
              <m:r>
                <w:rPr>
                  <w:rFonts w:ascii="Cambria Math" w:hAnsi="Cambria Math" w:cs="Sylfaen"/>
                  <w:sz w:val="24"/>
                  <w:szCs w:val="24"/>
                </w:rPr>
                <m:t>eq</m:t>
              </m:r>
            </m:sub>
          </m:sSub>
          <m:r>
            <w:rPr>
              <w:rFonts w:ascii="Cambria Math" w:hAnsi="Sylfaen" w:cs="Sylfaen"/>
              <w:sz w:val="24"/>
              <w:szCs w:val="24"/>
            </w:rPr>
            <m:t>=</m:t>
          </m:r>
          <m:d>
            <m:dPr>
              <m:begChr m:val="["/>
              <m:endChr m:val="]"/>
              <m:ctrlPr>
                <w:rPr>
                  <w:rFonts w:ascii="Cambria Math" w:hAnsi="Sylfaen" w:cs="Sylfaen"/>
                  <w:i/>
                  <w:sz w:val="24"/>
                  <w:szCs w:val="24"/>
                </w:rPr>
              </m:ctrlPr>
            </m:dPr>
            <m:e>
              <m:nary>
                <m:naryPr>
                  <m:chr m:val="∑"/>
                  <m:limLoc m:val="undOvr"/>
                  <m:ctrlPr>
                    <w:rPr>
                      <w:rFonts w:ascii="Cambria Math" w:hAnsi="Sylfaen" w:cs="Sylfaen"/>
                      <w:i/>
                      <w:sz w:val="24"/>
                      <w:szCs w:val="24"/>
                    </w:rPr>
                  </m:ctrlPr>
                </m:naryPr>
                <m:sub>
                  <m:r>
                    <w:rPr>
                      <w:rFonts w:ascii="Cambria Math" w:hAnsi="Cambria Math" w:cs="Sylfaen"/>
                      <w:sz w:val="24"/>
                      <w:szCs w:val="24"/>
                    </w:rPr>
                    <m:t>c</m:t>
                  </m:r>
                  <m:r>
                    <w:rPr>
                      <w:rFonts w:ascii="Cambria Math" w:hAnsi="Sylfaen" w:cs="Sylfaen"/>
                      <w:sz w:val="24"/>
                      <w:szCs w:val="24"/>
                    </w:rPr>
                    <m:t>=1</m:t>
                  </m:r>
                </m:sub>
                <m:sup>
                  <m:r>
                    <w:rPr>
                      <w:rFonts w:ascii="Cambria Math" w:hAnsi="Cambria Math" w:cs="Sylfaen"/>
                      <w:sz w:val="24"/>
                      <w:szCs w:val="24"/>
                    </w:rPr>
                    <m:t>c</m:t>
                  </m:r>
                  <m:r>
                    <w:rPr>
                      <w:rFonts w:ascii="Cambria Math" w:hAnsi="Sylfaen" w:cs="Sylfaen"/>
                      <w:sz w:val="24"/>
                      <w:szCs w:val="24"/>
                    </w:rPr>
                    <m:t>=</m:t>
                  </m:r>
                  <m:r>
                    <w:rPr>
                      <w:rFonts w:ascii="Cambria Math" w:hAnsi="Cambria Math" w:cs="Sylfaen"/>
                      <w:sz w:val="24"/>
                      <w:szCs w:val="24"/>
                    </w:rPr>
                    <m:t>n</m:t>
                  </m:r>
                </m:sup>
                <m:e>
                  <m:sSub>
                    <m:sSubPr>
                      <m:ctrlPr>
                        <w:rPr>
                          <w:rFonts w:ascii="Cambria Math" w:hAnsi="Sylfaen" w:cs="Sylfaen"/>
                          <w:i/>
                          <w:sz w:val="24"/>
                          <w:szCs w:val="24"/>
                        </w:rPr>
                      </m:ctrlPr>
                    </m:sSubPr>
                    <m:e>
                      <m:r>
                        <w:rPr>
                          <w:rFonts w:ascii="Cambria Math" w:hAnsi="Cambria Math" w:cs="Sylfaen"/>
                          <w:sz w:val="24"/>
                          <w:szCs w:val="24"/>
                        </w:rPr>
                        <m:t>V</m:t>
                      </m:r>
                    </m:e>
                    <m:sub>
                      <m:r>
                        <w:rPr>
                          <w:rFonts w:ascii="Cambria Math" w:hAnsi="Cambria Math" w:cs="Sylfaen"/>
                          <w:sz w:val="24"/>
                          <w:szCs w:val="24"/>
                        </w:rPr>
                        <m:t>c</m:t>
                      </m:r>
                    </m:sub>
                  </m:sSub>
                </m:e>
              </m:nary>
              <m:r>
                <m:rPr>
                  <m:sty m:val="p"/>
                </m:rPr>
                <w:rPr>
                  <w:rFonts w:ascii="Sylfaen" w:hAnsi="Sylfaen" w:cs="Sylfaen"/>
                  <w:sz w:val="24"/>
                  <w:szCs w:val="24"/>
                </w:rPr>
                <m:t>×</m:t>
              </m:r>
              <m:f>
                <m:fPr>
                  <m:ctrlPr>
                    <w:rPr>
                      <w:rFonts w:ascii="Cambria Math" w:hAnsi="Sylfaen" w:cs="Sylfaen"/>
                      <w:sz w:val="24"/>
                      <w:szCs w:val="24"/>
                    </w:rPr>
                  </m:ctrlPr>
                </m:fPr>
                <m:num>
                  <m:r>
                    <m:rPr>
                      <m:sty m:val="p"/>
                    </m:rPr>
                    <w:rPr>
                      <w:rFonts w:ascii="Cambria Math" w:hAnsi="Sylfaen" w:cs="Sylfaen"/>
                      <w:sz w:val="24"/>
                      <w:szCs w:val="24"/>
                    </w:rPr>
                    <m:t>(25</m:t>
                  </m:r>
                  <m:r>
                    <m:rPr>
                      <m:sty m:val="p"/>
                    </m:rPr>
                    <w:rPr>
                      <w:rFonts w:ascii="Sylfaen" w:hAnsi="Sylfaen" w:cs="Sylfaen"/>
                      <w:sz w:val="24"/>
                      <w:szCs w:val="24"/>
                    </w:rPr>
                    <m:t>-</m:t>
                  </m:r>
                  <m:sSub>
                    <m:sSubPr>
                      <m:ctrlPr>
                        <w:rPr>
                          <w:rFonts w:ascii="Cambria Math" w:hAnsi="Sylfaen" w:cs="Sylfaen"/>
                          <w:sz w:val="24"/>
                          <w:szCs w:val="24"/>
                        </w:rPr>
                      </m:ctrlPr>
                    </m:sSubPr>
                    <m:e>
                      <m:r>
                        <m:rPr>
                          <m:sty m:val="p"/>
                        </m:rPr>
                        <w:rPr>
                          <w:rFonts w:ascii="Cambria Math" w:hAnsi="Sylfaen" w:cs="Sylfaen"/>
                          <w:sz w:val="24"/>
                          <w:szCs w:val="24"/>
                        </w:rPr>
                        <m:t>T</m:t>
                      </m:r>
                    </m:e>
                    <m:sub>
                      <m:r>
                        <m:rPr>
                          <m:sty m:val="p"/>
                        </m:rPr>
                        <w:rPr>
                          <w:rFonts w:ascii="Cambria Math" w:hAnsi="Sylfaen" w:cs="Sylfaen"/>
                          <w:sz w:val="24"/>
                          <w:szCs w:val="24"/>
                        </w:rPr>
                        <m:t>c</m:t>
                      </m:r>
                    </m:sub>
                  </m:sSub>
                  <m:r>
                    <m:rPr>
                      <m:sty m:val="p"/>
                    </m:rPr>
                    <w:rPr>
                      <w:rFonts w:ascii="Cambria Math" w:hAnsi="Sylfaen" w:cs="Sylfaen"/>
                      <w:sz w:val="24"/>
                      <w:szCs w:val="24"/>
                    </w:rPr>
                    <m:t>)</m:t>
                  </m:r>
                </m:num>
                <m:den>
                  <m:r>
                    <m:rPr>
                      <m:sty m:val="p"/>
                    </m:rPr>
                    <w:rPr>
                      <w:rFonts w:ascii="Cambria Math" w:hAnsi="Sylfaen" w:cs="Sylfaen"/>
                      <w:sz w:val="24"/>
                      <w:szCs w:val="24"/>
                    </w:rPr>
                    <m:t>20</m:t>
                  </m:r>
                </m:den>
              </m:f>
              <m:r>
                <m:rPr>
                  <m:sty m:val="p"/>
                </m:rPr>
                <w:rPr>
                  <w:rFonts w:ascii="Sylfaen" w:hAnsi="Sylfaen" w:cs="Sylfaen"/>
                  <w:sz w:val="24"/>
                  <w:szCs w:val="24"/>
                </w:rPr>
                <m:t>×</m:t>
              </m:r>
              <m:r>
                <m:rPr>
                  <m:sty m:val="p"/>
                </m:rPr>
                <w:rPr>
                  <w:rFonts w:ascii="Cambria Math" w:hAnsi="Sylfaen" w:cs="Sylfaen"/>
                  <w:sz w:val="24"/>
                  <w:szCs w:val="24"/>
                </w:rPr>
                <m:t>FFc</m:t>
              </m:r>
            </m:e>
          </m:d>
          <m:r>
            <m:rPr>
              <m:sty m:val="p"/>
            </m:rPr>
            <w:rPr>
              <w:rFonts w:ascii="Sylfaen" w:hAnsi="Sylfaen" w:cs="Sylfaen"/>
              <w:sz w:val="24"/>
              <w:szCs w:val="24"/>
            </w:rPr>
            <m:t>×</m:t>
          </m:r>
          <m:r>
            <m:rPr>
              <m:sty m:val="p"/>
            </m:rPr>
            <w:rPr>
              <w:rFonts w:ascii="Cambria Math" w:hAnsi="Sylfaen" w:cs="Sylfaen"/>
              <w:sz w:val="24"/>
              <w:szCs w:val="24"/>
            </w:rPr>
            <m:t>CC</m:t>
          </m:r>
          <m:r>
            <m:rPr>
              <m:sty m:val="p"/>
            </m:rPr>
            <w:rPr>
              <w:rFonts w:ascii="Sylfaen" w:hAnsi="Sylfaen" w:cs="Sylfaen"/>
              <w:sz w:val="24"/>
              <w:szCs w:val="24"/>
            </w:rPr>
            <m:t>×</m:t>
          </m:r>
          <m:r>
            <m:rPr>
              <m:sty m:val="p"/>
            </m:rPr>
            <w:rPr>
              <w:rFonts w:ascii="Cambria Math" w:hAnsi="Sylfaen" w:cs="Sylfaen"/>
              <w:sz w:val="24"/>
              <w:szCs w:val="24"/>
            </w:rPr>
            <m:t>BI,</m:t>
          </m:r>
        </m:oMath>
      </m:oMathPara>
    </w:p>
    <w:p w14:paraId="47A7690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7C74BCD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n՝ բաժանմունքների քանակն է.</w:t>
      </w:r>
    </w:p>
    <w:p w14:paraId="257E07CF"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V</w:t>
      </w:r>
      <w:r w:rsidRPr="00CA27E3">
        <w:rPr>
          <w:rFonts w:ascii="Sylfaen" w:hAnsi="Sylfaen"/>
          <w:smallCaps/>
          <w:sz w:val="24"/>
          <w:szCs w:val="24"/>
          <w:vertAlign w:val="subscript"/>
        </w:rPr>
        <w:t>c</w:t>
      </w:r>
      <w:r w:rsidRPr="00CA27E3">
        <w:rPr>
          <w:rFonts w:ascii="Sylfaen" w:hAnsi="Sylfaen"/>
          <w:sz w:val="24"/>
          <w:szCs w:val="24"/>
        </w:rPr>
        <w:t>՝ բաժանմունքի (խցիկի) ներքին օգտակար ծավալը (լիտրերով)</w:t>
      </w:r>
    </w:p>
    <w:p w14:paraId="6EFE598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mallCaps/>
          <w:sz w:val="24"/>
          <w:szCs w:val="24"/>
        </w:rPr>
        <w:t>T</w:t>
      </w:r>
      <w:r w:rsidRPr="00CA27E3">
        <w:rPr>
          <w:rFonts w:ascii="Sylfaen" w:hAnsi="Sylfaen"/>
          <w:smallCaps/>
          <w:sz w:val="24"/>
          <w:szCs w:val="24"/>
          <w:vertAlign w:val="subscript"/>
        </w:rPr>
        <w:t>c</w:t>
      </w:r>
      <w:r w:rsidRPr="00CA27E3">
        <w:rPr>
          <w:rFonts w:ascii="Sylfaen" w:hAnsi="Sylfaen"/>
          <w:sz w:val="24"/>
          <w:szCs w:val="24"/>
        </w:rPr>
        <w:t>՝ բաժանմունքի (խցիկի) անվանական ջերմաստիճանը (°C-ով).</w:t>
      </w:r>
    </w:p>
    <w:p w14:paraId="2EBE6FC2" w14:textId="77777777" w:rsidR="00FD48C7" w:rsidRPr="00CA27E3" w:rsidRDefault="00000000" w:rsidP="00CA27E3">
      <w:pPr>
        <w:pStyle w:val="BodyText1"/>
        <w:shd w:val="clear" w:color="auto" w:fill="auto"/>
        <w:spacing w:after="160"/>
        <w:ind w:firstLine="567"/>
        <w:jc w:val="both"/>
        <w:rPr>
          <w:rFonts w:ascii="Sylfaen" w:hAnsi="Sylfaen" w:cs="Sylfaen"/>
          <w:sz w:val="24"/>
          <w:szCs w:val="24"/>
        </w:rPr>
      </w:pPr>
      <m:oMath>
        <m:f>
          <m:fPr>
            <m:ctrlPr>
              <w:rPr>
                <w:rFonts w:ascii="Cambria Math" w:hAnsi="Sylfaen" w:cs="Sylfaen"/>
                <w:sz w:val="24"/>
                <w:szCs w:val="24"/>
              </w:rPr>
            </m:ctrlPr>
          </m:fPr>
          <m:num>
            <m:r>
              <m:rPr>
                <m:sty m:val="p"/>
              </m:rPr>
              <w:rPr>
                <w:rFonts w:ascii="Cambria Math" w:hAnsi="Sylfaen" w:cs="Sylfaen"/>
                <w:sz w:val="24"/>
                <w:szCs w:val="24"/>
              </w:rPr>
              <m:t>(25</m:t>
            </m:r>
            <m:r>
              <m:rPr>
                <m:sty m:val="p"/>
              </m:rPr>
              <w:rPr>
                <w:rFonts w:ascii="Sylfaen" w:hAnsi="Sylfaen" w:cs="Sylfaen"/>
                <w:sz w:val="24"/>
                <w:szCs w:val="24"/>
              </w:rPr>
              <m:t>-</m:t>
            </m:r>
            <m:sSub>
              <m:sSubPr>
                <m:ctrlPr>
                  <w:rPr>
                    <w:rFonts w:ascii="Cambria Math" w:hAnsi="Sylfaen" w:cs="Sylfaen"/>
                    <w:sz w:val="24"/>
                    <w:szCs w:val="24"/>
                  </w:rPr>
                </m:ctrlPr>
              </m:sSubPr>
              <m:e>
                <m:r>
                  <m:rPr>
                    <m:sty m:val="p"/>
                  </m:rPr>
                  <w:rPr>
                    <w:rFonts w:ascii="Cambria Math" w:hAnsi="Sylfaen" w:cs="Sylfaen"/>
                    <w:sz w:val="24"/>
                    <w:szCs w:val="24"/>
                  </w:rPr>
                  <m:t>T</m:t>
                </m:r>
              </m:e>
              <m:sub>
                <m:r>
                  <m:rPr>
                    <m:sty m:val="p"/>
                  </m:rPr>
                  <w:rPr>
                    <w:rFonts w:ascii="Cambria Math" w:hAnsi="Sylfaen" w:cs="Sylfaen"/>
                    <w:sz w:val="24"/>
                    <w:szCs w:val="24"/>
                  </w:rPr>
                  <m:t>c</m:t>
                </m:r>
              </m:sub>
            </m:sSub>
            <m:r>
              <m:rPr>
                <m:sty m:val="p"/>
              </m:rPr>
              <w:rPr>
                <w:rFonts w:ascii="Cambria Math" w:hAnsi="Sylfaen" w:cs="Sylfaen"/>
                <w:sz w:val="24"/>
                <w:szCs w:val="24"/>
              </w:rPr>
              <m:t>)</m:t>
            </m:r>
          </m:num>
          <m:den>
            <m:r>
              <m:rPr>
                <m:sty m:val="p"/>
              </m:rPr>
              <w:rPr>
                <w:rFonts w:ascii="Cambria Math" w:hAnsi="Sylfaen" w:cs="Sylfaen"/>
                <w:sz w:val="24"/>
                <w:szCs w:val="24"/>
              </w:rPr>
              <m:t>20</m:t>
            </m:r>
          </m:den>
        </m:f>
      </m:oMath>
      <w:r w:rsidR="00C70245" w:rsidRPr="00CA27E3">
        <w:rPr>
          <w:rFonts w:ascii="Sylfaen" w:hAnsi="Sylfaen"/>
          <w:sz w:val="24"/>
          <w:szCs w:val="24"/>
        </w:rPr>
        <w:t xml:space="preserve">՝ </w:t>
      </w:r>
      <w:r w:rsidR="00181016" w:rsidRPr="00CA27E3">
        <w:rPr>
          <w:rFonts w:ascii="Sylfaen" w:hAnsi="Sylfaen"/>
          <w:sz w:val="24"/>
          <w:szCs w:val="24"/>
        </w:rPr>
        <w:t>բաժանմունքի (խցիկի) համար թերմոդինամիկական ճշգրտման գործակից, որը հավասար է փորձարկման ստանդարտ պայմաններում (25 °C) խցիկի անվանական Т</w:t>
      </w:r>
      <w:r w:rsidR="00181016" w:rsidRPr="00CA27E3">
        <w:rPr>
          <w:rFonts w:ascii="Sylfaen" w:hAnsi="Sylfaen"/>
          <w:sz w:val="24"/>
          <w:szCs w:val="24"/>
          <w:vertAlign w:val="subscript"/>
        </w:rPr>
        <w:t>с</w:t>
      </w:r>
      <w:r w:rsidR="00181016" w:rsidRPr="00CA27E3">
        <w:rPr>
          <w:rFonts w:ascii="Sylfaen" w:hAnsi="Sylfaen"/>
          <w:sz w:val="24"/>
          <w:szCs w:val="24"/>
        </w:rPr>
        <w:t xml:space="preserve"> ջերմաստիճանի ու շրջակա միջավայրի ջերմաստիճանի միջեւ տարբերության, եւ 5 °C ջերմաստիճանի պայմաններում՝ թարմ սննդամթերքի պահման համար նախատեսված բաժանմունքում այդ ջերմաստիճանների տարբերության հարաբերությանը.</w:t>
      </w:r>
    </w:p>
    <w:p w14:paraId="5AD230E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FFc, CC եւ BI՝ ճշգրտման գործակիցներ, որոնց արժեքները բերված են 2-րդ աղյուսակում։</w:t>
      </w:r>
    </w:p>
    <w:p w14:paraId="4CABF0EE" w14:textId="77777777" w:rsidR="00D70EFB" w:rsidRPr="00CA27E3" w:rsidRDefault="00D70EFB" w:rsidP="00CA27E3">
      <w:pPr>
        <w:pStyle w:val="Tablecaption0"/>
        <w:shd w:val="clear" w:color="auto" w:fill="auto"/>
        <w:spacing w:after="160" w:line="360" w:lineRule="auto"/>
        <w:rPr>
          <w:rFonts w:ascii="Sylfaen" w:hAnsi="Sylfaen" w:cs="Sylfaen"/>
          <w:sz w:val="24"/>
          <w:szCs w:val="24"/>
        </w:rPr>
      </w:pPr>
    </w:p>
    <w:p w14:paraId="7B46A576" w14:textId="77777777" w:rsidR="00FD48C7" w:rsidRPr="00CA27E3" w:rsidRDefault="00BB04FF" w:rsidP="00CA27E3">
      <w:pPr>
        <w:pStyle w:val="Tablecaption0"/>
        <w:shd w:val="clear" w:color="auto" w:fill="auto"/>
        <w:spacing w:after="160" w:line="360" w:lineRule="auto"/>
        <w:rPr>
          <w:rFonts w:ascii="Sylfaen" w:hAnsi="Sylfaen" w:cs="Sylfaen"/>
          <w:sz w:val="24"/>
          <w:szCs w:val="24"/>
        </w:rPr>
      </w:pPr>
      <w:r w:rsidRPr="00CA27E3">
        <w:rPr>
          <w:rFonts w:ascii="Sylfaen" w:hAnsi="Sylfaen"/>
          <w:sz w:val="24"/>
          <w:szCs w:val="24"/>
        </w:rPr>
        <w:t>Աղյուսակ 2</w:t>
      </w:r>
    </w:p>
    <w:p w14:paraId="60469940" w14:textId="77777777" w:rsidR="00FD48C7" w:rsidRPr="00CA27E3" w:rsidRDefault="00BB04FF" w:rsidP="00CA27E3">
      <w:pPr>
        <w:pStyle w:val="Tablecaption0"/>
        <w:shd w:val="clear" w:color="auto" w:fill="auto"/>
        <w:spacing w:after="160" w:line="360" w:lineRule="auto"/>
        <w:jc w:val="center"/>
        <w:rPr>
          <w:rFonts w:ascii="Sylfaen" w:hAnsi="Sylfaen" w:cs="Sylfaen"/>
          <w:sz w:val="24"/>
          <w:szCs w:val="24"/>
        </w:rPr>
      </w:pPr>
      <w:r w:rsidRPr="00CA27E3">
        <w:rPr>
          <w:rFonts w:ascii="Sylfaen" w:hAnsi="Sylfaen"/>
          <w:sz w:val="24"/>
          <w:szCs w:val="24"/>
        </w:rPr>
        <w:t>Ճշգրտման գործակիցների արժեքները՝ տարբեր սառնարանային սարքերի եւ սառնարանային սարքերի տարբեր բաժանմունքների համար</w:t>
      </w:r>
    </w:p>
    <w:tbl>
      <w:tblPr>
        <w:tblOverlap w:val="never"/>
        <w:tblW w:w="9427" w:type="dxa"/>
        <w:tblLayout w:type="fixed"/>
        <w:tblCellMar>
          <w:left w:w="10" w:type="dxa"/>
          <w:right w:w="10" w:type="dxa"/>
        </w:tblCellMar>
        <w:tblLook w:val="0000" w:firstRow="0" w:lastRow="0" w:firstColumn="0" w:lastColumn="0" w:noHBand="0" w:noVBand="0"/>
      </w:tblPr>
      <w:tblGrid>
        <w:gridCol w:w="2304"/>
        <w:gridCol w:w="1118"/>
        <w:gridCol w:w="6005"/>
      </w:tblGrid>
      <w:tr w:rsidR="00CA27E3" w:rsidRPr="00CA27E3" w14:paraId="0477ACD2" w14:textId="77777777" w:rsidTr="00CA27E3">
        <w:trPr>
          <w:tblHeader/>
        </w:trPr>
        <w:tc>
          <w:tcPr>
            <w:tcW w:w="2304" w:type="dxa"/>
            <w:tcBorders>
              <w:top w:val="single" w:sz="4" w:space="0" w:color="auto"/>
              <w:left w:val="single" w:sz="4" w:space="0" w:color="auto"/>
            </w:tcBorders>
            <w:shd w:val="clear" w:color="auto" w:fill="FFFFFF"/>
            <w:vAlign w:val="bottom"/>
          </w:tcPr>
          <w:p w14:paraId="0F720FF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Ճշգրտման գործակից</w:t>
            </w:r>
            <w:r w:rsidR="00D2022F" w:rsidRPr="00CA27E3">
              <w:rPr>
                <w:rFonts w:ascii="Sylfaen" w:hAnsi="Sylfaen"/>
                <w:sz w:val="20"/>
                <w:szCs w:val="20"/>
              </w:rPr>
              <w:t>ը</w:t>
            </w:r>
          </w:p>
        </w:tc>
        <w:tc>
          <w:tcPr>
            <w:tcW w:w="1118" w:type="dxa"/>
            <w:tcBorders>
              <w:top w:val="single" w:sz="4" w:space="0" w:color="auto"/>
              <w:left w:val="single" w:sz="4" w:space="0" w:color="auto"/>
            </w:tcBorders>
            <w:shd w:val="clear" w:color="auto" w:fill="FFFFFF"/>
            <w:vAlign w:val="center"/>
          </w:tcPr>
          <w:p w14:paraId="25DBE0F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Արժեք</w:t>
            </w:r>
            <w:r w:rsidR="00D2022F" w:rsidRPr="00CA27E3">
              <w:rPr>
                <w:rFonts w:ascii="Sylfaen" w:hAnsi="Sylfaen"/>
                <w:sz w:val="20"/>
                <w:szCs w:val="20"/>
              </w:rPr>
              <w:t>ը</w:t>
            </w:r>
          </w:p>
        </w:tc>
        <w:tc>
          <w:tcPr>
            <w:tcW w:w="6005" w:type="dxa"/>
            <w:tcBorders>
              <w:top w:val="single" w:sz="4" w:space="0" w:color="auto"/>
              <w:left w:val="single" w:sz="4" w:space="0" w:color="auto"/>
              <w:right w:val="single" w:sz="4" w:space="0" w:color="auto"/>
            </w:tcBorders>
            <w:shd w:val="clear" w:color="auto" w:fill="FFFFFF"/>
            <w:vAlign w:val="center"/>
          </w:tcPr>
          <w:p w14:paraId="7F51E97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Գործակցի կիրառումը</w:t>
            </w:r>
          </w:p>
        </w:tc>
      </w:tr>
      <w:tr w:rsidR="00CA27E3" w:rsidRPr="00CA27E3" w14:paraId="3CC6AFE2" w14:textId="77777777" w:rsidTr="0078386D">
        <w:trPr>
          <w:trHeight w:val="734"/>
        </w:trPr>
        <w:tc>
          <w:tcPr>
            <w:tcW w:w="2304" w:type="dxa"/>
            <w:vMerge w:val="restart"/>
            <w:tcBorders>
              <w:top w:val="single" w:sz="4" w:space="0" w:color="auto"/>
              <w:left w:val="single" w:sz="4" w:space="0" w:color="auto"/>
            </w:tcBorders>
            <w:shd w:val="clear" w:color="auto" w:fill="FFFFFF"/>
            <w:vAlign w:val="center"/>
          </w:tcPr>
          <w:p w14:paraId="7E2D952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FF (առանց եղյամի առաջացման)</w:t>
            </w:r>
          </w:p>
        </w:tc>
        <w:tc>
          <w:tcPr>
            <w:tcW w:w="1118" w:type="dxa"/>
            <w:tcBorders>
              <w:top w:val="single" w:sz="4" w:space="0" w:color="auto"/>
              <w:left w:val="single" w:sz="4" w:space="0" w:color="auto"/>
            </w:tcBorders>
            <w:shd w:val="clear" w:color="auto" w:fill="FFFFFF"/>
            <w:vAlign w:val="center"/>
          </w:tcPr>
          <w:p w14:paraId="35C0FBF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1.2</w:t>
            </w:r>
          </w:p>
        </w:tc>
        <w:tc>
          <w:tcPr>
            <w:tcW w:w="6005" w:type="dxa"/>
            <w:tcBorders>
              <w:top w:val="single" w:sz="4" w:space="0" w:color="auto"/>
              <w:left w:val="single" w:sz="4" w:space="0" w:color="auto"/>
              <w:right w:val="single" w:sz="4" w:space="0" w:color="auto"/>
            </w:tcBorders>
            <w:shd w:val="clear" w:color="auto" w:fill="FFFFFF"/>
            <w:vAlign w:val="center"/>
          </w:tcPr>
          <w:p w14:paraId="478E6508" w14:textId="77777777" w:rsidR="00FD48C7" w:rsidRPr="00CA27E3" w:rsidRDefault="00BB04FF" w:rsidP="00B83AD7">
            <w:pPr>
              <w:pStyle w:val="Other0"/>
              <w:shd w:val="clear" w:color="auto" w:fill="auto"/>
              <w:spacing w:after="120"/>
              <w:ind w:left="50" w:right="51"/>
              <w:jc w:val="left"/>
              <w:rPr>
                <w:rFonts w:ascii="Sylfaen" w:hAnsi="Sylfaen" w:cs="Sylfaen"/>
                <w:sz w:val="20"/>
                <w:szCs w:val="20"/>
              </w:rPr>
            </w:pPr>
            <w:r w:rsidRPr="00CA27E3">
              <w:rPr>
                <w:rFonts w:ascii="Sylfaen" w:hAnsi="Sylfaen"/>
                <w:sz w:val="20"/>
                <w:szCs w:val="20"/>
              </w:rPr>
              <w:t>առանց եղյամի առաջացման սառնարանային սարքի՝ սառեցրած սննդամթերքի պահման բաժանմունքներ (խցիկներ)</w:t>
            </w:r>
          </w:p>
        </w:tc>
      </w:tr>
      <w:tr w:rsidR="00CA27E3" w:rsidRPr="00CA27E3" w14:paraId="6A116D5D" w14:textId="77777777" w:rsidTr="00D70EFB">
        <w:tc>
          <w:tcPr>
            <w:tcW w:w="2304" w:type="dxa"/>
            <w:vMerge/>
            <w:tcBorders>
              <w:left w:val="single" w:sz="4" w:space="0" w:color="auto"/>
            </w:tcBorders>
            <w:shd w:val="clear" w:color="auto" w:fill="FFFFFF"/>
            <w:vAlign w:val="center"/>
          </w:tcPr>
          <w:p w14:paraId="2D5651FC" w14:textId="77777777" w:rsidR="00FD48C7" w:rsidRPr="00CA27E3" w:rsidRDefault="00FD48C7" w:rsidP="00CA27E3">
            <w:pPr>
              <w:spacing w:after="120"/>
              <w:rPr>
                <w:rFonts w:ascii="Sylfaen" w:hAnsi="Sylfaen" w:cs="Sylfaen"/>
                <w:sz w:val="20"/>
                <w:szCs w:val="20"/>
              </w:rPr>
            </w:pPr>
          </w:p>
        </w:tc>
        <w:tc>
          <w:tcPr>
            <w:tcW w:w="1118" w:type="dxa"/>
            <w:tcBorders>
              <w:top w:val="single" w:sz="4" w:space="0" w:color="auto"/>
              <w:left w:val="single" w:sz="4" w:space="0" w:color="auto"/>
            </w:tcBorders>
            <w:shd w:val="clear" w:color="auto" w:fill="FFFFFF"/>
            <w:vAlign w:val="center"/>
          </w:tcPr>
          <w:p w14:paraId="6394051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w:t>
            </w:r>
          </w:p>
        </w:tc>
        <w:tc>
          <w:tcPr>
            <w:tcW w:w="6005" w:type="dxa"/>
            <w:tcBorders>
              <w:top w:val="single" w:sz="4" w:space="0" w:color="auto"/>
              <w:left w:val="single" w:sz="4" w:space="0" w:color="auto"/>
              <w:right w:val="single" w:sz="4" w:space="0" w:color="auto"/>
            </w:tcBorders>
            <w:shd w:val="clear" w:color="auto" w:fill="FFFFFF"/>
            <w:vAlign w:val="center"/>
          </w:tcPr>
          <w:p w14:paraId="409332D2" w14:textId="77777777" w:rsidR="00FD48C7" w:rsidRPr="00CA27E3" w:rsidRDefault="00BB04FF" w:rsidP="0078386D">
            <w:pPr>
              <w:pStyle w:val="Other0"/>
              <w:shd w:val="clear" w:color="auto" w:fill="auto"/>
              <w:spacing w:after="120"/>
              <w:ind w:left="50"/>
              <w:jc w:val="left"/>
              <w:rPr>
                <w:rFonts w:ascii="Sylfaen" w:hAnsi="Sylfaen" w:cs="Sylfaen"/>
                <w:sz w:val="20"/>
                <w:szCs w:val="20"/>
              </w:rPr>
            </w:pPr>
            <w:r w:rsidRPr="00CA27E3">
              <w:rPr>
                <w:rFonts w:ascii="Sylfaen" w:hAnsi="Sylfaen"/>
                <w:sz w:val="20"/>
                <w:szCs w:val="20"/>
              </w:rPr>
              <w:t>այլ սառնարանային սարքեր եւ սառնարանային սարքերի բաժանմունքներ (խցիկներ)</w:t>
            </w:r>
          </w:p>
        </w:tc>
      </w:tr>
      <w:tr w:rsidR="00CA27E3" w:rsidRPr="00CA27E3" w14:paraId="54663105" w14:textId="77777777" w:rsidTr="00D70EFB">
        <w:tc>
          <w:tcPr>
            <w:tcW w:w="2304" w:type="dxa"/>
            <w:vMerge w:val="restart"/>
            <w:tcBorders>
              <w:top w:val="single" w:sz="4" w:space="0" w:color="auto"/>
              <w:left w:val="single" w:sz="4" w:space="0" w:color="auto"/>
            </w:tcBorders>
            <w:shd w:val="clear" w:color="auto" w:fill="FFFFFF"/>
            <w:vAlign w:val="center"/>
          </w:tcPr>
          <w:p w14:paraId="399D892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СС (կլիմայական կատարումը)</w:t>
            </w:r>
          </w:p>
        </w:tc>
        <w:tc>
          <w:tcPr>
            <w:tcW w:w="1118" w:type="dxa"/>
            <w:tcBorders>
              <w:top w:val="single" w:sz="4" w:space="0" w:color="auto"/>
              <w:left w:val="single" w:sz="4" w:space="0" w:color="auto"/>
            </w:tcBorders>
            <w:shd w:val="clear" w:color="auto" w:fill="FFFFFF"/>
            <w:vAlign w:val="center"/>
          </w:tcPr>
          <w:p w14:paraId="6BA2E35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1.2</w:t>
            </w:r>
          </w:p>
        </w:tc>
        <w:tc>
          <w:tcPr>
            <w:tcW w:w="6005" w:type="dxa"/>
            <w:tcBorders>
              <w:top w:val="single" w:sz="4" w:space="0" w:color="auto"/>
              <w:left w:val="single" w:sz="4" w:space="0" w:color="auto"/>
              <w:right w:val="single" w:sz="4" w:space="0" w:color="auto"/>
            </w:tcBorders>
            <w:shd w:val="clear" w:color="auto" w:fill="FFFFFF"/>
            <w:vAlign w:val="bottom"/>
          </w:tcPr>
          <w:p w14:paraId="62F7B84C" w14:textId="77777777" w:rsidR="00FD48C7" w:rsidRPr="00CA27E3" w:rsidRDefault="00BB04FF" w:rsidP="0078386D">
            <w:pPr>
              <w:pStyle w:val="Other0"/>
              <w:shd w:val="clear" w:color="auto" w:fill="auto"/>
              <w:spacing w:after="120"/>
              <w:ind w:left="50"/>
              <w:jc w:val="left"/>
              <w:rPr>
                <w:rFonts w:ascii="Sylfaen" w:hAnsi="Sylfaen" w:cs="Sylfaen"/>
                <w:sz w:val="20"/>
                <w:szCs w:val="20"/>
              </w:rPr>
            </w:pPr>
            <w:r w:rsidRPr="00CA27E3">
              <w:rPr>
                <w:rFonts w:ascii="Sylfaen" w:hAnsi="Sylfaen"/>
                <w:sz w:val="20"/>
                <w:szCs w:val="20"/>
              </w:rPr>
              <w:t>արեւադարձային կլիմայում՝ +16 °C-ից մինչեւ +43 °C շրջակա միջավայրի միջին ջերմաստիճանի պայմաններում շահագործման համար նախատեսված սառնարանային սարքեր (Т կատարում)</w:t>
            </w:r>
          </w:p>
        </w:tc>
      </w:tr>
      <w:tr w:rsidR="00CA27E3" w:rsidRPr="00CA27E3" w14:paraId="51658E3F" w14:textId="77777777" w:rsidTr="00D70EFB">
        <w:tc>
          <w:tcPr>
            <w:tcW w:w="2304" w:type="dxa"/>
            <w:vMerge/>
            <w:tcBorders>
              <w:left w:val="single" w:sz="4" w:space="0" w:color="auto"/>
              <w:bottom w:val="single" w:sz="4" w:space="0" w:color="auto"/>
            </w:tcBorders>
            <w:shd w:val="clear" w:color="auto" w:fill="FFFFFF"/>
            <w:vAlign w:val="center"/>
          </w:tcPr>
          <w:p w14:paraId="6F737EDB" w14:textId="77777777" w:rsidR="00FD48C7" w:rsidRPr="00CA27E3" w:rsidRDefault="00FD48C7" w:rsidP="00CA27E3">
            <w:pPr>
              <w:spacing w:after="120"/>
              <w:rPr>
                <w:rFonts w:ascii="Sylfaen" w:hAnsi="Sylfaen" w:cs="Sylfaen"/>
                <w:sz w:val="20"/>
                <w:szCs w:val="20"/>
              </w:rPr>
            </w:pPr>
          </w:p>
        </w:tc>
        <w:tc>
          <w:tcPr>
            <w:tcW w:w="1118" w:type="dxa"/>
            <w:tcBorders>
              <w:top w:val="single" w:sz="4" w:space="0" w:color="auto"/>
              <w:left w:val="single" w:sz="4" w:space="0" w:color="auto"/>
              <w:bottom w:val="single" w:sz="4" w:space="0" w:color="auto"/>
            </w:tcBorders>
            <w:shd w:val="clear" w:color="auto" w:fill="FFFFFF"/>
            <w:vAlign w:val="center"/>
          </w:tcPr>
          <w:p w14:paraId="3CD682E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1.1</w:t>
            </w:r>
          </w:p>
        </w:tc>
        <w:tc>
          <w:tcPr>
            <w:tcW w:w="6005" w:type="dxa"/>
            <w:tcBorders>
              <w:top w:val="single" w:sz="4" w:space="0" w:color="auto"/>
              <w:left w:val="single" w:sz="4" w:space="0" w:color="auto"/>
              <w:bottom w:val="single" w:sz="4" w:space="0" w:color="auto"/>
              <w:right w:val="single" w:sz="4" w:space="0" w:color="auto"/>
            </w:tcBorders>
            <w:shd w:val="clear" w:color="auto" w:fill="FFFFFF"/>
            <w:vAlign w:val="center"/>
          </w:tcPr>
          <w:p w14:paraId="0C69C98B" w14:textId="77777777" w:rsidR="00FD48C7" w:rsidRPr="00CA27E3" w:rsidRDefault="00BB04FF" w:rsidP="0078386D">
            <w:pPr>
              <w:pStyle w:val="Other0"/>
              <w:shd w:val="clear" w:color="auto" w:fill="auto"/>
              <w:spacing w:after="120"/>
              <w:ind w:left="50" w:right="51"/>
              <w:jc w:val="left"/>
              <w:rPr>
                <w:rFonts w:ascii="Sylfaen" w:hAnsi="Sylfaen" w:cs="Sylfaen"/>
                <w:sz w:val="20"/>
                <w:szCs w:val="20"/>
              </w:rPr>
            </w:pPr>
            <w:r w:rsidRPr="00CA27E3">
              <w:rPr>
                <w:rFonts w:ascii="Sylfaen" w:hAnsi="Sylfaen"/>
                <w:sz w:val="20"/>
                <w:szCs w:val="20"/>
              </w:rPr>
              <w:t>մերձարեւադարձային կլիմայում՝ +16 °C-ից մինչեւ +38 °C շրջակա միջավայրի միջին ջերմաստիճանի պայմաններում շահագործման համար նախատեսված սառնարանային սարքեր (SТ կատարում)</w:t>
            </w:r>
          </w:p>
        </w:tc>
      </w:tr>
      <w:tr w:rsidR="00CA27E3" w:rsidRPr="00CA27E3" w14:paraId="5442E241" w14:textId="77777777" w:rsidTr="00D70EFB">
        <w:tc>
          <w:tcPr>
            <w:tcW w:w="2304" w:type="dxa"/>
            <w:tcBorders>
              <w:top w:val="single" w:sz="4" w:space="0" w:color="auto"/>
              <w:left w:val="single" w:sz="4" w:space="0" w:color="auto"/>
            </w:tcBorders>
            <w:shd w:val="clear" w:color="auto" w:fill="FFFFFF"/>
          </w:tcPr>
          <w:p w14:paraId="400EDBEE" w14:textId="77777777" w:rsidR="00FD48C7" w:rsidRPr="00CA27E3" w:rsidRDefault="00FD48C7" w:rsidP="00CA27E3">
            <w:pPr>
              <w:spacing w:after="120"/>
              <w:rPr>
                <w:rFonts w:ascii="Sylfaen" w:hAnsi="Sylfaen" w:cs="Sylfaen"/>
                <w:sz w:val="20"/>
                <w:szCs w:val="20"/>
              </w:rPr>
            </w:pPr>
          </w:p>
        </w:tc>
        <w:tc>
          <w:tcPr>
            <w:tcW w:w="1118" w:type="dxa"/>
            <w:tcBorders>
              <w:top w:val="single" w:sz="4" w:space="0" w:color="auto"/>
              <w:left w:val="single" w:sz="4" w:space="0" w:color="auto"/>
            </w:tcBorders>
            <w:shd w:val="clear" w:color="auto" w:fill="FFFFFF"/>
            <w:vAlign w:val="center"/>
          </w:tcPr>
          <w:p w14:paraId="1518198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w:t>
            </w:r>
          </w:p>
        </w:tc>
        <w:tc>
          <w:tcPr>
            <w:tcW w:w="6005" w:type="dxa"/>
            <w:tcBorders>
              <w:top w:val="single" w:sz="4" w:space="0" w:color="auto"/>
              <w:left w:val="single" w:sz="4" w:space="0" w:color="auto"/>
              <w:right w:val="single" w:sz="4" w:space="0" w:color="auto"/>
            </w:tcBorders>
            <w:shd w:val="clear" w:color="auto" w:fill="FFFFFF"/>
            <w:vAlign w:val="center"/>
          </w:tcPr>
          <w:p w14:paraId="5897D7E9" w14:textId="77777777" w:rsidR="00FD48C7" w:rsidRPr="00CA27E3" w:rsidRDefault="00BB04FF" w:rsidP="00B83AD7">
            <w:pPr>
              <w:pStyle w:val="Other0"/>
              <w:shd w:val="clear" w:color="auto" w:fill="auto"/>
              <w:spacing w:after="120"/>
              <w:ind w:left="50" w:right="51"/>
              <w:jc w:val="left"/>
              <w:rPr>
                <w:rFonts w:ascii="Sylfaen" w:hAnsi="Sylfaen" w:cs="Sylfaen"/>
                <w:sz w:val="20"/>
                <w:szCs w:val="20"/>
              </w:rPr>
            </w:pPr>
            <w:r w:rsidRPr="00CA27E3">
              <w:rPr>
                <w:rFonts w:ascii="Sylfaen" w:hAnsi="Sylfaen"/>
                <w:sz w:val="20"/>
                <w:szCs w:val="20"/>
              </w:rPr>
              <w:t>բառեխառն ցուրտ եւ բարեխառն կլիմայում՝ համապատասխանաբար +10 °C-ից մինչեւ +32 °C (SN</w:t>
            </w:r>
            <w:r w:rsidR="00B83AD7" w:rsidRPr="00B83AD7">
              <w:rPr>
                <w:rFonts w:ascii="Sylfaen" w:hAnsi="Sylfaen"/>
                <w:sz w:val="20"/>
                <w:szCs w:val="20"/>
              </w:rPr>
              <w:t> </w:t>
            </w:r>
            <w:r w:rsidRPr="00CA27E3">
              <w:rPr>
                <w:rFonts w:ascii="Sylfaen" w:hAnsi="Sylfaen"/>
                <w:sz w:val="20"/>
                <w:szCs w:val="20"/>
              </w:rPr>
              <w:t xml:space="preserve">կատարում) եւ +16 °C մինչեւ +32 °C (N կատարում) շրջակա միջավայրի միջին ջերմաստիճանի պայմաններում շահագործման համար նախատեսված սառնարանային սարքեր </w:t>
            </w:r>
          </w:p>
        </w:tc>
      </w:tr>
      <w:tr w:rsidR="00CA27E3" w:rsidRPr="00CA27E3" w14:paraId="54767636" w14:textId="77777777" w:rsidTr="00D70EFB">
        <w:tc>
          <w:tcPr>
            <w:tcW w:w="2304" w:type="dxa"/>
            <w:vMerge w:val="restart"/>
            <w:tcBorders>
              <w:top w:val="single" w:sz="4" w:space="0" w:color="auto"/>
              <w:left w:val="single" w:sz="4" w:space="0" w:color="auto"/>
            </w:tcBorders>
            <w:shd w:val="clear" w:color="auto" w:fill="FFFFFF"/>
            <w:vAlign w:val="center"/>
          </w:tcPr>
          <w:p w14:paraId="24EEC4F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BI</w:t>
            </w:r>
          </w:p>
          <w:p w14:paraId="7705DF2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(ներկառուցված)</w:t>
            </w:r>
          </w:p>
        </w:tc>
        <w:tc>
          <w:tcPr>
            <w:tcW w:w="1118" w:type="dxa"/>
            <w:tcBorders>
              <w:top w:val="single" w:sz="4" w:space="0" w:color="auto"/>
              <w:left w:val="single" w:sz="4" w:space="0" w:color="auto"/>
            </w:tcBorders>
            <w:shd w:val="clear" w:color="auto" w:fill="FFFFFF"/>
            <w:vAlign w:val="center"/>
          </w:tcPr>
          <w:p w14:paraId="3750108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1.2</w:t>
            </w:r>
          </w:p>
        </w:tc>
        <w:tc>
          <w:tcPr>
            <w:tcW w:w="6005" w:type="dxa"/>
            <w:tcBorders>
              <w:top w:val="single" w:sz="4" w:space="0" w:color="auto"/>
              <w:left w:val="single" w:sz="4" w:space="0" w:color="auto"/>
              <w:right w:val="single" w:sz="4" w:space="0" w:color="auto"/>
            </w:tcBorders>
            <w:shd w:val="clear" w:color="auto" w:fill="FFFFFF"/>
            <w:vAlign w:val="center"/>
          </w:tcPr>
          <w:p w14:paraId="1596C7AA" w14:textId="77777777" w:rsidR="00FD48C7" w:rsidRPr="00CA27E3" w:rsidRDefault="00BB04FF" w:rsidP="0078386D">
            <w:pPr>
              <w:pStyle w:val="Other0"/>
              <w:shd w:val="clear" w:color="auto" w:fill="auto"/>
              <w:spacing w:after="120"/>
              <w:ind w:left="50" w:right="51"/>
              <w:jc w:val="left"/>
              <w:rPr>
                <w:rFonts w:ascii="Sylfaen" w:hAnsi="Sylfaen" w:cs="Sylfaen"/>
                <w:sz w:val="20"/>
                <w:szCs w:val="20"/>
              </w:rPr>
            </w:pPr>
            <w:r w:rsidRPr="00CA27E3">
              <w:rPr>
                <w:rFonts w:ascii="Sylfaen" w:hAnsi="Sylfaen"/>
                <w:sz w:val="20"/>
                <w:szCs w:val="20"/>
              </w:rPr>
              <w:t>ներկառուցվող սառնարանային սարքեր՝ 580 մմ-ից ոչ ավելի լայնությամբ</w:t>
            </w:r>
          </w:p>
        </w:tc>
      </w:tr>
      <w:tr w:rsidR="00CA27E3" w:rsidRPr="00CA27E3" w14:paraId="51F5E4B8" w14:textId="77777777" w:rsidTr="00D70EFB">
        <w:tc>
          <w:tcPr>
            <w:tcW w:w="2304" w:type="dxa"/>
            <w:vMerge/>
            <w:tcBorders>
              <w:left w:val="single" w:sz="4" w:space="0" w:color="auto"/>
              <w:bottom w:val="single" w:sz="4" w:space="0" w:color="auto"/>
            </w:tcBorders>
            <w:shd w:val="clear" w:color="auto" w:fill="FFFFFF"/>
            <w:vAlign w:val="center"/>
          </w:tcPr>
          <w:p w14:paraId="5FA1CAF5" w14:textId="77777777" w:rsidR="00FD48C7" w:rsidRPr="00CA27E3" w:rsidRDefault="00FD48C7" w:rsidP="00CA27E3">
            <w:pPr>
              <w:spacing w:after="120"/>
              <w:rPr>
                <w:rFonts w:ascii="Sylfaen" w:hAnsi="Sylfaen" w:cs="Sylfaen"/>
                <w:sz w:val="20"/>
                <w:szCs w:val="20"/>
              </w:rPr>
            </w:pPr>
          </w:p>
        </w:tc>
        <w:tc>
          <w:tcPr>
            <w:tcW w:w="1118" w:type="dxa"/>
            <w:tcBorders>
              <w:top w:val="single" w:sz="4" w:space="0" w:color="auto"/>
              <w:left w:val="single" w:sz="4" w:space="0" w:color="auto"/>
              <w:bottom w:val="single" w:sz="4" w:space="0" w:color="auto"/>
            </w:tcBorders>
            <w:shd w:val="clear" w:color="auto" w:fill="FFFFFF"/>
            <w:vAlign w:val="bottom"/>
          </w:tcPr>
          <w:p w14:paraId="5CF414E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w:t>
            </w:r>
          </w:p>
        </w:tc>
        <w:tc>
          <w:tcPr>
            <w:tcW w:w="6005" w:type="dxa"/>
            <w:tcBorders>
              <w:top w:val="single" w:sz="4" w:space="0" w:color="auto"/>
              <w:left w:val="single" w:sz="4" w:space="0" w:color="auto"/>
              <w:bottom w:val="single" w:sz="4" w:space="0" w:color="auto"/>
              <w:right w:val="single" w:sz="4" w:space="0" w:color="auto"/>
            </w:tcBorders>
            <w:shd w:val="clear" w:color="auto" w:fill="FFFFFF"/>
            <w:vAlign w:val="center"/>
          </w:tcPr>
          <w:p w14:paraId="1AD3FF4D" w14:textId="77777777" w:rsidR="00FD48C7" w:rsidRPr="00CA27E3" w:rsidRDefault="00BB04FF" w:rsidP="0078386D">
            <w:pPr>
              <w:pStyle w:val="Other0"/>
              <w:shd w:val="clear" w:color="auto" w:fill="auto"/>
              <w:spacing w:after="120"/>
              <w:ind w:right="51"/>
              <w:jc w:val="left"/>
              <w:rPr>
                <w:rFonts w:ascii="Sylfaen" w:hAnsi="Sylfaen" w:cs="Sylfaen"/>
                <w:sz w:val="20"/>
                <w:szCs w:val="20"/>
              </w:rPr>
            </w:pPr>
            <w:r w:rsidRPr="00CA27E3">
              <w:rPr>
                <w:rFonts w:ascii="Sylfaen" w:hAnsi="Sylfaen"/>
                <w:sz w:val="20"/>
                <w:szCs w:val="20"/>
              </w:rPr>
              <w:t>այլ սառնարանային սարքեր</w:t>
            </w:r>
          </w:p>
        </w:tc>
      </w:tr>
    </w:tbl>
    <w:p w14:paraId="61544613" w14:textId="77777777" w:rsidR="00D70EFB" w:rsidRPr="00CA27E3" w:rsidRDefault="00D70EFB" w:rsidP="00CA27E3">
      <w:pPr>
        <w:pStyle w:val="BodyText1"/>
        <w:shd w:val="clear" w:color="auto" w:fill="auto"/>
        <w:spacing w:after="160"/>
        <w:ind w:firstLine="720"/>
        <w:jc w:val="both"/>
        <w:rPr>
          <w:rFonts w:ascii="Sylfaen" w:hAnsi="Sylfaen" w:cs="Sylfaen"/>
          <w:sz w:val="24"/>
          <w:szCs w:val="24"/>
        </w:rPr>
      </w:pPr>
    </w:p>
    <w:p w14:paraId="791141EE" w14:textId="77777777" w:rsidR="00FD48C7" w:rsidRPr="00CA27E3" w:rsidRDefault="00060D28" w:rsidP="0078386D">
      <w:pPr>
        <w:pStyle w:val="BodyText1"/>
        <w:shd w:val="clear" w:color="auto" w:fill="auto"/>
        <w:tabs>
          <w:tab w:val="left" w:pos="1134"/>
        </w:tabs>
        <w:spacing w:after="160"/>
        <w:ind w:firstLine="567"/>
        <w:jc w:val="both"/>
        <w:rPr>
          <w:rFonts w:ascii="Sylfaen" w:hAnsi="Sylfaen" w:cs="Sylfaen"/>
          <w:sz w:val="24"/>
          <w:szCs w:val="24"/>
        </w:rPr>
      </w:pPr>
      <w:r w:rsidRPr="0078386D">
        <w:rPr>
          <w:rFonts w:ascii="Sylfaen" w:hAnsi="Sylfaen"/>
          <w:spacing w:val="-6"/>
          <w:sz w:val="24"/>
          <w:szCs w:val="24"/>
        </w:rPr>
        <w:t>4.</w:t>
      </w:r>
      <w:r w:rsidR="0078386D" w:rsidRPr="0078386D">
        <w:rPr>
          <w:rFonts w:ascii="Sylfaen" w:hAnsi="Sylfaen"/>
          <w:spacing w:val="-6"/>
          <w:sz w:val="24"/>
          <w:szCs w:val="24"/>
        </w:rPr>
        <w:tab/>
      </w:r>
      <w:r w:rsidRPr="0078386D">
        <w:rPr>
          <w:rFonts w:ascii="Sylfaen" w:hAnsi="Sylfaen"/>
          <w:spacing w:val="-6"/>
          <w:sz w:val="24"/>
          <w:szCs w:val="24"/>
        </w:rPr>
        <w:t>Սառնարանային սարքերը (բացառությամբ գինու պահարանների, 10 լ-ից պակաս օգտակար</w:t>
      </w:r>
      <w:r w:rsidRPr="00CA27E3">
        <w:rPr>
          <w:rFonts w:ascii="Sylfaen" w:hAnsi="Sylfaen"/>
          <w:sz w:val="24"/>
          <w:szCs w:val="24"/>
        </w:rPr>
        <w:t xml:space="preserve"> ծավալ ունեցող սառնարանային սարքերի) պետք է ունենան էներգետիկ արդյունավետության </w:t>
      </w:r>
      <w:r w:rsidR="00211C46" w:rsidRPr="00CA27E3">
        <w:rPr>
          <w:rFonts w:ascii="Sylfaen" w:hAnsi="Sylfaen"/>
          <w:sz w:val="24"/>
          <w:szCs w:val="24"/>
        </w:rPr>
        <w:t>ցուցիչ</w:t>
      </w:r>
      <w:r w:rsidRPr="00CA27E3">
        <w:rPr>
          <w:rFonts w:ascii="Sylfaen" w:hAnsi="Sylfaen"/>
          <w:sz w:val="24"/>
          <w:szCs w:val="24"/>
        </w:rPr>
        <w:t>ի (EEI) հետեւյալ արժեքները՝</w:t>
      </w:r>
    </w:p>
    <w:p w14:paraId="261B5168" w14:textId="77777777" w:rsidR="00FD48C7" w:rsidRPr="00CA27E3" w:rsidRDefault="00BB04F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78386D" w:rsidRPr="0078386D">
        <w:rPr>
          <w:rFonts w:ascii="Sylfaen" w:hAnsi="Sylfaen"/>
          <w:sz w:val="24"/>
          <w:szCs w:val="24"/>
        </w:rPr>
        <w:tab/>
      </w:r>
      <w:r w:rsidRPr="00CA27E3">
        <w:rPr>
          <w:rFonts w:ascii="Sylfaen" w:hAnsi="Sylfaen"/>
          <w:sz w:val="24"/>
          <w:szCs w:val="24"/>
        </w:rPr>
        <w:t>2020 թվականի սեպտեմբերի 1-ից՝ 55-ից պակաս եւ 125-ից պակաս՝ համապատասխանաբար սեղմումային եւ աբսորբցիոն տիպի սառնարանային սարքերի համար.</w:t>
      </w:r>
    </w:p>
    <w:p w14:paraId="010EC5B2" w14:textId="77777777" w:rsidR="00FD48C7" w:rsidRPr="00CA27E3" w:rsidRDefault="00BB04F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78386D" w:rsidRPr="0078386D">
        <w:rPr>
          <w:rFonts w:ascii="Sylfaen" w:hAnsi="Sylfaen"/>
          <w:sz w:val="24"/>
          <w:szCs w:val="24"/>
        </w:rPr>
        <w:tab/>
      </w:r>
      <w:r w:rsidRPr="00CA27E3">
        <w:rPr>
          <w:rFonts w:ascii="Sylfaen" w:hAnsi="Sylfaen"/>
          <w:sz w:val="24"/>
          <w:szCs w:val="24"/>
        </w:rPr>
        <w:t>2021 թվականի սեպտեմբերի 1-ից՝ 42-ից պակաս եւ 110-ից պակաս՝ համապատասխանաբար սեղմումային եւ աբսորբցիոն տիպի սառնարանային սարքերի համար։</w:t>
      </w:r>
    </w:p>
    <w:p w14:paraId="2EC2F902" w14:textId="77777777" w:rsidR="0078386D" w:rsidRDefault="00060D28" w:rsidP="0078386D">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5.</w:t>
      </w:r>
      <w:r w:rsidR="0078386D" w:rsidRPr="0078386D">
        <w:rPr>
          <w:rFonts w:ascii="Sylfaen" w:hAnsi="Sylfaen"/>
          <w:sz w:val="24"/>
          <w:szCs w:val="24"/>
        </w:rPr>
        <w:tab/>
      </w:r>
      <w:r w:rsidRPr="00CA27E3">
        <w:rPr>
          <w:rFonts w:ascii="Sylfaen" w:hAnsi="Sylfaen"/>
          <w:sz w:val="24"/>
          <w:szCs w:val="24"/>
        </w:rPr>
        <w:t xml:space="preserve">Արագ սառեցման գործառույթով կամ օգտագործողի կողմից շահագործման փաստաթղթերին </w:t>
      </w:r>
      <w:r w:rsidR="0024157F" w:rsidRPr="00CA27E3">
        <w:rPr>
          <w:rFonts w:ascii="Sylfaen" w:hAnsi="Sylfaen"/>
          <w:sz w:val="24"/>
          <w:szCs w:val="24"/>
        </w:rPr>
        <w:t>համապատասխան մեկ անգամ գործողության մեջ դրված՝ սառցարաններում եւ սառցարանային բաժանմունքներում կառավարման կարգաբերումների մոդիֆիկացման միջոցով</w:t>
      </w:r>
      <w:r w:rsidRPr="00CA27E3">
        <w:rPr>
          <w:rFonts w:ascii="Sylfaen" w:hAnsi="Sylfaen"/>
          <w:sz w:val="24"/>
          <w:szCs w:val="24"/>
        </w:rPr>
        <w:t xml:space="preserve"> իրագործվող նույնանման գործառույթով սառնարանային սարքում պետք է ոչ ուշ, քան 72 ժամ հետո ավտոմատ կերպով վերականգնվեն պահման նախկին նորմալ ջերմաստիճանային պայմանները։</w:t>
      </w:r>
    </w:p>
    <w:p w14:paraId="08D7962D" w14:textId="77777777" w:rsidR="0078386D" w:rsidRDefault="0078386D">
      <w:pPr>
        <w:rPr>
          <w:rFonts w:ascii="Sylfaen" w:eastAsia="Times New Roman" w:hAnsi="Sylfaen" w:cs="Times New Roman"/>
        </w:rPr>
      </w:pPr>
      <w:r>
        <w:rPr>
          <w:rFonts w:ascii="Sylfaen" w:hAnsi="Sylfaen"/>
        </w:rPr>
        <w:br w:type="page"/>
      </w:r>
    </w:p>
    <w:p w14:paraId="51A8F029"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Նշված պահանջը չի կիրառվում մեկ ջերմապահպանիչով եւ մեկ ճնշակով սառնարան-սառցարանների նկատմամբ, որոնք սարքավորված են կառավարման էլեկտրամեխանիկական համակարգով։</w:t>
      </w:r>
    </w:p>
    <w:p w14:paraId="591232B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Մեկ ջերմապահպանիչով եւ մեկ ճնշակով սառնարան-սառցարանները, որոնք սարքավորված են կառավարման էլեկտրոնային պանելով եւ, շահագործման փաստաթղթերի համաձայն, կարող են օգտագործվել շրջակա միջավայրի +16 °C-ից ցածր ջերմաստիճանի պայմաններում, պետք է ունենա</w:t>
      </w:r>
      <w:r w:rsidR="00783CEE" w:rsidRPr="00CA27E3">
        <w:rPr>
          <w:rFonts w:ascii="Sylfaen" w:hAnsi="Sylfaen"/>
          <w:sz w:val="24"/>
          <w:szCs w:val="24"/>
        </w:rPr>
        <w:t>ն</w:t>
      </w:r>
      <w:r w:rsidRPr="00CA27E3">
        <w:rPr>
          <w:rFonts w:ascii="Sylfaen" w:hAnsi="Sylfaen"/>
          <w:sz w:val="24"/>
          <w:szCs w:val="24"/>
        </w:rPr>
        <w:t xml:space="preserve"> փոխարկչի՝ «ձմեռային ռեժիմի» գործառույթի մասով հատուկ կարգաբերում, որն ավտոմատ </w:t>
      </w:r>
      <w:r w:rsidR="003222DC" w:rsidRPr="00CA27E3">
        <w:rPr>
          <w:rFonts w:ascii="Sylfaen" w:hAnsi="Sylfaen"/>
          <w:sz w:val="24"/>
          <w:szCs w:val="24"/>
        </w:rPr>
        <w:t>կերպով</w:t>
      </w:r>
      <w:r w:rsidRPr="00CA27E3">
        <w:rPr>
          <w:rFonts w:ascii="Sylfaen" w:hAnsi="Sylfaen"/>
          <w:sz w:val="24"/>
          <w:szCs w:val="24"/>
        </w:rPr>
        <w:t xml:space="preserve"> </w:t>
      </w:r>
      <w:r w:rsidR="004E151F" w:rsidRPr="00CA27E3">
        <w:rPr>
          <w:rFonts w:ascii="Sylfaen" w:hAnsi="Sylfaen"/>
          <w:sz w:val="24"/>
          <w:szCs w:val="24"/>
        </w:rPr>
        <w:t>ապահովում է</w:t>
      </w:r>
      <w:r w:rsidRPr="00CA27E3">
        <w:rPr>
          <w:rFonts w:ascii="Sylfaen" w:hAnsi="Sylfaen"/>
          <w:sz w:val="24"/>
          <w:szCs w:val="24"/>
        </w:rPr>
        <w:t xml:space="preserve"> սառեցրած սննդամթերքի պահման ճիշտ ջերմաստիճանը՝ շրջակա միջավայրի ջերմաստիճանին համապատասխան։</w:t>
      </w:r>
    </w:p>
    <w:p w14:paraId="2A317D1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10 լ-ից պակաս օգտակար ծավալ ունեցող կենցաղային սառնարանային սարքերը պետք է ոչ ուշ, քան դատարկ վիճակում 1 ժամ աշխատելուց հետո ավտոմատ կերպով անցնեն 0,00 Վտ սպառվող հզորությամբ աշխատանքային ռեժիմի։ Սարքը սնուցման ցանցի</w:t>
      </w:r>
      <w:r w:rsidR="001D64BF" w:rsidRPr="00CA27E3">
        <w:rPr>
          <w:rFonts w:ascii="Sylfaen" w:hAnsi="Sylfaen"/>
          <w:sz w:val="24"/>
          <w:szCs w:val="24"/>
        </w:rPr>
        <w:t>ց</w:t>
      </w:r>
      <w:r w:rsidRPr="00CA27E3">
        <w:rPr>
          <w:rFonts w:ascii="Sylfaen" w:hAnsi="Sylfaen"/>
          <w:sz w:val="24"/>
          <w:szCs w:val="24"/>
        </w:rPr>
        <w:t xml:space="preserve"> անջատող անջատիչի առկայությունը բավարար պայման չէ</w:t>
      </w:r>
      <w:r w:rsidR="004E151F" w:rsidRPr="00CA27E3">
        <w:rPr>
          <w:rFonts w:ascii="Sylfaen" w:hAnsi="Sylfaen"/>
          <w:sz w:val="24"/>
          <w:szCs w:val="24"/>
        </w:rPr>
        <w:t>`</w:t>
      </w:r>
      <w:r w:rsidRPr="00CA27E3">
        <w:rPr>
          <w:rFonts w:ascii="Sylfaen" w:hAnsi="Sylfaen"/>
          <w:sz w:val="24"/>
          <w:szCs w:val="24"/>
        </w:rPr>
        <w:t xml:space="preserve"> տվյալ պահանջը կատարելու համար։</w:t>
      </w:r>
    </w:p>
    <w:p w14:paraId="47989B92" w14:textId="77777777" w:rsidR="00FD48C7" w:rsidRPr="00CA27E3" w:rsidRDefault="00060D28"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78386D" w:rsidRPr="0078386D">
        <w:rPr>
          <w:rFonts w:ascii="Sylfaen" w:hAnsi="Sylfaen"/>
          <w:sz w:val="24"/>
          <w:szCs w:val="24"/>
        </w:rPr>
        <w:tab/>
      </w:r>
      <w:r w:rsidRPr="00CA27E3">
        <w:rPr>
          <w:rFonts w:ascii="Sylfaen" w:hAnsi="Sylfaen"/>
          <w:sz w:val="24"/>
          <w:szCs w:val="24"/>
        </w:rPr>
        <w:t>Սառնարանային սարքերի փորձարկումները (չափումները) անցկաց</w:t>
      </w:r>
      <w:r w:rsidR="004E151F" w:rsidRPr="00CA27E3">
        <w:rPr>
          <w:rFonts w:ascii="Sylfaen" w:hAnsi="Sylfaen"/>
          <w:sz w:val="24"/>
          <w:szCs w:val="24"/>
        </w:rPr>
        <w:t>վ</w:t>
      </w:r>
      <w:r w:rsidRPr="00CA27E3">
        <w:rPr>
          <w:rFonts w:ascii="Sylfaen" w:hAnsi="Sylfaen"/>
          <w:sz w:val="24"/>
          <w:szCs w:val="24"/>
        </w:rPr>
        <w:t>ում են հետեւյալ առանձնահատկություններով՝</w:t>
      </w:r>
    </w:p>
    <w:p w14:paraId="4494FD11" w14:textId="77777777" w:rsidR="00FD48C7" w:rsidRPr="00CA27E3" w:rsidRDefault="00BB04F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78386D" w:rsidRPr="0078386D">
        <w:rPr>
          <w:rFonts w:ascii="Sylfaen" w:hAnsi="Sylfaen"/>
          <w:sz w:val="24"/>
          <w:szCs w:val="24"/>
        </w:rPr>
        <w:tab/>
      </w:r>
      <w:r w:rsidRPr="00CA27E3">
        <w:rPr>
          <w:rFonts w:ascii="Sylfaen" w:hAnsi="Sylfaen"/>
          <w:sz w:val="24"/>
          <w:szCs w:val="24"/>
        </w:rPr>
        <w:t xml:space="preserve">եթե սառնարանային սարքի կազմում առկա են հակակոնդենսացիոն տաքացուցիչներ, որոնք վերջնական օգտագործողը կարող է միացնել կամ անջատել, ապա էներգիայի սպառման փորձարկումներ (չափումներ) անցկացնելիս դրանք պետք է միացված լինեն, եւ </w:t>
      </w:r>
      <w:r w:rsidR="004E151F" w:rsidRPr="00CA27E3">
        <w:rPr>
          <w:rFonts w:ascii="Sylfaen" w:hAnsi="Sylfaen"/>
          <w:sz w:val="24"/>
          <w:szCs w:val="24"/>
        </w:rPr>
        <w:t>կարգավորման առկայության դեպքում պետք է միացվի առավելագույն տաքացման ռեժիմը</w:t>
      </w:r>
      <w:r w:rsidRPr="00CA27E3">
        <w:rPr>
          <w:rFonts w:ascii="Sylfaen" w:hAnsi="Sylfaen"/>
          <w:sz w:val="24"/>
          <w:szCs w:val="24"/>
        </w:rPr>
        <w:t>.</w:t>
      </w:r>
    </w:p>
    <w:p w14:paraId="22BD4487" w14:textId="77777777" w:rsidR="00FD48C7" w:rsidRPr="00CA27E3" w:rsidRDefault="004E151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78386D" w:rsidRPr="0078386D">
        <w:rPr>
          <w:rFonts w:ascii="Sylfaen" w:hAnsi="Sylfaen"/>
          <w:sz w:val="24"/>
          <w:szCs w:val="24"/>
        </w:rPr>
        <w:tab/>
      </w:r>
      <w:r w:rsidRPr="00CA27E3">
        <w:rPr>
          <w:rFonts w:ascii="Sylfaen" w:hAnsi="Sylfaen"/>
          <w:sz w:val="24"/>
          <w:szCs w:val="24"/>
        </w:rPr>
        <w:t>եթե սառնարանային սարքի կազմում</w:t>
      </w:r>
      <w:r w:rsidR="00BB04FF" w:rsidRPr="00CA27E3">
        <w:rPr>
          <w:rFonts w:ascii="Sylfaen" w:hAnsi="Sylfaen"/>
          <w:sz w:val="24"/>
          <w:szCs w:val="24"/>
        </w:rPr>
        <w:t xml:space="preserve"> առկա են սարքեր, որոնց հասանելիությունն ապահովվում է հատուկ դռան միջոցով (օրինակ՝ սառույցի կամ պաղեցրած խմիչքների մատուցման ավտոմատ սարք), եւ որոնք վերջնական օգտագործողը կարող է միացնել եւ անջատել, ապա էներգիայի սպառման փորձարկումներ (չափումներ) անցկացնելիս դրանք պետք է միացված լինեն, սակայն չպետք է գործեն.</w:t>
      </w:r>
    </w:p>
    <w:p w14:paraId="51FAB03B" w14:textId="77777777" w:rsidR="00FD48C7" w:rsidRPr="00CA27E3" w:rsidRDefault="00BB04F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գ)</w:t>
      </w:r>
      <w:r w:rsidR="0078386D" w:rsidRPr="0078386D">
        <w:rPr>
          <w:rFonts w:ascii="Sylfaen" w:hAnsi="Sylfaen"/>
          <w:sz w:val="24"/>
          <w:szCs w:val="24"/>
        </w:rPr>
        <w:tab/>
      </w:r>
      <w:r w:rsidRPr="00CA27E3">
        <w:rPr>
          <w:rFonts w:ascii="Sylfaen" w:hAnsi="Sylfaen"/>
          <w:sz w:val="24"/>
          <w:szCs w:val="24"/>
        </w:rPr>
        <w:t>ունիվերսալ սառնարանային սարքերի եւ բաժանմունքների (խցիկների) համար էներգիայի սպառման փորձարկման (չափման) ժամանակ պահման ջերմաստիճանը պետք է համապատասխանի տվյալ սառնարանային սարքի կազմում առկա ամենասառը տիպի խցիկի անվանական ջերմաստիճանին.</w:t>
      </w:r>
    </w:p>
    <w:p w14:paraId="1947A253" w14:textId="77777777" w:rsidR="00FD48C7" w:rsidRPr="00CA27E3" w:rsidRDefault="00BB04F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78386D" w:rsidRPr="0078386D">
        <w:rPr>
          <w:rFonts w:ascii="Sylfaen" w:hAnsi="Sylfaen"/>
          <w:sz w:val="24"/>
          <w:szCs w:val="24"/>
        </w:rPr>
        <w:tab/>
      </w:r>
      <w:r w:rsidRPr="00CA27E3">
        <w:rPr>
          <w:rFonts w:ascii="Sylfaen" w:hAnsi="Sylfaen"/>
          <w:sz w:val="24"/>
          <w:szCs w:val="24"/>
        </w:rPr>
        <w:t xml:space="preserve">էներգիայի սպառումը որոշվում է ամենասառը </w:t>
      </w:r>
      <w:r w:rsidR="004E151F" w:rsidRPr="00CA27E3">
        <w:rPr>
          <w:rFonts w:ascii="Sylfaen" w:hAnsi="Sylfaen"/>
          <w:sz w:val="24"/>
          <w:szCs w:val="24"/>
        </w:rPr>
        <w:t>փոխդասավորությամբ</w:t>
      </w:r>
      <w:r w:rsidRPr="00CA27E3">
        <w:rPr>
          <w:rFonts w:ascii="Sylfaen" w:hAnsi="Sylfaen"/>
          <w:sz w:val="24"/>
          <w:szCs w:val="24"/>
        </w:rPr>
        <w:t xml:space="preserve">՝ շահագործման փաստաթղթերին համապատասխան՝ մշտական նորմալ օգտագործման համար. </w:t>
      </w:r>
    </w:p>
    <w:p w14:paraId="6C2B0A4A" w14:textId="77777777" w:rsidR="00FD48C7" w:rsidRPr="00CA27E3" w:rsidRDefault="00BB04FF" w:rsidP="0078386D">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78386D" w:rsidRPr="0078386D">
        <w:rPr>
          <w:rFonts w:ascii="Sylfaen" w:hAnsi="Sylfaen"/>
          <w:sz w:val="24"/>
          <w:szCs w:val="24"/>
        </w:rPr>
        <w:tab/>
      </w:r>
      <w:r w:rsidRPr="00CA27E3">
        <w:rPr>
          <w:rFonts w:ascii="Sylfaen" w:hAnsi="Sylfaen"/>
          <w:sz w:val="24"/>
          <w:szCs w:val="24"/>
        </w:rPr>
        <w:t>փորձարկումներ (չափումներ) անցկացնելիս որոշվում են հետեւյալ պարամետրերը՝</w:t>
      </w:r>
    </w:p>
    <w:p w14:paraId="4A36A54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եզրաչափերը (մինչեւ մմ ճշտությամբ).</w:t>
      </w:r>
    </w:p>
    <w:p w14:paraId="2D7074E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ընդհանուր բրուտտո ծավալը (մինչեւ ամբողջ թիվ կլորացմամբ՝ խոր. դմ-ով կամ լ-ով).</w:t>
      </w:r>
    </w:p>
    <w:p w14:paraId="4E40C9E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օգտակար ծավալը (ծավալները) եւ ամբողջական օգտակար ծավալը (ծավալները)՝ պահման համար (մինչեւ ամբողջ թիվ կլորացմամբ՝ խոր. դմ-ով կամ լ-ով).</w:t>
      </w:r>
    </w:p>
    <w:p w14:paraId="268DBD6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ապասառեցման տիպը.</w:t>
      </w:r>
    </w:p>
    <w:p w14:paraId="26A77A73"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պահման ջերմաստիճանը.</w:t>
      </w:r>
    </w:p>
    <w:p w14:paraId="02114E7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էներգիայի սպառումը (կՎտ</w:t>
      </w:r>
      <w:r w:rsidR="00F42E9F" w:rsidRPr="00CA27E3">
        <w:rPr>
          <w:rFonts w:ascii="Sylfaen" w:hAnsi="Sylfaen" w:cs="TimesNewRoman"/>
          <w:color w:val="auto"/>
          <w:sz w:val="24"/>
          <w:szCs w:val="24"/>
          <w:lang w:bidi="ar-SA"/>
        </w:rPr>
        <w:t>∙</w:t>
      </w:r>
      <w:r w:rsidR="004257E1" w:rsidRPr="00CA27E3">
        <w:rPr>
          <w:rFonts w:ascii="Sylfaen" w:hAnsi="Sylfaen"/>
          <w:sz w:val="24"/>
          <w:szCs w:val="24"/>
        </w:rPr>
        <w:t xml:space="preserve">ժ/24 </w:t>
      </w:r>
      <w:r w:rsidRPr="00CA27E3">
        <w:rPr>
          <w:rFonts w:ascii="Sylfaen" w:hAnsi="Sylfaen"/>
          <w:sz w:val="24"/>
          <w:szCs w:val="24"/>
        </w:rPr>
        <w:t>ժ) (մին</w:t>
      </w:r>
      <w:r w:rsidR="004257E1" w:rsidRPr="00CA27E3">
        <w:rPr>
          <w:rFonts w:ascii="Sylfaen" w:hAnsi="Sylfaen"/>
          <w:sz w:val="24"/>
          <w:szCs w:val="24"/>
        </w:rPr>
        <w:t>չ</w:t>
      </w:r>
      <w:r w:rsidRPr="00CA27E3">
        <w:rPr>
          <w:rFonts w:ascii="Sylfaen" w:hAnsi="Sylfaen"/>
          <w:sz w:val="24"/>
          <w:szCs w:val="24"/>
        </w:rPr>
        <w:t>եւ 3 տասնորդական նիշ կլորացմամբ).</w:t>
      </w:r>
    </w:p>
    <w:p w14:paraId="6CFB158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սառեցման արտադրողականությունը (24 ժամում կգ-ով)</w:t>
      </w:r>
      <w:r w:rsidR="003C07D4" w:rsidRPr="00CA27E3">
        <w:rPr>
          <w:rFonts w:ascii="Sylfaen" w:hAnsi="Sylfaen"/>
          <w:sz w:val="24"/>
          <w:szCs w:val="24"/>
        </w:rPr>
        <w:t>.</w:t>
      </w:r>
    </w:p>
    <w:p w14:paraId="777592A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սպառվող հզորությունը (Վտ) (մինչ</w:t>
      </w:r>
      <w:r w:rsidR="00CA27E3">
        <w:rPr>
          <w:rFonts w:ascii="Sylfaen" w:hAnsi="Sylfaen"/>
          <w:sz w:val="24"/>
          <w:szCs w:val="24"/>
        </w:rPr>
        <w:t>եւ</w:t>
      </w:r>
      <w:r w:rsidRPr="00CA27E3">
        <w:rPr>
          <w:rFonts w:ascii="Sylfaen" w:hAnsi="Sylfaen"/>
          <w:sz w:val="24"/>
          <w:szCs w:val="24"/>
        </w:rPr>
        <w:t xml:space="preserve"> 2 տասնորդական նիշ կլորացմամբ)․</w:t>
      </w:r>
    </w:p>
    <w:p w14:paraId="7488848F"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գինու պահման համար նախատեսված բաժանմունքի խոնավությունը (%) (մինչ</w:t>
      </w:r>
      <w:r w:rsidR="00CA27E3">
        <w:rPr>
          <w:rFonts w:ascii="Sylfaen" w:hAnsi="Sylfaen"/>
          <w:sz w:val="24"/>
          <w:szCs w:val="24"/>
        </w:rPr>
        <w:t>եւ</w:t>
      </w:r>
      <w:r w:rsidRPr="00CA27E3">
        <w:rPr>
          <w:rFonts w:ascii="Sylfaen" w:hAnsi="Sylfaen"/>
          <w:sz w:val="24"/>
          <w:szCs w:val="24"/>
        </w:rPr>
        <w:t xml:space="preserve"> ամբողջ թիվ կլորացմամբ): </w:t>
      </w:r>
    </w:p>
    <w:p w14:paraId="34524515" w14:textId="77777777" w:rsidR="00FD48C7" w:rsidRPr="00CA27E3" w:rsidRDefault="00060D28" w:rsidP="00BF26A1">
      <w:pPr>
        <w:pStyle w:val="BodyText1"/>
        <w:shd w:val="clear" w:color="auto" w:fill="auto"/>
        <w:tabs>
          <w:tab w:val="left" w:pos="1134"/>
          <w:tab w:val="left" w:pos="8080"/>
          <w:tab w:val="left" w:pos="8789"/>
        </w:tabs>
        <w:spacing w:after="160"/>
        <w:ind w:firstLine="567"/>
        <w:jc w:val="both"/>
        <w:rPr>
          <w:rFonts w:ascii="Sylfaen" w:hAnsi="Sylfaen" w:cs="Sylfaen"/>
          <w:sz w:val="24"/>
          <w:szCs w:val="24"/>
        </w:rPr>
      </w:pPr>
      <w:r w:rsidRPr="00BE7ECE">
        <w:rPr>
          <w:rFonts w:ascii="Sylfaen" w:hAnsi="Sylfaen"/>
          <w:spacing w:val="-6"/>
          <w:sz w:val="24"/>
          <w:szCs w:val="24"/>
        </w:rPr>
        <w:t>7.</w:t>
      </w:r>
      <w:r w:rsidR="0078386D" w:rsidRPr="00BE7ECE">
        <w:rPr>
          <w:rFonts w:ascii="Sylfaen" w:hAnsi="Sylfaen"/>
          <w:spacing w:val="-6"/>
          <w:sz w:val="24"/>
          <w:szCs w:val="24"/>
        </w:rPr>
        <w:tab/>
      </w:r>
      <w:r w:rsidRPr="00BE7ECE">
        <w:rPr>
          <w:rFonts w:ascii="Sylfaen" w:hAnsi="Sylfaen"/>
          <w:spacing w:val="-6"/>
          <w:sz w:val="24"/>
          <w:szCs w:val="24"/>
        </w:rPr>
        <w:t xml:space="preserve">Սառնարանային սարքերին կցվող՝ «Էներգասպառող սարքվածքների էներգետիկ արդյունավետությանը ներկայացվող պահանջների մասին» Եվրասիական </w:t>
      </w:r>
      <w:r w:rsidRPr="00BE7ECE">
        <w:rPr>
          <w:rFonts w:ascii="Sylfaen" w:hAnsi="Sylfaen"/>
          <w:spacing w:val="-6"/>
          <w:sz w:val="24"/>
          <w:szCs w:val="24"/>
        </w:rPr>
        <w:lastRenderedPageBreak/>
        <w:t>տնտեսական միության տեխնիկական կանոնակարգի (ԵԱՏՄ ՏԿ</w:t>
      </w:r>
      <w:r w:rsidR="00BE7ECE" w:rsidRPr="00BE7ECE">
        <w:rPr>
          <w:rFonts w:ascii="Sylfaen" w:hAnsi="Sylfaen"/>
          <w:spacing w:val="-6"/>
          <w:sz w:val="24"/>
          <w:szCs w:val="24"/>
        </w:rPr>
        <w:tab/>
      </w:r>
      <w:r w:rsidRPr="00BE7ECE">
        <w:rPr>
          <w:rFonts w:ascii="Sylfaen" w:hAnsi="Sylfaen"/>
          <w:spacing w:val="-6"/>
          <w:sz w:val="24"/>
          <w:szCs w:val="24"/>
        </w:rPr>
        <w:t>/20</w:t>
      </w:r>
      <w:r w:rsidR="00BE7ECE" w:rsidRPr="00BE7ECE">
        <w:rPr>
          <w:rFonts w:ascii="Sylfaen" w:hAnsi="Sylfaen"/>
          <w:spacing w:val="-6"/>
          <w:sz w:val="24"/>
          <w:szCs w:val="24"/>
        </w:rPr>
        <w:tab/>
      </w:r>
      <w:r w:rsidRPr="00BE7ECE">
        <w:rPr>
          <w:rFonts w:ascii="Sylfaen" w:hAnsi="Sylfaen"/>
          <w:spacing w:val="-6"/>
          <w:sz w:val="24"/>
          <w:szCs w:val="24"/>
        </w:rPr>
        <w:t>) (այսուհետ՝ տեխնիկական կանոնակարգ) 13-րդ կետով նախատեսված շահագործման</w:t>
      </w:r>
      <w:r w:rsidRPr="00BE7ECE">
        <w:rPr>
          <w:rFonts w:ascii="Sylfaen" w:hAnsi="Sylfaen"/>
          <w:sz w:val="24"/>
          <w:szCs w:val="24"/>
        </w:rPr>
        <w:t xml:space="preserve"> փաստաթղթերը պետք է պարունակեն դրանց բնութագրերի </w:t>
      </w:r>
      <w:r w:rsidR="00CA27E3" w:rsidRPr="00BE7ECE">
        <w:rPr>
          <w:rFonts w:ascii="Sylfaen" w:hAnsi="Sylfaen"/>
          <w:sz w:val="24"/>
          <w:szCs w:val="24"/>
        </w:rPr>
        <w:t>եւ</w:t>
      </w:r>
      <w:r w:rsidRPr="00BE7ECE">
        <w:rPr>
          <w:rFonts w:ascii="Sylfaen" w:hAnsi="Sylfaen"/>
          <w:sz w:val="24"/>
          <w:szCs w:val="24"/>
        </w:rPr>
        <w:t xml:space="preserve"> պարամետրերի մասին հետ</w:t>
      </w:r>
      <w:r w:rsidR="00CA27E3" w:rsidRPr="00BE7ECE">
        <w:rPr>
          <w:rFonts w:ascii="Sylfaen" w:hAnsi="Sylfaen"/>
          <w:sz w:val="24"/>
          <w:szCs w:val="24"/>
        </w:rPr>
        <w:t>եւ</w:t>
      </w:r>
      <w:r w:rsidRPr="00BE7ECE">
        <w:rPr>
          <w:rFonts w:ascii="Sylfaen" w:hAnsi="Sylfaen"/>
          <w:sz w:val="24"/>
          <w:szCs w:val="24"/>
        </w:rPr>
        <w:t>յալ տեղեկությունները</w:t>
      </w:r>
      <w:r w:rsidRPr="00CA27E3">
        <w:rPr>
          <w:rFonts w:ascii="Sylfaen" w:hAnsi="Sylfaen"/>
          <w:sz w:val="24"/>
          <w:szCs w:val="24"/>
        </w:rPr>
        <w:t>՝</w:t>
      </w:r>
    </w:p>
    <w:p w14:paraId="5330F618" w14:textId="77777777" w:rsidR="00FD48C7" w:rsidRPr="00CA27E3" w:rsidRDefault="00BB04FF" w:rsidP="00BE7ECE">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BE7ECE" w:rsidRPr="00BE7ECE">
        <w:rPr>
          <w:rFonts w:ascii="Sylfaen" w:hAnsi="Sylfaen"/>
          <w:sz w:val="24"/>
          <w:szCs w:val="24"/>
        </w:rPr>
        <w:tab/>
      </w:r>
      <w:r w:rsidRPr="00CA27E3">
        <w:rPr>
          <w:rFonts w:ascii="Sylfaen" w:hAnsi="Sylfaen"/>
          <w:sz w:val="24"/>
          <w:szCs w:val="24"/>
        </w:rPr>
        <w:t>սույն բաժնին համապատասխան սահմանված EEI արժեքը.</w:t>
      </w:r>
    </w:p>
    <w:p w14:paraId="185DCACB" w14:textId="77777777" w:rsidR="00FD48C7" w:rsidRPr="00CA27E3" w:rsidRDefault="00BB04FF" w:rsidP="00BE7ECE">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BE7ECE" w:rsidRPr="00BE7ECE">
        <w:rPr>
          <w:rFonts w:ascii="Sylfaen" w:hAnsi="Sylfaen"/>
          <w:sz w:val="24"/>
          <w:szCs w:val="24"/>
        </w:rPr>
        <w:tab/>
      </w:r>
      <w:r w:rsidRPr="00CA27E3">
        <w:rPr>
          <w:rFonts w:ascii="Sylfaen" w:hAnsi="Sylfaen"/>
          <w:sz w:val="24"/>
          <w:szCs w:val="24"/>
        </w:rPr>
        <w:t xml:space="preserve">բաժինների, շարժական արկղերի եւ դարակների՝ էներգիայի առավել արդյունավետ սպառումն ապահովող </w:t>
      </w:r>
      <w:r w:rsidR="00101122" w:rsidRPr="00CA27E3">
        <w:rPr>
          <w:rFonts w:ascii="Sylfaen" w:hAnsi="Sylfaen"/>
          <w:sz w:val="24"/>
          <w:szCs w:val="24"/>
        </w:rPr>
        <w:t>փոխդասավոր</w:t>
      </w:r>
      <w:r w:rsidRPr="00CA27E3">
        <w:rPr>
          <w:rFonts w:ascii="Sylfaen" w:hAnsi="Sylfaen"/>
          <w:sz w:val="24"/>
          <w:szCs w:val="24"/>
        </w:rPr>
        <w:t>ության մասին տեղեկատվությունը.</w:t>
      </w:r>
    </w:p>
    <w:p w14:paraId="61397994" w14:textId="77777777" w:rsidR="00FD48C7" w:rsidRPr="00CA27E3" w:rsidRDefault="00BB04FF" w:rsidP="00BE7ECE">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BE7ECE" w:rsidRPr="00BE7ECE">
        <w:rPr>
          <w:rFonts w:ascii="Sylfaen" w:hAnsi="Sylfaen"/>
          <w:sz w:val="24"/>
          <w:szCs w:val="24"/>
        </w:rPr>
        <w:tab/>
      </w:r>
      <w:r w:rsidRPr="00CA27E3">
        <w:rPr>
          <w:rFonts w:ascii="Sylfaen" w:hAnsi="Sylfaen"/>
          <w:sz w:val="24"/>
          <w:szCs w:val="24"/>
        </w:rPr>
        <w:t>էներգիայի նվազագույն սպառումն ապահովելու եղանակների մասին տեղեկատվությունը.</w:t>
      </w:r>
    </w:p>
    <w:p w14:paraId="74FA0691" w14:textId="77777777" w:rsidR="00FD48C7" w:rsidRPr="00CA27E3" w:rsidRDefault="00BB04FF" w:rsidP="00BE7ECE">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BE7ECE" w:rsidRPr="00BE7ECE">
        <w:rPr>
          <w:rFonts w:ascii="Sylfaen" w:hAnsi="Sylfaen"/>
          <w:sz w:val="24"/>
          <w:szCs w:val="24"/>
        </w:rPr>
        <w:tab/>
      </w:r>
      <w:r w:rsidRPr="00CA27E3">
        <w:rPr>
          <w:rFonts w:ascii="Sylfaen" w:hAnsi="Sylfaen"/>
          <w:sz w:val="24"/>
          <w:szCs w:val="24"/>
        </w:rPr>
        <w:t>գինու պահման համար նախատեսված սառնարանային սարքի համար՝ բացառապես գինու պահման համար դրա նշանակության մասին տեղեկությունները</w:t>
      </w:r>
      <w:r w:rsidR="00101122" w:rsidRPr="00CA27E3">
        <w:rPr>
          <w:rFonts w:ascii="Sylfaen" w:hAnsi="Sylfaen"/>
          <w:sz w:val="24"/>
          <w:szCs w:val="24"/>
        </w:rPr>
        <w:t>։</w:t>
      </w:r>
    </w:p>
    <w:p w14:paraId="36DAE6C8" w14:textId="77777777" w:rsidR="00FD48C7" w:rsidRPr="00CA27E3" w:rsidRDefault="00FD48C7" w:rsidP="00CA27E3">
      <w:pPr>
        <w:spacing w:after="160" w:line="360" w:lineRule="auto"/>
        <w:rPr>
          <w:rFonts w:ascii="Sylfaen" w:hAnsi="Sylfaen" w:cs="Sylfaen"/>
        </w:rPr>
      </w:pPr>
    </w:p>
    <w:p w14:paraId="06D4551C" w14:textId="77777777" w:rsidR="00FD48C7" w:rsidRPr="00CA27E3" w:rsidRDefault="00BB04FF" w:rsidP="00BE7ECE">
      <w:pPr>
        <w:pStyle w:val="BodyText1"/>
        <w:shd w:val="clear" w:color="auto" w:fill="auto"/>
        <w:spacing w:after="160"/>
        <w:ind w:right="-1" w:firstLine="0"/>
        <w:jc w:val="center"/>
        <w:rPr>
          <w:rFonts w:ascii="Sylfaen" w:hAnsi="Sylfaen" w:cs="Sylfaen"/>
          <w:sz w:val="24"/>
          <w:szCs w:val="24"/>
        </w:rPr>
      </w:pPr>
      <w:r w:rsidRPr="00CA27E3">
        <w:rPr>
          <w:rFonts w:ascii="Sylfaen" w:hAnsi="Sylfaen"/>
          <w:sz w:val="24"/>
          <w:szCs w:val="24"/>
        </w:rPr>
        <w:t>IV. Սառնարանային սարքերը շրջանառության մեջ դնելուց հետո փորձարկումների (չափումների) անցկացման ժամանակ դրանց էներգետիկ արդյունավետության պարամետրերի թույլատրելի շեղումները</w:t>
      </w:r>
    </w:p>
    <w:p w14:paraId="1AD1CD78" w14:textId="77777777" w:rsidR="00FD48C7" w:rsidRPr="00CA27E3" w:rsidRDefault="00060D28" w:rsidP="00BE7ECE">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8.</w:t>
      </w:r>
      <w:r w:rsidR="00BE7ECE" w:rsidRPr="00BE7ECE">
        <w:rPr>
          <w:rFonts w:ascii="Sylfaen" w:hAnsi="Sylfaen"/>
          <w:sz w:val="24"/>
          <w:szCs w:val="24"/>
        </w:rPr>
        <w:tab/>
      </w:r>
      <w:r w:rsidRPr="00CA27E3">
        <w:rPr>
          <w:rFonts w:ascii="Sylfaen" w:hAnsi="Sylfaen"/>
          <w:sz w:val="24"/>
          <w:szCs w:val="24"/>
        </w:rPr>
        <w:t>Սառնարանային սարքերը Միության մաքսային տարածքում շրջանառության մեջ դնելուց հետո անցկացվում են սառնարանային սարքի յուրաքանչյուր մոդելի մեկ նմուշի փորձարկումներ (չափումներ):</w:t>
      </w:r>
    </w:p>
    <w:p w14:paraId="7DC4343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Սառնարանային սարքի նմուշը համարվում է սույն պահանջներին համապատասխանող, եթե սառնարանային սարքի պարամետրերի </w:t>
      </w:r>
      <w:r w:rsidR="00CA27E3">
        <w:rPr>
          <w:rFonts w:ascii="Sylfaen" w:hAnsi="Sylfaen"/>
          <w:sz w:val="24"/>
          <w:szCs w:val="24"/>
        </w:rPr>
        <w:t>եւ</w:t>
      </w:r>
      <w:r w:rsidRPr="00CA27E3">
        <w:rPr>
          <w:rFonts w:ascii="Sylfaen" w:hAnsi="Sylfaen"/>
          <w:sz w:val="24"/>
          <w:szCs w:val="24"/>
        </w:rPr>
        <w:t xml:space="preserve"> բնութագրերի ստացված արժեքները համապատասխանում են սույն պահանջների III բաժնին </w:t>
      </w:r>
      <w:r w:rsidR="00CA27E3">
        <w:rPr>
          <w:rFonts w:ascii="Sylfaen" w:hAnsi="Sylfaen"/>
          <w:sz w:val="24"/>
          <w:szCs w:val="24"/>
        </w:rPr>
        <w:t>եւ</w:t>
      </w:r>
      <w:r w:rsidRPr="00CA27E3">
        <w:rPr>
          <w:rFonts w:ascii="Sylfaen" w:hAnsi="Sylfaen"/>
          <w:sz w:val="24"/>
          <w:szCs w:val="24"/>
        </w:rPr>
        <w:t xml:space="preserve"> արտադրողի կողմից հայտագրված անվանական արժեքներին՝ 3-րդ աղյուսակում նշված թույլատրելի շեղումների սահմաններում:</w:t>
      </w:r>
    </w:p>
    <w:p w14:paraId="6B13B742" w14:textId="77777777" w:rsidR="00D70EFB" w:rsidRPr="00CA27E3" w:rsidRDefault="00D70EFB" w:rsidP="00CA27E3">
      <w:pPr>
        <w:pStyle w:val="Tablecaption0"/>
        <w:shd w:val="clear" w:color="auto" w:fill="auto"/>
        <w:spacing w:after="160" w:line="360" w:lineRule="auto"/>
        <w:rPr>
          <w:rFonts w:ascii="Sylfaen" w:hAnsi="Sylfaen" w:cs="Sylfaen"/>
          <w:sz w:val="24"/>
          <w:szCs w:val="24"/>
        </w:rPr>
      </w:pPr>
    </w:p>
    <w:p w14:paraId="6E6A4F4B" w14:textId="77777777" w:rsidR="00FD48C7" w:rsidRPr="00CA27E3" w:rsidRDefault="00BB04FF" w:rsidP="00CA27E3">
      <w:pPr>
        <w:pStyle w:val="Tablecaption0"/>
        <w:shd w:val="clear" w:color="auto" w:fill="auto"/>
        <w:spacing w:after="160" w:line="360" w:lineRule="auto"/>
        <w:rPr>
          <w:rFonts w:ascii="Sylfaen" w:hAnsi="Sylfaen" w:cs="Sylfaen"/>
          <w:sz w:val="24"/>
          <w:szCs w:val="24"/>
        </w:rPr>
      </w:pPr>
      <w:r w:rsidRPr="00CA27E3">
        <w:rPr>
          <w:rFonts w:ascii="Sylfaen" w:hAnsi="Sylfaen"/>
          <w:sz w:val="24"/>
          <w:szCs w:val="24"/>
        </w:rPr>
        <w:lastRenderedPageBreak/>
        <w:t>Աղյուսակ 3</w:t>
      </w:r>
    </w:p>
    <w:p w14:paraId="7F70D4DF" w14:textId="77777777" w:rsidR="00FD48C7" w:rsidRPr="00CA27E3" w:rsidRDefault="00BB04FF" w:rsidP="00CA27E3">
      <w:pPr>
        <w:pStyle w:val="BodyText1"/>
        <w:shd w:val="clear" w:color="auto" w:fill="auto"/>
        <w:spacing w:after="160"/>
        <w:ind w:left="142" w:right="142" w:firstLine="0"/>
        <w:jc w:val="center"/>
        <w:rPr>
          <w:rFonts w:ascii="Sylfaen" w:hAnsi="Sylfaen" w:cs="Sylfaen"/>
          <w:sz w:val="24"/>
          <w:szCs w:val="24"/>
        </w:rPr>
      </w:pPr>
      <w:r w:rsidRPr="00CA27E3">
        <w:rPr>
          <w:rFonts w:ascii="Sylfaen" w:hAnsi="Sylfaen"/>
          <w:sz w:val="24"/>
          <w:szCs w:val="24"/>
        </w:rPr>
        <w:t>Թույլատրելի շեղումները</w:t>
      </w:r>
    </w:p>
    <w:tbl>
      <w:tblPr>
        <w:tblOverlap w:val="never"/>
        <w:tblW w:w="9653" w:type="dxa"/>
        <w:tblLayout w:type="fixed"/>
        <w:tblCellMar>
          <w:left w:w="10" w:type="dxa"/>
          <w:right w:w="10" w:type="dxa"/>
        </w:tblCellMar>
        <w:tblLook w:val="0000" w:firstRow="0" w:lastRow="0" w:firstColumn="0" w:lastColumn="0" w:noHBand="0" w:noVBand="0"/>
      </w:tblPr>
      <w:tblGrid>
        <w:gridCol w:w="2981"/>
        <w:gridCol w:w="6672"/>
      </w:tblGrid>
      <w:tr w:rsidR="00CA27E3" w:rsidRPr="00CA27E3" w14:paraId="529AC4FD" w14:textId="77777777" w:rsidTr="00D70EFB">
        <w:tc>
          <w:tcPr>
            <w:tcW w:w="2981" w:type="dxa"/>
            <w:tcBorders>
              <w:top w:val="single" w:sz="4" w:space="0" w:color="auto"/>
              <w:left w:val="single" w:sz="4" w:space="0" w:color="auto"/>
            </w:tcBorders>
            <w:shd w:val="clear" w:color="auto" w:fill="FFFFFF"/>
            <w:vAlign w:val="center"/>
          </w:tcPr>
          <w:p w14:paraId="26A36D1E" w14:textId="77777777" w:rsidR="00FD48C7" w:rsidRPr="00CA27E3" w:rsidRDefault="00BB04FF" w:rsidP="00B83AD7">
            <w:pPr>
              <w:pStyle w:val="Other0"/>
              <w:shd w:val="clear" w:color="auto" w:fill="auto"/>
              <w:spacing w:after="120"/>
              <w:ind w:left="56" w:right="142"/>
              <w:rPr>
                <w:rFonts w:ascii="Sylfaen" w:hAnsi="Sylfaen" w:cs="Sylfaen"/>
                <w:sz w:val="20"/>
                <w:szCs w:val="20"/>
              </w:rPr>
            </w:pPr>
            <w:r w:rsidRPr="00CA27E3">
              <w:rPr>
                <w:rFonts w:ascii="Sylfaen" w:hAnsi="Sylfaen"/>
                <w:sz w:val="20"/>
                <w:szCs w:val="20"/>
              </w:rPr>
              <w:t>Չափվող պարամետրը</w:t>
            </w:r>
          </w:p>
        </w:tc>
        <w:tc>
          <w:tcPr>
            <w:tcW w:w="6672" w:type="dxa"/>
            <w:tcBorders>
              <w:top w:val="single" w:sz="4" w:space="0" w:color="auto"/>
              <w:left w:val="single" w:sz="4" w:space="0" w:color="auto"/>
              <w:right w:val="single" w:sz="4" w:space="0" w:color="auto"/>
            </w:tcBorders>
            <w:shd w:val="clear" w:color="auto" w:fill="FFFFFF"/>
            <w:vAlign w:val="center"/>
          </w:tcPr>
          <w:p w14:paraId="669DE659" w14:textId="77777777" w:rsidR="00FD48C7" w:rsidRPr="00CA27E3" w:rsidRDefault="00BB04FF" w:rsidP="00B83AD7">
            <w:pPr>
              <w:pStyle w:val="Other0"/>
              <w:shd w:val="clear" w:color="auto" w:fill="auto"/>
              <w:spacing w:after="120"/>
              <w:ind w:left="56" w:right="142"/>
              <w:rPr>
                <w:rFonts w:ascii="Sylfaen" w:hAnsi="Sylfaen" w:cs="Sylfaen"/>
                <w:sz w:val="20"/>
                <w:szCs w:val="20"/>
              </w:rPr>
            </w:pPr>
            <w:r w:rsidRPr="00CA27E3">
              <w:rPr>
                <w:rFonts w:ascii="Sylfaen" w:hAnsi="Sylfaen"/>
                <w:sz w:val="20"/>
                <w:szCs w:val="20"/>
              </w:rPr>
              <w:t>Թույլատրելի շեղումը*</w:t>
            </w:r>
          </w:p>
        </w:tc>
      </w:tr>
      <w:tr w:rsidR="00CA27E3" w:rsidRPr="00CA27E3" w14:paraId="5229D4E9" w14:textId="77777777" w:rsidTr="00D70EFB">
        <w:tc>
          <w:tcPr>
            <w:tcW w:w="2981" w:type="dxa"/>
            <w:tcBorders>
              <w:top w:val="single" w:sz="4" w:space="0" w:color="auto"/>
              <w:left w:val="single" w:sz="4" w:space="0" w:color="auto"/>
            </w:tcBorders>
            <w:shd w:val="clear" w:color="auto" w:fill="FFFFFF"/>
            <w:vAlign w:val="center"/>
          </w:tcPr>
          <w:p w14:paraId="168403E4" w14:textId="77777777" w:rsidR="00FD48C7" w:rsidRPr="00CA27E3" w:rsidRDefault="00BB04FF" w:rsidP="00B83AD7">
            <w:pPr>
              <w:pStyle w:val="Other0"/>
              <w:shd w:val="clear" w:color="auto" w:fill="auto"/>
              <w:spacing w:after="120"/>
              <w:ind w:left="70" w:right="142"/>
              <w:jc w:val="left"/>
              <w:rPr>
                <w:rFonts w:ascii="Sylfaen" w:hAnsi="Sylfaen" w:cs="Sylfaen"/>
                <w:sz w:val="20"/>
                <w:szCs w:val="20"/>
              </w:rPr>
            </w:pPr>
            <w:r w:rsidRPr="00CA27E3">
              <w:rPr>
                <w:rFonts w:ascii="Sylfaen" w:hAnsi="Sylfaen"/>
                <w:sz w:val="20"/>
                <w:szCs w:val="20"/>
              </w:rPr>
              <w:t>Ընդհանուր բրուտտո ծավալը</w:t>
            </w:r>
          </w:p>
        </w:tc>
        <w:tc>
          <w:tcPr>
            <w:tcW w:w="6672" w:type="dxa"/>
            <w:tcBorders>
              <w:top w:val="single" w:sz="4" w:space="0" w:color="auto"/>
              <w:left w:val="single" w:sz="4" w:space="0" w:color="auto"/>
              <w:right w:val="single" w:sz="4" w:space="0" w:color="auto"/>
            </w:tcBorders>
            <w:shd w:val="clear" w:color="auto" w:fill="FFFFFF"/>
            <w:vAlign w:val="center"/>
          </w:tcPr>
          <w:p w14:paraId="6195FD78" w14:textId="77777777" w:rsidR="00FD48C7" w:rsidRPr="00CA27E3" w:rsidRDefault="00BB04FF" w:rsidP="00B83AD7">
            <w:pPr>
              <w:pStyle w:val="Other0"/>
              <w:shd w:val="clear" w:color="auto" w:fill="auto"/>
              <w:spacing w:after="120"/>
              <w:ind w:left="70" w:right="142"/>
              <w:jc w:val="both"/>
              <w:rPr>
                <w:rFonts w:ascii="Sylfaen" w:hAnsi="Sylfaen" w:cs="Sylfaen"/>
                <w:sz w:val="20"/>
                <w:szCs w:val="20"/>
              </w:rPr>
            </w:pPr>
            <w:r w:rsidRPr="00B83AD7">
              <w:rPr>
                <w:rFonts w:ascii="Sylfaen" w:hAnsi="Sylfaen"/>
                <w:spacing w:val="6"/>
                <w:sz w:val="20"/>
                <w:szCs w:val="20"/>
              </w:rPr>
              <w:t>արժեքը չպետք է պակաս լինի անվանական արժեքից ավել</w:t>
            </w:r>
            <w:r w:rsidR="009B275C" w:rsidRPr="00B83AD7">
              <w:rPr>
                <w:rFonts w:ascii="Sylfaen" w:hAnsi="Sylfaen"/>
                <w:spacing w:val="6"/>
                <w:sz w:val="20"/>
                <w:szCs w:val="20"/>
              </w:rPr>
              <w:t>ի</w:t>
            </w:r>
            <w:r w:rsidRPr="00B83AD7">
              <w:rPr>
                <w:rFonts w:ascii="Sylfaen" w:hAnsi="Sylfaen"/>
                <w:spacing w:val="6"/>
                <w:sz w:val="20"/>
                <w:szCs w:val="20"/>
              </w:rPr>
              <w:t xml:space="preserve"> քան 3</w:t>
            </w:r>
            <w:r w:rsidR="00B83AD7" w:rsidRPr="00B83AD7">
              <w:rPr>
                <w:rFonts w:ascii="Sylfaen" w:hAnsi="Sylfaen"/>
                <w:spacing w:val="6"/>
                <w:sz w:val="20"/>
                <w:szCs w:val="20"/>
              </w:rPr>
              <w:t> </w:t>
            </w:r>
            <w:r w:rsidRPr="00B83AD7">
              <w:rPr>
                <w:rFonts w:ascii="Sylfaen" w:hAnsi="Sylfaen"/>
                <w:spacing w:val="6"/>
                <w:sz w:val="20"/>
                <w:szCs w:val="20"/>
              </w:rPr>
              <w:t xml:space="preserve">%-ով կամ կամ 1 լ-ով՝ կախված </w:t>
            </w:r>
            <w:r w:rsidR="009B275C" w:rsidRPr="00B83AD7">
              <w:rPr>
                <w:rFonts w:ascii="Sylfaen" w:hAnsi="Sylfaen"/>
                <w:spacing w:val="6"/>
                <w:sz w:val="20"/>
                <w:szCs w:val="20"/>
              </w:rPr>
              <w:t>այն բանից</w:t>
            </w:r>
            <w:r w:rsidRPr="00B83AD7">
              <w:rPr>
                <w:rFonts w:ascii="Sylfaen" w:hAnsi="Sylfaen"/>
                <w:spacing w:val="6"/>
                <w:sz w:val="20"/>
                <w:szCs w:val="20"/>
              </w:rPr>
              <w:t>, թե այդ մեծություններից որն է ավելի</w:t>
            </w:r>
            <w:r w:rsidRPr="00CA27E3">
              <w:rPr>
                <w:rFonts w:ascii="Sylfaen" w:hAnsi="Sylfaen"/>
                <w:sz w:val="20"/>
                <w:szCs w:val="20"/>
              </w:rPr>
              <w:t xml:space="preserve"> մեծ </w:t>
            </w:r>
          </w:p>
        </w:tc>
      </w:tr>
      <w:tr w:rsidR="00CA27E3" w:rsidRPr="00CA27E3" w14:paraId="14AFA89A" w14:textId="77777777" w:rsidTr="00D70EFB">
        <w:tc>
          <w:tcPr>
            <w:tcW w:w="2981" w:type="dxa"/>
            <w:tcBorders>
              <w:top w:val="single" w:sz="4" w:space="0" w:color="auto"/>
              <w:left w:val="single" w:sz="4" w:space="0" w:color="auto"/>
              <w:bottom w:val="single" w:sz="4" w:space="0" w:color="auto"/>
            </w:tcBorders>
            <w:shd w:val="clear" w:color="auto" w:fill="FFFFFF"/>
            <w:vAlign w:val="center"/>
          </w:tcPr>
          <w:p w14:paraId="29D9D333" w14:textId="77777777" w:rsidR="00FD48C7" w:rsidRPr="00CA27E3" w:rsidRDefault="00BB04FF" w:rsidP="00B83AD7">
            <w:pPr>
              <w:pStyle w:val="Other0"/>
              <w:shd w:val="clear" w:color="auto" w:fill="auto"/>
              <w:spacing w:after="120"/>
              <w:ind w:left="70" w:right="142"/>
              <w:jc w:val="left"/>
              <w:rPr>
                <w:rFonts w:ascii="Sylfaen" w:hAnsi="Sylfaen" w:cs="Sylfaen"/>
                <w:sz w:val="20"/>
                <w:szCs w:val="20"/>
              </w:rPr>
            </w:pPr>
            <w:r w:rsidRPr="00CA27E3">
              <w:rPr>
                <w:rFonts w:ascii="Sylfaen" w:hAnsi="Sylfaen"/>
                <w:sz w:val="20"/>
                <w:szCs w:val="20"/>
              </w:rPr>
              <w:t>Օգտակար ծավալը</w:t>
            </w:r>
          </w:p>
        </w:tc>
        <w:tc>
          <w:tcPr>
            <w:tcW w:w="6672" w:type="dxa"/>
            <w:tcBorders>
              <w:top w:val="single" w:sz="4" w:space="0" w:color="auto"/>
              <w:left w:val="single" w:sz="4" w:space="0" w:color="auto"/>
              <w:bottom w:val="single" w:sz="4" w:space="0" w:color="auto"/>
              <w:right w:val="single" w:sz="4" w:space="0" w:color="auto"/>
            </w:tcBorders>
            <w:shd w:val="clear" w:color="auto" w:fill="FFFFFF"/>
            <w:vAlign w:val="bottom"/>
          </w:tcPr>
          <w:p w14:paraId="24881C3A" w14:textId="77777777" w:rsidR="00FD48C7" w:rsidRPr="00CA27E3" w:rsidRDefault="00BB04FF" w:rsidP="00B83AD7">
            <w:pPr>
              <w:pStyle w:val="Other0"/>
              <w:shd w:val="clear" w:color="auto" w:fill="auto"/>
              <w:spacing w:after="120"/>
              <w:ind w:left="70" w:right="142"/>
              <w:jc w:val="both"/>
              <w:rPr>
                <w:rFonts w:ascii="Sylfaen" w:hAnsi="Sylfaen" w:cs="Sylfaen"/>
                <w:sz w:val="20"/>
                <w:szCs w:val="20"/>
              </w:rPr>
            </w:pPr>
            <w:r w:rsidRPr="00BE7ECE">
              <w:rPr>
                <w:rFonts w:ascii="Sylfaen" w:hAnsi="Sylfaen"/>
                <w:spacing w:val="6"/>
                <w:sz w:val="20"/>
                <w:szCs w:val="20"/>
              </w:rPr>
              <w:t>արժեքը չպետք է պակաս լինի անվանական արժեքից ավել</w:t>
            </w:r>
            <w:r w:rsidR="009B275C" w:rsidRPr="00BE7ECE">
              <w:rPr>
                <w:rFonts w:ascii="Sylfaen" w:hAnsi="Sylfaen"/>
                <w:spacing w:val="6"/>
                <w:sz w:val="20"/>
                <w:szCs w:val="20"/>
              </w:rPr>
              <w:t>ի</w:t>
            </w:r>
            <w:r w:rsidRPr="00BE7ECE">
              <w:rPr>
                <w:rFonts w:ascii="Sylfaen" w:hAnsi="Sylfaen"/>
                <w:spacing w:val="6"/>
                <w:sz w:val="20"/>
                <w:szCs w:val="20"/>
              </w:rPr>
              <w:t xml:space="preserve"> քան 3</w:t>
            </w:r>
            <w:r w:rsidR="00BE7ECE" w:rsidRPr="00BE7ECE">
              <w:rPr>
                <w:rFonts w:ascii="Sylfaen" w:hAnsi="Sylfaen"/>
                <w:spacing w:val="6"/>
                <w:sz w:val="20"/>
                <w:szCs w:val="20"/>
              </w:rPr>
              <w:t> </w:t>
            </w:r>
            <w:r w:rsidRPr="00BE7ECE">
              <w:rPr>
                <w:rFonts w:ascii="Sylfaen" w:hAnsi="Sylfaen"/>
                <w:spacing w:val="6"/>
                <w:sz w:val="20"/>
                <w:szCs w:val="20"/>
              </w:rPr>
              <w:t>%-ով կամ կամ</w:t>
            </w:r>
            <w:r w:rsidRPr="00CA27E3">
              <w:rPr>
                <w:rFonts w:ascii="Sylfaen" w:hAnsi="Sylfaen"/>
                <w:sz w:val="20"/>
                <w:szCs w:val="20"/>
              </w:rPr>
              <w:t xml:space="preserve"> 1 լ-ով՝ կախված </w:t>
            </w:r>
            <w:r w:rsidR="009B275C" w:rsidRPr="00CA27E3">
              <w:rPr>
                <w:rFonts w:ascii="Sylfaen" w:hAnsi="Sylfaen"/>
                <w:sz w:val="20"/>
                <w:szCs w:val="20"/>
              </w:rPr>
              <w:t>այն բանից</w:t>
            </w:r>
            <w:r w:rsidRPr="00CA27E3">
              <w:rPr>
                <w:rFonts w:ascii="Sylfaen" w:hAnsi="Sylfaen"/>
                <w:sz w:val="20"/>
                <w:szCs w:val="20"/>
              </w:rPr>
              <w:t>, թե այդ մեծություններից որն է ավելի մեծ (եթե օգտագործողը կարող է</w:t>
            </w:r>
            <w:r w:rsidR="00CA27E3" w:rsidRPr="00CA27E3">
              <w:rPr>
                <w:rFonts w:ascii="Sylfaen" w:hAnsi="Sylfaen"/>
                <w:sz w:val="20"/>
                <w:szCs w:val="20"/>
              </w:rPr>
              <w:t xml:space="preserve"> </w:t>
            </w:r>
            <w:r w:rsidRPr="00CA27E3">
              <w:rPr>
                <w:rFonts w:ascii="Sylfaen" w:hAnsi="Sylfaen"/>
                <w:sz w:val="20"/>
                <w:szCs w:val="20"/>
              </w:rPr>
              <w:t xml:space="preserve">չափավոր ջերմաստիճանով բաժանմունքի եւ թարմ սննդամթերքի պահման համար նախատեսված բաժանմունքի ծավալները միմյանց նկատմամբ փոփոխել, ապա չափումներն անցկացվում են այնպիսի </w:t>
            </w:r>
            <w:r w:rsidR="00174DE9" w:rsidRPr="00CA27E3">
              <w:rPr>
                <w:rFonts w:ascii="Sylfaen" w:hAnsi="Sylfaen"/>
                <w:sz w:val="20"/>
                <w:szCs w:val="20"/>
              </w:rPr>
              <w:t>փոխդասավորությամբ</w:t>
            </w:r>
            <w:r w:rsidRPr="00CA27E3">
              <w:rPr>
                <w:rFonts w:ascii="Sylfaen" w:hAnsi="Sylfaen"/>
                <w:sz w:val="20"/>
                <w:szCs w:val="20"/>
              </w:rPr>
              <w:t>, որի դեպքում չափավոր ջերմաստիճանով բաժանմունքը կարգավորված է մինչեւ նվազագույն ծավալը)</w:t>
            </w:r>
          </w:p>
        </w:tc>
      </w:tr>
      <w:tr w:rsidR="00CA27E3" w:rsidRPr="00CA27E3" w14:paraId="3C9CFF6C" w14:textId="77777777" w:rsidTr="00D70EFB">
        <w:tc>
          <w:tcPr>
            <w:tcW w:w="2981" w:type="dxa"/>
            <w:tcBorders>
              <w:top w:val="single" w:sz="4" w:space="0" w:color="auto"/>
              <w:left w:val="single" w:sz="4" w:space="0" w:color="auto"/>
            </w:tcBorders>
            <w:shd w:val="clear" w:color="auto" w:fill="FFFFFF"/>
            <w:vAlign w:val="center"/>
          </w:tcPr>
          <w:p w14:paraId="31E3D305" w14:textId="77777777" w:rsidR="00FD48C7" w:rsidRPr="00CA27E3" w:rsidRDefault="00BB04FF" w:rsidP="00B83AD7">
            <w:pPr>
              <w:pStyle w:val="Other0"/>
              <w:shd w:val="clear" w:color="auto" w:fill="auto"/>
              <w:spacing w:after="120"/>
              <w:ind w:left="70" w:right="63"/>
              <w:jc w:val="left"/>
              <w:rPr>
                <w:rFonts w:ascii="Sylfaen" w:hAnsi="Sylfaen" w:cs="Sylfaen"/>
                <w:sz w:val="20"/>
                <w:szCs w:val="20"/>
              </w:rPr>
            </w:pPr>
            <w:r w:rsidRPr="00CA27E3">
              <w:rPr>
                <w:rFonts w:ascii="Sylfaen" w:hAnsi="Sylfaen"/>
                <w:sz w:val="20"/>
                <w:szCs w:val="20"/>
              </w:rPr>
              <w:t>Սառեցման կարողությունը</w:t>
            </w:r>
          </w:p>
        </w:tc>
        <w:tc>
          <w:tcPr>
            <w:tcW w:w="6672" w:type="dxa"/>
            <w:tcBorders>
              <w:top w:val="single" w:sz="4" w:space="0" w:color="auto"/>
              <w:left w:val="single" w:sz="4" w:space="0" w:color="auto"/>
              <w:right w:val="single" w:sz="4" w:space="0" w:color="auto"/>
            </w:tcBorders>
            <w:shd w:val="clear" w:color="auto" w:fill="FFFFFF"/>
            <w:vAlign w:val="center"/>
          </w:tcPr>
          <w:p w14:paraId="0C232DB4" w14:textId="77777777" w:rsidR="00FD48C7" w:rsidRPr="00BE7ECE" w:rsidRDefault="00BB04FF" w:rsidP="00B83AD7">
            <w:pPr>
              <w:pStyle w:val="Other0"/>
              <w:shd w:val="clear" w:color="auto" w:fill="auto"/>
              <w:spacing w:after="120"/>
              <w:ind w:left="70" w:right="142"/>
              <w:jc w:val="both"/>
              <w:rPr>
                <w:rFonts w:ascii="Sylfaen" w:hAnsi="Sylfaen" w:cs="Sylfaen"/>
                <w:spacing w:val="-6"/>
                <w:sz w:val="20"/>
                <w:szCs w:val="20"/>
              </w:rPr>
            </w:pPr>
            <w:r w:rsidRPr="00BE7ECE">
              <w:rPr>
                <w:rFonts w:ascii="Sylfaen" w:hAnsi="Sylfaen"/>
                <w:spacing w:val="-6"/>
                <w:sz w:val="20"/>
                <w:szCs w:val="20"/>
              </w:rPr>
              <w:t>արժեքը չպետք է պակաս լինի անվանական արժեքից ավելի քան 10 %-ով</w:t>
            </w:r>
          </w:p>
        </w:tc>
      </w:tr>
      <w:tr w:rsidR="00CA27E3" w:rsidRPr="00CA27E3" w14:paraId="542AD792" w14:textId="77777777" w:rsidTr="00D70EFB">
        <w:tc>
          <w:tcPr>
            <w:tcW w:w="2981" w:type="dxa"/>
            <w:tcBorders>
              <w:top w:val="single" w:sz="4" w:space="0" w:color="auto"/>
              <w:left w:val="single" w:sz="4" w:space="0" w:color="auto"/>
            </w:tcBorders>
            <w:shd w:val="clear" w:color="auto" w:fill="FFFFFF"/>
            <w:vAlign w:val="center"/>
          </w:tcPr>
          <w:p w14:paraId="6DFFB271" w14:textId="77777777" w:rsidR="00FD48C7" w:rsidRPr="00CA27E3" w:rsidRDefault="00BB04FF" w:rsidP="00B83AD7">
            <w:pPr>
              <w:pStyle w:val="Other0"/>
              <w:shd w:val="clear" w:color="auto" w:fill="auto"/>
              <w:spacing w:after="120"/>
              <w:ind w:left="70" w:right="63"/>
              <w:jc w:val="left"/>
              <w:rPr>
                <w:rFonts w:ascii="Sylfaen" w:hAnsi="Sylfaen" w:cs="Sylfaen"/>
                <w:sz w:val="20"/>
                <w:szCs w:val="20"/>
              </w:rPr>
            </w:pPr>
            <w:r w:rsidRPr="00CA27E3">
              <w:rPr>
                <w:rFonts w:ascii="Sylfaen" w:hAnsi="Sylfaen"/>
                <w:sz w:val="20"/>
                <w:szCs w:val="20"/>
              </w:rPr>
              <w:t>Էներգիայի սպառումը (E</w:t>
            </w:r>
            <w:r w:rsidRPr="00CA27E3">
              <w:rPr>
                <w:rFonts w:ascii="Sylfaen" w:hAnsi="Sylfaen"/>
                <w:sz w:val="20"/>
                <w:szCs w:val="20"/>
                <w:vertAlign w:val="subscript"/>
              </w:rPr>
              <w:t>24h</w:t>
            </w:r>
            <w:r w:rsidRPr="00CA27E3">
              <w:rPr>
                <w:rFonts w:ascii="Sylfaen" w:hAnsi="Sylfaen"/>
                <w:sz w:val="20"/>
                <w:szCs w:val="20"/>
              </w:rPr>
              <w:t>)</w:t>
            </w:r>
          </w:p>
        </w:tc>
        <w:tc>
          <w:tcPr>
            <w:tcW w:w="6672" w:type="dxa"/>
            <w:tcBorders>
              <w:top w:val="single" w:sz="4" w:space="0" w:color="auto"/>
              <w:left w:val="single" w:sz="4" w:space="0" w:color="auto"/>
              <w:right w:val="single" w:sz="4" w:space="0" w:color="auto"/>
            </w:tcBorders>
            <w:shd w:val="clear" w:color="auto" w:fill="FFFFFF"/>
            <w:vAlign w:val="center"/>
          </w:tcPr>
          <w:p w14:paraId="056D7B96" w14:textId="77777777" w:rsidR="00FD48C7" w:rsidRPr="00CA27E3" w:rsidRDefault="00BB04FF" w:rsidP="00B83AD7">
            <w:pPr>
              <w:pStyle w:val="Other0"/>
              <w:shd w:val="clear" w:color="auto" w:fill="auto"/>
              <w:spacing w:after="120"/>
              <w:ind w:left="70" w:right="142"/>
              <w:jc w:val="both"/>
              <w:rPr>
                <w:rFonts w:ascii="Sylfaen" w:hAnsi="Sylfaen" w:cs="Sylfaen"/>
                <w:sz w:val="20"/>
                <w:szCs w:val="20"/>
              </w:rPr>
            </w:pPr>
            <w:r w:rsidRPr="00CA27E3">
              <w:rPr>
                <w:rFonts w:ascii="Sylfaen" w:hAnsi="Sylfaen"/>
                <w:sz w:val="20"/>
                <w:szCs w:val="20"/>
              </w:rPr>
              <w:t>արժեքը չպետք է գերազանցի E</w:t>
            </w:r>
            <w:r w:rsidRPr="00CA27E3">
              <w:rPr>
                <w:rFonts w:ascii="Sylfaen" w:hAnsi="Sylfaen"/>
                <w:sz w:val="20"/>
                <w:szCs w:val="20"/>
                <w:vertAlign w:val="subscript"/>
              </w:rPr>
              <w:t>24h</w:t>
            </w:r>
            <w:r w:rsidRPr="00CA27E3">
              <w:rPr>
                <w:rFonts w:ascii="Sylfaen" w:hAnsi="Sylfaen"/>
                <w:sz w:val="20"/>
                <w:szCs w:val="20"/>
              </w:rPr>
              <w:t xml:space="preserve"> անվանական արժեքն ավելի քան 10</w:t>
            </w:r>
            <w:r w:rsidR="00BE7ECE" w:rsidRPr="00BE7ECE">
              <w:rPr>
                <w:rFonts w:ascii="Sylfaen" w:hAnsi="Sylfaen"/>
                <w:sz w:val="20"/>
                <w:szCs w:val="20"/>
              </w:rPr>
              <w:t> </w:t>
            </w:r>
            <w:r w:rsidRPr="00CA27E3">
              <w:rPr>
                <w:rFonts w:ascii="Sylfaen" w:hAnsi="Sylfaen"/>
                <w:sz w:val="20"/>
                <w:szCs w:val="20"/>
              </w:rPr>
              <w:t>%-ով</w:t>
            </w:r>
          </w:p>
        </w:tc>
      </w:tr>
      <w:tr w:rsidR="00CA27E3" w:rsidRPr="00CA27E3" w14:paraId="4A96BDD8" w14:textId="77777777" w:rsidTr="00D70EFB">
        <w:tc>
          <w:tcPr>
            <w:tcW w:w="2981" w:type="dxa"/>
            <w:tcBorders>
              <w:top w:val="single" w:sz="4" w:space="0" w:color="auto"/>
              <w:left w:val="single" w:sz="4" w:space="0" w:color="auto"/>
            </w:tcBorders>
            <w:shd w:val="clear" w:color="auto" w:fill="FFFFFF"/>
            <w:vAlign w:val="center"/>
          </w:tcPr>
          <w:p w14:paraId="0A9CF115" w14:textId="77777777" w:rsidR="00FD48C7" w:rsidRPr="00CA27E3" w:rsidRDefault="00BB04FF" w:rsidP="00B83AD7">
            <w:pPr>
              <w:pStyle w:val="Other0"/>
              <w:shd w:val="clear" w:color="auto" w:fill="auto"/>
              <w:spacing w:after="120"/>
              <w:ind w:left="70" w:right="63"/>
              <w:jc w:val="left"/>
              <w:rPr>
                <w:rFonts w:ascii="Sylfaen" w:hAnsi="Sylfaen" w:cs="Sylfaen"/>
                <w:sz w:val="20"/>
                <w:szCs w:val="20"/>
              </w:rPr>
            </w:pPr>
            <w:r w:rsidRPr="00CA27E3">
              <w:rPr>
                <w:rFonts w:ascii="Sylfaen" w:hAnsi="Sylfaen"/>
                <w:sz w:val="20"/>
                <w:szCs w:val="20"/>
              </w:rPr>
              <w:t xml:space="preserve">10 լ-ից պակաս օգտակար ծավալով կենցաղային սառնարանային սարքերի էներգիայի սպառումը </w:t>
            </w:r>
          </w:p>
        </w:tc>
        <w:tc>
          <w:tcPr>
            <w:tcW w:w="6672" w:type="dxa"/>
            <w:tcBorders>
              <w:top w:val="single" w:sz="4" w:space="0" w:color="auto"/>
              <w:left w:val="single" w:sz="4" w:space="0" w:color="auto"/>
              <w:right w:val="single" w:sz="4" w:space="0" w:color="auto"/>
            </w:tcBorders>
            <w:shd w:val="clear" w:color="auto" w:fill="FFFFFF"/>
            <w:vAlign w:val="center"/>
          </w:tcPr>
          <w:p w14:paraId="41D95B77" w14:textId="77777777" w:rsidR="00FD48C7" w:rsidRPr="00CA27E3" w:rsidRDefault="00BB04FF" w:rsidP="00B83AD7">
            <w:pPr>
              <w:pStyle w:val="Other0"/>
              <w:shd w:val="clear" w:color="auto" w:fill="auto"/>
              <w:spacing w:after="120"/>
              <w:ind w:left="70" w:right="142"/>
              <w:jc w:val="both"/>
              <w:rPr>
                <w:rFonts w:ascii="Sylfaen" w:hAnsi="Sylfaen" w:cs="Sylfaen"/>
                <w:sz w:val="20"/>
                <w:szCs w:val="20"/>
              </w:rPr>
            </w:pPr>
            <w:r w:rsidRPr="00CA27E3">
              <w:rPr>
                <w:rFonts w:ascii="Sylfaen" w:hAnsi="Sylfaen"/>
                <w:sz w:val="20"/>
                <w:szCs w:val="20"/>
              </w:rPr>
              <w:t>արժեքը չպետք է գերազանցի սույն պահանջների 5-րդ կետի չորրորդ պարբերությունում նշված սահմանային արժեքներն ավելի քան 0,10</w:t>
            </w:r>
            <w:r w:rsidR="00B83AD7" w:rsidRPr="00B83AD7">
              <w:rPr>
                <w:rFonts w:ascii="Sylfaen" w:hAnsi="Sylfaen"/>
                <w:sz w:val="20"/>
                <w:szCs w:val="20"/>
              </w:rPr>
              <w:t> </w:t>
            </w:r>
            <w:r w:rsidRPr="00CA27E3">
              <w:rPr>
                <w:rFonts w:ascii="Sylfaen" w:hAnsi="Sylfaen"/>
                <w:sz w:val="20"/>
                <w:szCs w:val="20"/>
              </w:rPr>
              <w:t>Վտ-ով՝ 95% հավաստիությամբ</w:t>
            </w:r>
          </w:p>
        </w:tc>
      </w:tr>
      <w:tr w:rsidR="00CA27E3" w:rsidRPr="00CA27E3" w14:paraId="068E1159" w14:textId="77777777" w:rsidTr="00D70EFB">
        <w:tc>
          <w:tcPr>
            <w:tcW w:w="2981" w:type="dxa"/>
            <w:tcBorders>
              <w:top w:val="single" w:sz="4" w:space="0" w:color="auto"/>
              <w:left w:val="single" w:sz="4" w:space="0" w:color="auto"/>
            </w:tcBorders>
            <w:shd w:val="clear" w:color="auto" w:fill="FFFFFF"/>
            <w:vAlign w:val="center"/>
          </w:tcPr>
          <w:p w14:paraId="13FDEA9A" w14:textId="77777777" w:rsidR="00FD48C7" w:rsidRPr="00CA27E3" w:rsidRDefault="00BB04FF" w:rsidP="00B83AD7">
            <w:pPr>
              <w:pStyle w:val="Other0"/>
              <w:shd w:val="clear" w:color="auto" w:fill="auto"/>
              <w:spacing w:after="120"/>
              <w:ind w:left="70" w:right="63"/>
              <w:jc w:val="left"/>
              <w:rPr>
                <w:rFonts w:ascii="Sylfaen" w:hAnsi="Sylfaen" w:cs="Sylfaen"/>
                <w:sz w:val="20"/>
                <w:szCs w:val="20"/>
              </w:rPr>
            </w:pPr>
            <w:r w:rsidRPr="00CA27E3">
              <w:rPr>
                <w:rFonts w:ascii="Sylfaen" w:hAnsi="Sylfaen"/>
                <w:sz w:val="20"/>
                <w:szCs w:val="20"/>
              </w:rPr>
              <w:t>Գինու պահարանում հարաբերական խոնավությունը</w:t>
            </w:r>
          </w:p>
        </w:tc>
        <w:tc>
          <w:tcPr>
            <w:tcW w:w="6672" w:type="dxa"/>
            <w:tcBorders>
              <w:top w:val="single" w:sz="4" w:space="0" w:color="auto"/>
              <w:left w:val="single" w:sz="4" w:space="0" w:color="auto"/>
              <w:right w:val="single" w:sz="4" w:space="0" w:color="auto"/>
            </w:tcBorders>
            <w:shd w:val="clear" w:color="auto" w:fill="FFFFFF"/>
            <w:vAlign w:val="center"/>
          </w:tcPr>
          <w:p w14:paraId="0F1DD557" w14:textId="77777777" w:rsidR="00FD48C7" w:rsidRPr="00CA27E3" w:rsidRDefault="00BB04FF" w:rsidP="00B83AD7">
            <w:pPr>
              <w:pStyle w:val="Other0"/>
              <w:shd w:val="clear" w:color="auto" w:fill="auto"/>
              <w:spacing w:after="120"/>
              <w:ind w:left="70" w:right="142"/>
              <w:jc w:val="both"/>
              <w:rPr>
                <w:rFonts w:ascii="Sylfaen" w:hAnsi="Sylfaen" w:cs="Sylfaen"/>
                <w:sz w:val="20"/>
                <w:szCs w:val="20"/>
              </w:rPr>
            </w:pPr>
            <w:r w:rsidRPr="00CA27E3">
              <w:rPr>
                <w:rFonts w:ascii="Sylfaen" w:hAnsi="Sylfaen"/>
                <w:sz w:val="20"/>
                <w:szCs w:val="20"/>
              </w:rPr>
              <w:t>արժեքը չպետք է գերազանցի անվանական արժեքն ավելի քան 10%-ով</w:t>
            </w:r>
          </w:p>
        </w:tc>
      </w:tr>
      <w:tr w:rsidR="00CA27E3" w:rsidRPr="00CA27E3" w14:paraId="07885AF4" w14:textId="77777777" w:rsidTr="00D70EFB">
        <w:tc>
          <w:tcPr>
            <w:tcW w:w="965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33C334A" w14:textId="77777777" w:rsidR="00FD48C7" w:rsidRPr="00CA27E3" w:rsidRDefault="00BB04FF" w:rsidP="00B83AD7">
            <w:pPr>
              <w:pStyle w:val="Other0"/>
              <w:shd w:val="clear" w:color="auto" w:fill="auto"/>
              <w:spacing w:after="160" w:line="360" w:lineRule="auto"/>
              <w:ind w:left="68" w:right="142"/>
              <w:rPr>
                <w:rFonts w:ascii="Sylfaen" w:hAnsi="Sylfaen" w:cs="Sylfaen"/>
                <w:sz w:val="20"/>
                <w:szCs w:val="20"/>
              </w:rPr>
            </w:pPr>
            <w:r w:rsidRPr="00CA27E3">
              <w:rPr>
                <w:rFonts w:ascii="Sylfaen" w:hAnsi="Sylfaen"/>
                <w:sz w:val="20"/>
                <w:szCs w:val="20"/>
              </w:rPr>
              <w:t>(*) «Անվանական արժեք» ասելով հասկանում ենք արտադրողի կողմից հայտագրված արժեքը</w:t>
            </w:r>
          </w:p>
        </w:tc>
      </w:tr>
    </w:tbl>
    <w:p w14:paraId="1515F78B"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Եթե սառնարանային սարքի նմուշի (օրինակի) պարամետրերի եւ բնութագրերի ստացված արժեքները չեն համապատասխանում արժեքներին՝ հաշվի առնելով 3-րդ աղյուսակում</w:t>
      </w:r>
      <w:r w:rsidR="004C3226" w:rsidRPr="00CA27E3">
        <w:rPr>
          <w:rFonts w:ascii="Sylfaen" w:hAnsi="Sylfaen"/>
          <w:sz w:val="24"/>
          <w:szCs w:val="24"/>
        </w:rPr>
        <w:t xml:space="preserve"> նշված</w:t>
      </w:r>
      <w:r w:rsidRPr="00CA27E3">
        <w:rPr>
          <w:rFonts w:ascii="Sylfaen" w:hAnsi="Sylfaen"/>
          <w:sz w:val="24"/>
          <w:szCs w:val="24"/>
        </w:rPr>
        <w:t xml:space="preserve"> թույլատրելի շեղումները, ապա փորձակումները հարկավոր է անցկացնել սառնարանային սարքի լրացուցիչ 3</w:t>
      </w:r>
      <w:r w:rsidR="00BE7ECE" w:rsidRPr="00BE7ECE">
        <w:rPr>
          <w:rFonts w:ascii="Sylfaen" w:hAnsi="Sylfaen"/>
          <w:sz w:val="24"/>
          <w:szCs w:val="24"/>
        </w:rPr>
        <w:t> </w:t>
      </w:r>
      <w:r w:rsidRPr="00CA27E3">
        <w:rPr>
          <w:rFonts w:ascii="Sylfaen" w:hAnsi="Sylfaen"/>
          <w:sz w:val="24"/>
          <w:szCs w:val="24"/>
        </w:rPr>
        <w:t xml:space="preserve">նմուշների նկատմամբ։ </w:t>
      </w:r>
    </w:p>
    <w:p w14:paraId="06C64C1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Սառնարանային սարքի </w:t>
      </w:r>
      <w:r w:rsidR="003D7C6D" w:rsidRPr="00CA27E3">
        <w:rPr>
          <w:rFonts w:ascii="Sylfaen" w:hAnsi="Sylfaen"/>
          <w:sz w:val="24"/>
          <w:szCs w:val="24"/>
        </w:rPr>
        <w:t>լ</w:t>
      </w:r>
      <w:r w:rsidRPr="00CA27E3">
        <w:rPr>
          <w:rFonts w:ascii="Sylfaen" w:hAnsi="Sylfaen"/>
          <w:sz w:val="24"/>
          <w:szCs w:val="24"/>
        </w:rPr>
        <w:t xml:space="preserve">րացուցիչ 3 նմուշների պարամետրերի եւ բնութագրերի միջին արժեքները պետք է համապատասխանեն 3-րդ աղյուսակում նշված արժեքներին։ </w:t>
      </w:r>
    </w:p>
    <w:p w14:paraId="0062CC5B" w14:textId="77777777" w:rsidR="00BE7ECE" w:rsidRDefault="00BB04FF" w:rsidP="00CA27E3">
      <w:pPr>
        <w:pStyle w:val="BodyText1"/>
        <w:shd w:val="clear" w:color="auto" w:fill="auto"/>
        <w:spacing w:after="160"/>
        <w:ind w:firstLine="567"/>
        <w:jc w:val="both"/>
        <w:rPr>
          <w:rFonts w:ascii="Sylfaen" w:hAnsi="Sylfaen"/>
          <w:sz w:val="24"/>
          <w:szCs w:val="24"/>
        </w:rPr>
        <w:sectPr w:rsidR="00BE7ECE" w:rsidSect="0027701C">
          <w:pgSz w:w="11907" w:h="16840" w:code="9"/>
          <w:pgMar w:top="1418" w:right="1418" w:bottom="1418" w:left="1418" w:header="0" w:footer="397" w:gutter="0"/>
          <w:cols w:space="720"/>
          <w:noEndnote/>
          <w:docGrid w:linePitch="360"/>
        </w:sectPr>
      </w:pPr>
      <w:r w:rsidRPr="00CA27E3">
        <w:rPr>
          <w:rFonts w:ascii="Sylfaen" w:hAnsi="Sylfaen"/>
          <w:sz w:val="24"/>
          <w:szCs w:val="24"/>
        </w:rPr>
        <w:t xml:space="preserve">Այլ դեպքերում սառնարանային սարքի տվյալ մոդելը </w:t>
      </w:r>
      <w:r w:rsidR="00CA27E3">
        <w:rPr>
          <w:rFonts w:ascii="Sylfaen" w:hAnsi="Sylfaen"/>
          <w:sz w:val="24"/>
          <w:szCs w:val="24"/>
        </w:rPr>
        <w:t>եւ</w:t>
      </w:r>
      <w:r w:rsidRPr="00CA27E3">
        <w:rPr>
          <w:rFonts w:ascii="Sylfaen" w:hAnsi="Sylfaen"/>
          <w:sz w:val="24"/>
          <w:szCs w:val="24"/>
        </w:rPr>
        <w:t xml:space="preserve"> այլ համարժեք սառնարանային սարքեր հարկավոր է դիտարկել որպես տեխնիկական կանոնակարգի պահանջներին չհամապատասխանող։</w:t>
      </w:r>
    </w:p>
    <w:p w14:paraId="69466E09" w14:textId="77777777" w:rsidR="00FD48C7" w:rsidRPr="00CA27E3" w:rsidRDefault="00BB04FF" w:rsidP="00B83AD7">
      <w:pPr>
        <w:pStyle w:val="BodyText1"/>
        <w:shd w:val="clear" w:color="auto" w:fill="auto"/>
        <w:spacing w:after="160"/>
        <w:ind w:left="3969" w:right="1" w:firstLine="0"/>
        <w:jc w:val="center"/>
        <w:rPr>
          <w:rFonts w:ascii="Sylfaen" w:hAnsi="Sylfaen" w:cs="Sylfaen"/>
          <w:sz w:val="24"/>
          <w:szCs w:val="24"/>
        </w:rPr>
      </w:pPr>
      <w:r w:rsidRPr="00CA27E3">
        <w:rPr>
          <w:rFonts w:ascii="Sylfaen" w:hAnsi="Sylfaen"/>
          <w:sz w:val="24"/>
          <w:szCs w:val="24"/>
        </w:rPr>
        <w:lastRenderedPageBreak/>
        <w:t>ՀԱՎԵԼՎԱԾ ԹԻՎ 3</w:t>
      </w:r>
    </w:p>
    <w:p w14:paraId="4DF84B34" w14:textId="77777777" w:rsidR="00FD48C7" w:rsidRPr="00CA27E3" w:rsidRDefault="00BB04FF" w:rsidP="00BF26A1">
      <w:pPr>
        <w:pStyle w:val="BodyText1"/>
        <w:shd w:val="clear" w:color="auto" w:fill="auto"/>
        <w:tabs>
          <w:tab w:val="left" w:pos="5529"/>
        </w:tabs>
        <w:spacing w:after="160"/>
        <w:ind w:left="3969" w:right="1" w:firstLine="0"/>
        <w:jc w:val="center"/>
        <w:rPr>
          <w:rFonts w:ascii="Sylfaen" w:hAnsi="Sylfaen" w:cs="Sylfaen"/>
          <w:sz w:val="24"/>
          <w:szCs w:val="24"/>
        </w:rPr>
      </w:pPr>
      <w:r w:rsidRPr="00CA27E3">
        <w:rPr>
          <w:rFonts w:ascii="Sylfaen" w:hAnsi="Sylfaen"/>
          <w:sz w:val="24"/>
          <w:szCs w:val="24"/>
        </w:rPr>
        <w:t xml:space="preserve">«Էներգասպառող սարքերի </w:t>
      </w:r>
      <w:r w:rsidR="00BF26A1" w:rsidRPr="00BF26A1">
        <w:rPr>
          <w:rFonts w:ascii="Sylfaen" w:hAnsi="Sylfaen"/>
          <w:sz w:val="24"/>
          <w:szCs w:val="24"/>
        </w:rPr>
        <w:br/>
      </w:r>
      <w:r w:rsidRPr="00CA27E3">
        <w:rPr>
          <w:rFonts w:ascii="Sylfaen" w:hAnsi="Sylfaen"/>
          <w:sz w:val="24"/>
          <w:szCs w:val="24"/>
        </w:rPr>
        <w:t>էներգետիկ արդյունավետությանը ներկայացվող պահանջների մասին» Եվրասիական տնտեսական միության տեխնիկական կանոնակարգի</w:t>
      </w:r>
      <w:r w:rsidR="00BE7ECE" w:rsidRPr="00BE7ECE">
        <w:rPr>
          <w:rFonts w:ascii="Sylfaen" w:hAnsi="Sylfaen"/>
          <w:sz w:val="24"/>
          <w:szCs w:val="24"/>
        </w:rPr>
        <w:t xml:space="preserve"> </w:t>
      </w:r>
      <w:r w:rsidR="00BF26A1" w:rsidRPr="00BF26A1">
        <w:rPr>
          <w:rFonts w:ascii="Sylfaen" w:hAnsi="Sylfaen"/>
          <w:sz w:val="24"/>
          <w:szCs w:val="24"/>
        </w:rPr>
        <w:br/>
      </w:r>
      <w:r w:rsidRPr="00CA27E3">
        <w:rPr>
          <w:rFonts w:ascii="Sylfaen" w:hAnsi="Sylfaen"/>
          <w:sz w:val="24"/>
          <w:szCs w:val="24"/>
        </w:rPr>
        <w:t>(ԵԱՏՄ ՏԿ</w:t>
      </w:r>
      <w:r w:rsidR="00BE7ECE" w:rsidRPr="00BE7ECE">
        <w:rPr>
          <w:rFonts w:ascii="Sylfaen" w:hAnsi="Sylfaen"/>
          <w:sz w:val="24"/>
          <w:szCs w:val="24"/>
        </w:rPr>
        <w:tab/>
      </w:r>
      <w:r w:rsidRPr="00CA27E3">
        <w:rPr>
          <w:rFonts w:ascii="Sylfaen" w:hAnsi="Sylfaen"/>
          <w:sz w:val="24"/>
          <w:szCs w:val="24"/>
        </w:rPr>
        <w:t>/20</w:t>
      </w:r>
      <w:r w:rsidR="00BE7ECE" w:rsidRPr="00BE7ECE">
        <w:rPr>
          <w:rFonts w:ascii="Sylfaen" w:hAnsi="Sylfaen"/>
          <w:sz w:val="24"/>
          <w:szCs w:val="24"/>
        </w:rPr>
        <w:tab/>
      </w:r>
      <w:r w:rsidRPr="00CA27E3">
        <w:rPr>
          <w:rFonts w:ascii="Sylfaen" w:hAnsi="Sylfaen"/>
          <w:sz w:val="24"/>
          <w:szCs w:val="24"/>
        </w:rPr>
        <w:t>)</w:t>
      </w:r>
    </w:p>
    <w:p w14:paraId="4969DC63" w14:textId="77777777" w:rsidR="00D70EFB" w:rsidRPr="00CA27E3" w:rsidRDefault="00D70EFB" w:rsidP="00BF26A1">
      <w:pPr>
        <w:pStyle w:val="BodyText1"/>
        <w:shd w:val="clear" w:color="auto" w:fill="auto"/>
        <w:spacing w:after="160" w:line="353" w:lineRule="auto"/>
        <w:ind w:left="5103" w:right="1" w:firstLine="0"/>
        <w:jc w:val="center"/>
        <w:rPr>
          <w:rFonts w:ascii="Sylfaen" w:hAnsi="Sylfaen" w:cs="Sylfaen"/>
          <w:sz w:val="24"/>
          <w:szCs w:val="24"/>
        </w:rPr>
      </w:pPr>
    </w:p>
    <w:p w14:paraId="7D389B47" w14:textId="77777777" w:rsidR="00FD48C7" w:rsidRPr="00CA27E3" w:rsidRDefault="00BB04FF" w:rsidP="00BF26A1">
      <w:pPr>
        <w:pStyle w:val="BodyText1"/>
        <w:shd w:val="clear" w:color="auto" w:fill="auto"/>
        <w:spacing w:after="160" w:line="353" w:lineRule="auto"/>
        <w:ind w:left="567" w:right="566" w:firstLine="0"/>
        <w:jc w:val="center"/>
        <w:rPr>
          <w:rFonts w:ascii="Sylfaen" w:hAnsi="Sylfaen" w:cs="Sylfaen"/>
          <w:sz w:val="24"/>
          <w:szCs w:val="24"/>
        </w:rPr>
      </w:pPr>
      <w:r w:rsidRPr="00CA27E3">
        <w:rPr>
          <w:rFonts w:ascii="Sylfaen" w:hAnsi="Sylfaen"/>
          <w:b/>
          <w:sz w:val="24"/>
          <w:szCs w:val="24"/>
        </w:rPr>
        <w:t>ՊԱՀԱՆՋՆԵՐ</w:t>
      </w:r>
    </w:p>
    <w:p w14:paraId="7FA9E069" w14:textId="77777777" w:rsidR="00FD48C7" w:rsidRPr="00CA27E3" w:rsidRDefault="00BB04FF" w:rsidP="00BF26A1">
      <w:pPr>
        <w:pStyle w:val="Heading20"/>
        <w:shd w:val="clear" w:color="auto" w:fill="auto"/>
        <w:spacing w:after="160" w:line="353" w:lineRule="auto"/>
        <w:ind w:left="567" w:right="566"/>
        <w:outlineLvl w:val="9"/>
        <w:rPr>
          <w:rFonts w:ascii="Sylfaen" w:hAnsi="Sylfaen" w:cs="Sylfaen"/>
          <w:sz w:val="24"/>
          <w:szCs w:val="24"/>
        </w:rPr>
      </w:pPr>
      <w:bookmarkStart w:id="4" w:name="bookmark11"/>
      <w:bookmarkStart w:id="5" w:name="bookmark12"/>
      <w:r w:rsidRPr="00CA27E3">
        <w:rPr>
          <w:rFonts w:ascii="Sylfaen" w:hAnsi="Sylfaen"/>
          <w:sz w:val="24"/>
          <w:szCs w:val="24"/>
        </w:rPr>
        <w:t xml:space="preserve">Էլեկտրական ասինխրոն շարժիչների </w:t>
      </w:r>
      <w:r w:rsidR="00BE7ECE" w:rsidRPr="00BE7ECE">
        <w:rPr>
          <w:rFonts w:ascii="Sylfaen" w:hAnsi="Sylfaen"/>
          <w:sz w:val="24"/>
          <w:szCs w:val="24"/>
        </w:rPr>
        <w:br/>
      </w:r>
      <w:r w:rsidRPr="00CA27E3">
        <w:rPr>
          <w:rFonts w:ascii="Sylfaen" w:hAnsi="Sylfaen"/>
          <w:sz w:val="24"/>
          <w:szCs w:val="24"/>
        </w:rPr>
        <w:t>էներգետիկ արդյունավետությանը ներկայացվող</w:t>
      </w:r>
      <w:bookmarkEnd w:id="4"/>
      <w:bookmarkEnd w:id="5"/>
    </w:p>
    <w:p w14:paraId="33131275" w14:textId="77777777" w:rsidR="00D70EFB" w:rsidRPr="00CA27E3" w:rsidRDefault="00D70EFB" w:rsidP="00BF26A1">
      <w:pPr>
        <w:pStyle w:val="Heading20"/>
        <w:shd w:val="clear" w:color="auto" w:fill="auto"/>
        <w:spacing w:after="160" w:line="353" w:lineRule="auto"/>
        <w:ind w:left="1701" w:right="1702"/>
        <w:outlineLvl w:val="9"/>
        <w:rPr>
          <w:rFonts w:ascii="Sylfaen" w:hAnsi="Sylfaen" w:cs="Sylfaen"/>
          <w:sz w:val="24"/>
          <w:szCs w:val="24"/>
        </w:rPr>
      </w:pPr>
    </w:p>
    <w:p w14:paraId="7DB7E525" w14:textId="77777777" w:rsidR="00FD48C7" w:rsidRPr="00CA27E3" w:rsidRDefault="00060D28" w:rsidP="00BF26A1">
      <w:pPr>
        <w:pStyle w:val="BodyText1"/>
        <w:shd w:val="clear" w:color="auto" w:fill="auto"/>
        <w:spacing w:after="160" w:line="353" w:lineRule="auto"/>
        <w:ind w:firstLine="0"/>
        <w:jc w:val="center"/>
        <w:rPr>
          <w:rFonts w:ascii="Sylfaen" w:hAnsi="Sylfaen" w:cs="Sylfaen"/>
          <w:sz w:val="24"/>
          <w:szCs w:val="24"/>
        </w:rPr>
      </w:pPr>
      <w:r w:rsidRPr="00CA27E3">
        <w:rPr>
          <w:rFonts w:ascii="Sylfaen" w:hAnsi="Sylfaen"/>
          <w:sz w:val="24"/>
          <w:szCs w:val="24"/>
        </w:rPr>
        <w:t>I. Կիրառության ոլորտը</w:t>
      </w:r>
    </w:p>
    <w:p w14:paraId="12DECA0F" w14:textId="77777777" w:rsidR="00FD48C7" w:rsidRPr="00CA27E3" w:rsidRDefault="00BB04FF" w:rsidP="00BF26A1">
      <w:pPr>
        <w:pStyle w:val="BodyText1"/>
        <w:shd w:val="clear" w:color="auto" w:fill="auto"/>
        <w:tabs>
          <w:tab w:val="left" w:pos="1134"/>
        </w:tabs>
        <w:spacing w:after="160" w:line="353" w:lineRule="auto"/>
        <w:ind w:firstLine="567"/>
        <w:jc w:val="both"/>
        <w:rPr>
          <w:rFonts w:ascii="Sylfaen" w:hAnsi="Sylfaen" w:cs="Sylfaen"/>
          <w:sz w:val="24"/>
          <w:szCs w:val="24"/>
        </w:rPr>
      </w:pPr>
      <w:r w:rsidRPr="00CA27E3">
        <w:rPr>
          <w:rFonts w:ascii="Sylfaen" w:hAnsi="Sylfaen"/>
          <w:sz w:val="24"/>
          <w:szCs w:val="24"/>
        </w:rPr>
        <w:t>1.</w:t>
      </w:r>
      <w:r w:rsidR="00BE7ECE" w:rsidRPr="00BE7ECE">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(այսուհետ՝ Միություն) մաքսային տարածքում շրջանառության մեջ դրվող, այդ թվում՝ այլ արտադրատեսակներում ներկառուցված՝ կարճ միակցված ռոտորով, 2-ից մինչեւ 6 բեւեռներով, մինչեւ 1000 Վ անվական լարմամբ, 50 կամ 50/60</w:t>
      </w:r>
      <w:r w:rsidR="00CA27E3">
        <w:rPr>
          <w:rFonts w:ascii="Sylfaen" w:hAnsi="Sylfaen"/>
          <w:sz w:val="24"/>
          <w:szCs w:val="24"/>
        </w:rPr>
        <w:t xml:space="preserve"> </w:t>
      </w:r>
      <w:r w:rsidRPr="00CA27E3">
        <w:rPr>
          <w:rFonts w:ascii="Sylfaen" w:hAnsi="Sylfaen"/>
          <w:sz w:val="24"/>
          <w:szCs w:val="24"/>
        </w:rPr>
        <w:t>Հց անվանական հաճախականությամբ եւ 0,75-ից մինչեւ 375 կՎտ անվանական հզորությամբ՝ մեկ արագությամբ եռաֆազ էլեկտրական ասինխրոն (ինդուկցիոն) շարժիչների վրա, որոնք նախատեսված են անընդմեջ ռեժիմով աշխատելու համար (այսուհետ՝ շարժիչներ)՝ բացառությամբ՝</w:t>
      </w:r>
    </w:p>
    <w:p w14:paraId="07FA609E" w14:textId="77777777" w:rsidR="00FD48C7" w:rsidRPr="00CA27E3" w:rsidRDefault="00BB04FF" w:rsidP="00BF26A1">
      <w:pPr>
        <w:pStyle w:val="BodyText1"/>
        <w:shd w:val="clear" w:color="auto" w:fill="auto"/>
        <w:spacing w:after="160" w:line="353" w:lineRule="auto"/>
        <w:ind w:firstLine="567"/>
        <w:jc w:val="both"/>
        <w:rPr>
          <w:rFonts w:ascii="Sylfaen" w:hAnsi="Sylfaen" w:cs="Sylfaen"/>
          <w:sz w:val="24"/>
          <w:szCs w:val="24"/>
        </w:rPr>
      </w:pPr>
      <w:r w:rsidRPr="00CA27E3">
        <w:rPr>
          <w:rFonts w:ascii="Sylfaen" w:hAnsi="Sylfaen"/>
          <w:sz w:val="24"/>
          <w:szCs w:val="24"/>
        </w:rPr>
        <w:t>հեղուկում ամբողջական ընկղման դեպքում աշխատելու համար նախատեսված շարժիչների.</w:t>
      </w:r>
    </w:p>
    <w:p w14:paraId="2B594599" w14:textId="77777777" w:rsidR="00FD48C7" w:rsidRPr="00CA27E3" w:rsidRDefault="00BB04FF" w:rsidP="00BF26A1">
      <w:pPr>
        <w:pStyle w:val="BodyText1"/>
        <w:shd w:val="clear" w:color="auto" w:fill="auto"/>
        <w:spacing w:after="160" w:line="353" w:lineRule="auto"/>
        <w:ind w:firstLine="567"/>
        <w:jc w:val="both"/>
        <w:rPr>
          <w:rFonts w:ascii="Sylfaen" w:hAnsi="Sylfaen" w:cs="Sylfaen"/>
          <w:sz w:val="24"/>
          <w:szCs w:val="24"/>
        </w:rPr>
      </w:pPr>
      <w:r w:rsidRPr="00CA27E3">
        <w:rPr>
          <w:rFonts w:ascii="Sylfaen" w:hAnsi="Sylfaen"/>
          <w:sz w:val="24"/>
          <w:szCs w:val="24"/>
        </w:rPr>
        <w:t>շարժիչների, որոնք ամբողջությամբ ներկառուցված են այլ արտադրատեսակներում (</w:t>
      </w:r>
      <w:r w:rsidR="00FB1512" w:rsidRPr="00CA27E3">
        <w:rPr>
          <w:rFonts w:ascii="Sylfaen" w:hAnsi="Sylfaen"/>
          <w:sz w:val="24"/>
          <w:szCs w:val="24"/>
        </w:rPr>
        <w:t xml:space="preserve">օրինակ՝ </w:t>
      </w:r>
      <w:r w:rsidRPr="00CA27E3">
        <w:rPr>
          <w:rFonts w:ascii="Sylfaen" w:hAnsi="Sylfaen"/>
          <w:sz w:val="24"/>
          <w:szCs w:val="24"/>
        </w:rPr>
        <w:t>ռեդուկտորներ, պոմպեր, օդափոխիչներ կամ ճնշակներ) այնպես, որ դրանց կողմից էներգիայի սպառումը չի կարող ստուգվել այդ արտադրատեսակից առանձին.</w:t>
      </w:r>
    </w:p>
    <w:p w14:paraId="1ACFBAE7"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տարբեր արգելակային ռեժիմներով աշխատելու համար նախատեսված շարժիչների (օրինակ՝ ռեկուպերատիվ արգելակման գործառույթով շարժիչներ).</w:t>
      </w:r>
    </w:p>
    <w:p w14:paraId="2E41EBDD"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շարժիչների, որոնք նախագծված են բացառապես հետեւյալ պայմաններում կիրառ</w:t>
      </w:r>
      <w:r w:rsidR="003D7C6D" w:rsidRPr="00CA27E3">
        <w:rPr>
          <w:rFonts w:ascii="Sylfaen" w:hAnsi="Sylfaen"/>
          <w:sz w:val="24"/>
          <w:szCs w:val="24"/>
        </w:rPr>
        <w:t>ելու</w:t>
      </w:r>
      <w:r w:rsidRPr="00CA27E3">
        <w:rPr>
          <w:rFonts w:ascii="Sylfaen" w:hAnsi="Sylfaen"/>
          <w:sz w:val="24"/>
          <w:szCs w:val="24"/>
        </w:rPr>
        <w:t xml:space="preserve"> համար՝</w:t>
      </w:r>
    </w:p>
    <w:p w14:paraId="32023CC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ծովի մակերեւույթից 4000 մ-ը գերազանցող բարձրության վրա,</w:t>
      </w:r>
    </w:p>
    <w:p w14:paraId="1AE165D2"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շրջակա միջավայրի 60 °C-ից բարձր ջերմաստիճանի դեպքում,</w:t>
      </w:r>
    </w:p>
    <w:p w14:paraId="540BFB7C"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400 °C-ից բարձր առավելագույն աշխատանքային ջերմաստիճանի դեպքում,</w:t>
      </w:r>
    </w:p>
    <w:p w14:paraId="6ABBA7D9"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շրջակա միջավայրի -30°C-ից ցածր ջերմաստիճանի դեպքում՝ ցանկացած շարժիչի համար, կամ 0 °C-ից ցածր՝ ջրային հովացմամբ շարժիչի համար.</w:t>
      </w:r>
    </w:p>
    <w:p w14:paraId="3C232DF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շարժիչի մուտքի մոտ հովացնող հեղուկի՝ 0 °C-ից ցածր կամ 32 °C-ից բարձր ջերմաստիճանի դեպքում.</w:t>
      </w:r>
    </w:p>
    <w:p w14:paraId="2CA61E9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հնարավոր պայթյունավտանգ միջավայրերում։</w:t>
      </w:r>
    </w:p>
    <w:p w14:paraId="7BEF540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Եթե շարժիչների մասով ընդունվել են Միության (Մաքսային միության) այլ տեխնիկական կանոնակարգեր, որոնցով սահմանվում են դրանց ներկայացվող պահանջները, ապա շարժիչները պետք է համապատասխանեն Միության (Մաքսային միության) բոլոր այն տեխնիկական կանոնակարգերի պահանջներին, որոնց գործողությունը տարածվում է դրանց վրա։</w:t>
      </w:r>
    </w:p>
    <w:p w14:paraId="27766E1A" w14:textId="77777777" w:rsidR="00FD48C7" w:rsidRPr="00CA27E3" w:rsidRDefault="00FD48C7" w:rsidP="00CA27E3">
      <w:pPr>
        <w:spacing w:after="160" w:line="360" w:lineRule="auto"/>
        <w:rPr>
          <w:rFonts w:ascii="Sylfaen" w:hAnsi="Sylfaen" w:cs="Sylfaen"/>
        </w:rPr>
      </w:pPr>
    </w:p>
    <w:p w14:paraId="056A96B8" w14:textId="77777777" w:rsidR="00FD48C7" w:rsidRPr="00CA27E3" w:rsidRDefault="00060D28" w:rsidP="00BE7ECE">
      <w:pPr>
        <w:pStyle w:val="BodyText1"/>
        <w:shd w:val="clear" w:color="auto" w:fill="auto"/>
        <w:spacing w:after="160"/>
        <w:ind w:right="-1"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6524B7F4" w14:textId="77777777" w:rsidR="00FD48C7" w:rsidRPr="00CA27E3" w:rsidRDefault="00060D28" w:rsidP="00BE7ECE">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BE7ECE" w:rsidRPr="00BE7ECE">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sidR="00CA27E3">
        <w:rPr>
          <w:rFonts w:ascii="Sylfaen" w:hAnsi="Sylfaen"/>
          <w:sz w:val="24"/>
          <w:szCs w:val="24"/>
        </w:rPr>
        <w:t>եւ</w:t>
      </w:r>
      <w:r w:rsidRPr="00CA27E3">
        <w:rPr>
          <w:rFonts w:ascii="Sylfaen" w:hAnsi="Sylfaen"/>
          <w:sz w:val="24"/>
          <w:szCs w:val="24"/>
        </w:rPr>
        <w:t>յալ իմաստը.</w:t>
      </w:r>
    </w:p>
    <w:p w14:paraId="4CB204CD" w14:textId="77777777" w:rsidR="00F606E4" w:rsidRDefault="00BB04FF" w:rsidP="00CA27E3">
      <w:pPr>
        <w:pStyle w:val="BodyText1"/>
        <w:shd w:val="clear" w:color="auto" w:fill="auto"/>
        <w:spacing w:after="160"/>
        <w:ind w:firstLine="567"/>
        <w:jc w:val="both"/>
        <w:rPr>
          <w:rFonts w:ascii="Sylfaen" w:hAnsi="Sylfaen"/>
          <w:sz w:val="24"/>
          <w:szCs w:val="24"/>
        </w:rPr>
      </w:pPr>
      <w:r w:rsidRPr="00BE7ECE">
        <w:rPr>
          <w:rFonts w:ascii="Sylfaen" w:hAnsi="Sylfaen"/>
          <w:b/>
          <w:sz w:val="24"/>
          <w:szCs w:val="24"/>
        </w:rPr>
        <w:t xml:space="preserve">կարճ միակցված ռոտորով շարժիչ՝ </w:t>
      </w:r>
      <w:r w:rsidRPr="00CA27E3">
        <w:rPr>
          <w:rFonts w:ascii="Sylfaen" w:hAnsi="Sylfaen"/>
          <w:sz w:val="24"/>
          <w:szCs w:val="24"/>
        </w:rPr>
        <w:t>շարժիչ՝ առանց շարժական կոնտակտների, կոլեկտորների, կոնտակտային օղակների կամ ռոտորին միացված էլեկտրական կոնտակտների.</w:t>
      </w:r>
    </w:p>
    <w:p w14:paraId="646EFB4C" w14:textId="77777777" w:rsidR="00F606E4" w:rsidRDefault="00F606E4">
      <w:pPr>
        <w:rPr>
          <w:rFonts w:ascii="Sylfaen" w:eastAsia="Times New Roman" w:hAnsi="Sylfaen" w:cs="Times New Roman"/>
        </w:rPr>
      </w:pPr>
      <w:r>
        <w:rPr>
          <w:rFonts w:ascii="Sylfaen" w:hAnsi="Sylfaen"/>
        </w:rPr>
        <w:br w:type="page"/>
      </w:r>
    </w:p>
    <w:p w14:paraId="10AB6FC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BE7ECE">
        <w:rPr>
          <w:rFonts w:ascii="Sylfaen" w:hAnsi="Sylfaen"/>
          <w:b/>
          <w:sz w:val="24"/>
          <w:szCs w:val="24"/>
        </w:rPr>
        <w:lastRenderedPageBreak/>
        <w:t>թույլատրելի շեղում՝</w:t>
      </w:r>
      <w:r w:rsidRPr="00CA27E3">
        <w:rPr>
          <w:rFonts w:ascii="Sylfaen" w:hAnsi="Sylfaen"/>
          <w:sz w:val="24"/>
          <w:szCs w:val="24"/>
        </w:rPr>
        <w:t xml:space="preserve"> փորձարկումների արդյունքում ստացված՝ շարժիչի պարամետրերի արժեքների առավելագույն թույլատրելի շեղումը՝ անձնագրային ցուցանակի վրա կամ շահագործման փաստաթղթերում նշված արժեքների համեմատությամբ.</w:t>
      </w:r>
    </w:p>
    <w:p w14:paraId="1BEAC3C3"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BE7ECE">
        <w:rPr>
          <w:rFonts w:ascii="Sylfaen" w:hAnsi="Sylfaen"/>
          <w:b/>
          <w:sz w:val="24"/>
          <w:szCs w:val="24"/>
        </w:rPr>
        <w:t>օգտակար գործողության անվանական գործակից (η</w:t>
      </w:r>
      <w:r w:rsidRPr="00BE7ECE">
        <w:rPr>
          <w:rFonts w:ascii="Sylfaen" w:hAnsi="Sylfaen"/>
          <w:b/>
          <w:sz w:val="24"/>
          <w:szCs w:val="24"/>
          <w:vertAlign w:val="subscript"/>
        </w:rPr>
        <w:t>n</w:t>
      </w:r>
      <w:r w:rsidRPr="00BE7ECE">
        <w:rPr>
          <w:rFonts w:ascii="Sylfaen" w:hAnsi="Sylfaen"/>
          <w:b/>
          <w:sz w:val="24"/>
          <w:szCs w:val="24"/>
        </w:rPr>
        <w:t>)</w:t>
      </w:r>
      <w:r w:rsidRPr="00CA27E3">
        <w:rPr>
          <w:rFonts w:ascii="Sylfaen" w:hAnsi="Sylfaen"/>
          <w:sz w:val="24"/>
          <w:szCs w:val="24"/>
        </w:rPr>
        <w:t>՝ օգտակար գործողության գործակից, որի արժեքը սահմանված է արտադրողի կողմից եւ հավասար է օգտակար գործողության նորմավորված գործակցի (ηn) արժեքին կամ գերազանցում է այն.</w:t>
      </w:r>
    </w:p>
    <w:p w14:paraId="1864CD5C"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BE7ECE">
        <w:rPr>
          <w:rFonts w:ascii="Sylfaen" w:hAnsi="Sylfaen"/>
          <w:b/>
          <w:sz w:val="24"/>
          <w:szCs w:val="24"/>
        </w:rPr>
        <w:t>օգտակար գործողության նորմավորված գործակից</w:t>
      </w:r>
      <w:r w:rsidR="00000D59" w:rsidRPr="00BE7ECE">
        <w:rPr>
          <w:rFonts w:ascii="Sylfaen" w:hAnsi="Sylfaen"/>
          <w:b/>
          <w:sz w:val="24"/>
          <w:szCs w:val="24"/>
        </w:rPr>
        <w:t xml:space="preserve"> </w:t>
      </w:r>
      <w:r w:rsidR="00000D59" w:rsidRPr="00BE7ECE">
        <w:rPr>
          <w:rFonts w:ascii="Sylfaen" w:hAnsi="Sylfaen" w:cs="TimesNewRoman"/>
          <w:b/>
          <w:color w:val="auto"/>
          <w:sz w:val="24"/>
          <w:szCs w:val="24"/>
          <w:lang w:bidi="ar-SA"/>
        </w:rPr>
        <w:t>(</w:t>
      </w:r>
      <w:r w:rsidR="00000D59" w:rsidRPr="00BE7ECE">
        <w:rPr>
          <w:rFonts w:ascii="Sylfaen" w:hAnsi="Sylfaen" w:cs="TimesNewRoman"/>
          <w:b/>
          <w:color w:val="auto"/>
          <w:sz w:val="24"/>
          <w:szCs w:val="24"/>
          <w:lang w:val="en-GB" w:bidi="ar-SA"/>
        </w:rPr>
        <w:t>η</w:t>
      </w:r>
      <w:r w:rsidR="00000D59" w:rsidRPr="00BE7ECE">
        <w:rPr>
          <w:rFonts w:ascii="Sylfaen" w:hAnsi="Sylfaen" w:cs="Times-Roman"/>
          <w:b/>
          <w:color w:val="auto"/>
          <w:sz w:val="24"/>
          <w:szCs w:val="24"/>
          <w:lang w:bidi="ar-SA"/>
        </w:rPr>
        <w:t>n</w:t>
      </w:r>
      <w:r w:rsidR="00000D59" w:rsidRPr="00BE7ECE">
        <w:rPr>
          <w:rFonts w:ascii="Sylfaen" w:hAnsi="Sylfaen" w:cs="TimesNewRoman"/>
          <w:b/>
          <w:color w:val="auto"/>
          <w:sz w:val="24"/>
          <w:szCs w:val="24"/>
          <w:lang w:bidi="ar-SA"/>
        </w:rPr>
        <w:t>)</w:t>
      </w:r>
      <w:r w:rsidRPr="00CA27E3">
        <w:rPr>
          <w:rFonts w:ascii="Sylfaen" w:hAnsi="Sylfaen"/>
          <w:sz w:val="24"/>
          <w:szCs w:val="24"/>
        </w:rPr>
        <w:t xml:space="preserve">՝ օգտակար գործողության գործակից, որի արժեքով ապահովվում է շարժիչի համապատասխանությունը էներգետիկ արդյունավետության որոշակի դասին. </w:t>
      </w:r>
    </w:p>
    <w:p w14:paraId="6E26FAC4"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BE7ECE">
        <w:rPr>
          <w:rFonts w:ascii="Sylfaen" w:hAnsi="Sylfaen"/>
          <w:b/>
          <w:sz w:val="24"/>
          <w:szCs w:val="24"/>
        </w:rPr>
        <w:t xml:space="preserve">անընդմեջ ռեժիմով </w:t>
      </w:r>
      <w:r w:rsidR="003D7C6D" w:rsidRPr="00BE7ECE">
        <w:rPr>
          <w:rFonts w:ascii="Sylfaen" w:hAnsi="Sylfaen"/>
          <w:b/>
          <w:sz w:val="24"/>
          <w:szCs w:val="24"/>
        </w:rPr>
        <w:t>ա</w:t>
      </w:r>
      <w:r w:rsidRPr="00BE7ECE">
        <w:rPr>
          <w:rFonts w:ascii="Sylfaen" w:hAnsi="Sylfaen"/>
          <w:b/>
          <w:sz w:val="24"/>
          <w:szCs w:val="24"/>
        </w:rPr>
        <w:t>շխատանք</w:t>
      </w:r>
      <w:r w:rsidRPr="00CA27E3">
        <w:rPr>
          <w:rFonts w:ascii="Sylfaen" w:hAnsi="Sylfaen"/>
          <w:sz w:val="24"/>
          <w:szCs w:val="24"/>
        </w:rPr>
        <w:t>՝ հովացման ներկառուցված համակարգով շարժիչի՝ անվանական բեռնվածության դեպքում առանց ընդհատման աշխատելու կարողությունը՝ առանց հասնելու անվանական առավելագույն ջերմաստիճանին.</w:t>
      </w:r>
    </w:p>
    <w:p w14:paraId="686F21D1"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BE7ECE">
        <w:rPr>
          <w:rFonts w:ascii="Sylfaen" w:hAnsi="Sylfaen"/>
          <w:b/>
          <w:sz w:val="24"/>
          <w:szCs w:val="24"/>
        </w:rPr>
        <w:t>օգտակար գործողության միջին գործակից՝</w:t>
      </w:r>
      <w:r w:rsidRPr="00CA27E3">
        <w:rPr>
          <w:rFonts w:ascii="Sylfaen" w:hAnsi="Sylfaen"/>
          <w:sz w:val="24"/>
          <w:szCs w:val="24"/>
        </w:rPr>
        <w:t xml:space="preserve"> միեւնույն կառուցվածքով եւ միեւնույն տեխնիկական բնութագրերով շարժիչների ամբողջության համար միջին արժեք ունեցող օգտակար գործողության գործակից.</w:t>
      </w:r>
    </w:p>
    <w:p w14:paraId="0A714F6E"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BE7ECE">
        <w:rPr>
          <w:rFonts w:ascii="Sylfaen" w:hAnsi="Sylfaen"/>
          <w:b/>
          <w:sz w:val="24"/>
          <w:szCs w:val="24"/>
        </w:rPr>
        <w:t>արգելակային շարժիչ</w:t>
      </w:r>
      <w:r w:rsidRPr="00CA27E3">
        <w:rPr>
          <w:rFonts w:ascii="Sylfaen" w:hAnsi="Sylfaen"/>
          <w:sz w:val="24"/>
          <w:szCs w:val="24"/>
        </w:rPr>
        <w:t>՝ շարժիչ՝ արգելակման էլեկտրամեխանիկական սարքվածքով, որն անմիջականորեն (առանց կցորդիչային միացումների) ներգործում է շարժիչի լիսեռի վրա.</w:t>
      </w:r>
    </w:p>
    <w:p w14:paraId="3800F625"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F606E4">
        <w:rPr>
          <w:rFonts w:ascii="Sylfaen" w:hAnsi="Sylfaen"/>
          <w:b/>
          <w:sz w:val="24"/>
          <w:szCs w:val="24"/>
        </w:rPr>
        <w:t>հաճախականության կերպափոխիչ՝ պտտման արագությունը կարգավորելու համար</w:t>
      </w:r>
      <w:r w:rsidRPr="00CA27E3">
        <w:rPr>
          <w:rFonts w:ascii="Sylfaen" w:hAnsi="Sylfaen"/>
          <w:sz w:val="24"/>
          <w:szCs w:val="24"/>
        </w:rPr>
        <w:t>՝ էլեկտրական էներգիայի կերպափոխիչ, որով անընդհատ հսկվում է շարժիչի վրա մատուցվող էլեկտրական էներգիան՝ այն մեխանիկական էներգիայի փոխարկելու նպատակով՝ բեռնվածության պտտող մոմենտի արագության տրված բնութագրին համապատասխան՝ սնուցման ցանցի փոփոխական հոսանքի հաճախականությունը փոխելու միջոցով։</w:t>
      </w:r>
    </w:p>
    <w:p w14:paraId="17EFB259" w14:textId="77777777" w:rsidR="00D70EFB" w:rsidRPr="00CA27E3" w:rsidRDefault="00D70EFB" w:rsidP="00CA27E3">
      <w:pPr>
        <w:pStyle w:val="BodyText1"/>
        <w:shd w:val="clear" w:color="auto" w:fill="auto"/>
        <w:spacing w:after="160"/>
        <w:ind w:firstLine="0"/>
        <w:jc w:val="both"/>
        <w:rPr>
          <w:rFonts w:ascii="Sylfaen" w:hAnsi="Sylfaen" w:cs="Sylfaen"/>
          <w:sz w:val="24"/>
          <w:szCs w:val="24"/>
        </w:rPr>
      </w:pPr>
    </w:p>
    <w:p w14:paraId="6199D00E" w14:textId="77777777" w:rsidR="00FD48C7" w:rsidRPr="00CA27E3" w:rsidRDefault="00060D28" w:rsidP="00F606E4">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III. Շարժիչների էներգետիկ արդյունավետությանը ներկայացվող պահանջները </w:t>
      </w:r>
      <w:r w:rsidR="007D713A" w:rsidRPr="00CA27E3">
        <w:rPr>
          <w:rFonts w:ascii="Sylfaen" w:hAnsi="Sylfaen"/>
          <w:sz w:val="24"/>
          <w:szCs w:val="24"/>
        </w:rPr>
        <w:t>եւ</w:t>
      </w:r>
      <w:r w:rsidRPr="00CA27E3">
        <w:rPr>
          <w:rFonts w:ascii="Sylfaen" w:hAnsi="Sylfaen"/>
          <w:sz w:val="24"/>
          <w:szCs w:val="24"/>
        </w:rPr>
        <w:t xml:space="preserve"> էներգետիկ արդյունավետության ցուցանիշների սահմանման առանձնահատկությունները</w:t>
      </w:r>
    </w:p>
    <w:p w14:paraId="64CF8D1D" w14:textId="77777777" w:rsidR="00FD48C7" w:rsidRPr="00CA27E3" w:rsidRDefault="00060D28"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F606E4" w:rsidRPr="00F606E4">
        <w:rPr>
          <w:rFonts w:ascii="Sylfaen" w:hAnsi="Sylfaen"/>
          <w:sz w:val="24"/>
          <w:szCs w:val="24"/>
        </w:rPr>
        <w:tab/>
      </w:r>
      <w:r w:rsidRPr="00CA27E3">
        <w:rPr>
          <w:rFonts w:ascii="Sylfaen" w:hAnsi="Sylfaen"/>
          <w:sz w:val="24"/>
          <w:szCs w:val="24"/>
        </w:rPr>
        <w:t>2020 թվականի սեպտեմբերի 1-ից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արժեքը չպետք է պակաս լինի 1-ին աղյուսակում էներգետիկ արդյունավետության IE1 դասի համար սահմանված արժեքներից։</w:t>
      </w:r>
    </w:p>
    <w:p w14:paraId="09657E2F" w14:textId="77777777" w:rsidR="00D70EFB" w:rsidRPr="00CA27E3" w:rsidRDefault="00D70EFB" w:rsidP="00CA27E3">
      <w:pPr>
        <w:pStyle w:val="BodyText1"/>
        <w:shd w:val="clear" w:color="auto" w:fill="auto"/>
        <w:spacing w:after="160"/>
        <w:ind w:right="200" w:firstLine="0"/>
        <w:jc w:val="right"/>
        <w:rPr>
          <w:rFonts w:ascii="Sylfaen" w:hAnsi="Sylfaen" w:cs="Sylfaen"/>
          <w:sz w:val="24"/>
          <w:szCs w:val="24"/>
        </w:rPr>
      </w:pPr>
    </w:p>
    <w:p w14:paraId="15A69317" w14:textId="77777777" w:rsidR="00FD48C7" w:rsidRPr="00CA27E3" w:rsidRDefault="00BB04FF" w:rsidP="00CA27E3">
      <w:pPr>
        <w:pStyle w:val="BodyText1"/>
        <w:shd w:val="clear" w:color="auto" w:fill="auto"/>
        <w:spacing w:after="160"/>
        <w:ind w:right="200" w:firstLine="0"/>
        <w:jc w:val="right"/>
        <w:rPr>
          <w:rFonts w:ascii="Sylfaen" w:hAnsi="Sylfaen" w:cs="Sylfaen"/>
          <w:sz w:val="24"/>
          <w:szCs w:val="24"/>
        </w:rPr>
      </w:pPr>
      <w:r w:rsidRPr="00CA27E3">
        <w:rPr>
          <w:rFonts w:ascii="Sylfaen" w:hAnsi="Sylfaen"/>
          <w:sz w:val="24"/>
          <w:szCs w:val="24"/>
        </w:rPr>
        <w:t>Աղյուսակ 1</w:t>
      </w:r>
    </w:p>
    <w:p w14:paraId="32658DCE" w14:textId="77777777" w:rsidR="00FD48C7" w:rsidRPr="00CA27E3" w:rsidRDefault="00BB04FF"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Էներգետիկ արդյունավետության IE1 դասի համար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xml:space="preserve">) արժեքները՝ 50 Հց հաճախականությամբ փոփոխական հոսանքի ցանցից շարժիչների սնուցման դեպքում </w:t>
      </w:r>
    </w:p>
    <w:tbl>
      <w:tblPr>
        <w:tblOverlap w:val="never"/>
        <w:tblW w:w="0" w:type="auto"/>
        <w:tblLayout w:type="fixed"/>
        <w:tblCellMar>
          <w:left w:w="10" w:type="dxa"/>
          <w:right w:w="10" w:type="dxa"/>
        </w:tblCellMar>
        <w:tblLook w:val="0000" w:firstRow="0" w:lastRow="0" w:firstColumn="0" w:lastColumn="0" w:noHBand="0" w:noVBand="0"/>
      </w:tblPr>
      <w:tblGrid>
        <w:gridCol w:w="2405"/>
        <w:gridCol w:w="2390"/>
        <w:gridCol w:w="2395"/>
        <w:gridCol w:w="2395"/>
      </w:tblGrid>
      <w:tr w:rsidR="00CA27E3" w:rsidRPr="00CA27E3" w14:paraId="629E768B" w14:textId="77777777" w:rsidTr="00CA27E3">
        <w:trPr>
          <w:tblHeader/>
        </w:trPr>
        <w:tc>
          <w:tcPr>
            <w:tcW w:w="2405" w:type="dxa"/>
            <w:vMerge w:val="restart"/>
            <w:tcBorders>
              <w:top w:val="single" w:sz="4" w:space="0" w:color="auto"/>
              <w:left w:val="single" w:sz="4" w:space="0" w:color="auto"/>
            </w:tcBorders>
            <w:shd w:val="clear" w:color="auto" w:fill="FFFFFF"/>
            <w:vAlign w:val="center"/>
          </w:tcPr>
          <w:p w14:paraId="7CFDF75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Անվանական հզորությունը, կՎտ</w:t>
            </w:r>
          </w:p>
        </w:tc>
        <w:tc>
          <w:tcPr>
            <w:tcW w:w="7180" w:type="dxa"/>
            <w:gridSpan w:val="3"/>
            <w:tcBorders>
              <w:top w:val="single" w:sz="4" w:space="0" w:color="auto"/>
              <w:left w:val="single" w:sz="4" w:space="0" w:color="auto"/>
              <w:right w:val="single" w:sz="4" w:space="0" w:color="auto"/>
            </w:tcBorders>
            <w:shd w:val="clear" w:color="auto" w:fill="FFFFFF"/>
            <w:vAlign w:val="center"/>
          </w:tcPr>
          <w:p w14:paraId="3607C1B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Բեւեռների քանակը</w:t>
            </w:r>
          </w:p>
        </w:tc>
      </w:tr>
      <w:tr w:rsidR="00CA27E3" w:rsidRPr="00CA27E3" w14:paraId="4B968954" w14:textId="77777777" w:rsidTr="00CA27E3">
        <w:trPr>
          <w:tblHeader/>
        </w:trPr>
        <w:tc>
          <w:tcPr>
            <w:tcW w:w="2405" w:type="dxa"/>
            <w:vMerge/>
            <w:tcBorders>
              <w:left w:val="single" w:sz="4" w:space="0" w:color="auto"/>
            </w:tcBorders>
            <w:shd w:val="clear" w:color="auto" w:fill="FFFFFF"/>
            <w:vAlign w:val="center"/>
          </w:tcPr>
          <w:p w14:paraId="7436AB21" w14:textId="77777777" w:rsidR="00FD48C7" w:rsidRPr="00CA27E3" w:rsidRDefault="00FD48C7" w:rsidP="00CA27E3">
            <w:pPr>
              <w:spacing w:after="120"/>
              <w:rPr>
                <w:rFonts w:ascii="Sylfaen" w:hAnsi="Sylfaen" w:cs="Sylfaen"/>
                <w:sz w:val="20"/>
                <w:szCs w:val="20"/>
              </w:rPr>
            </w:pPr>
          </w:p>
        </w:tc>
        <w:tc>
          <w:tcPr>
            <w:tcW w:w="2390" w:type="dxa"/>
            <w:tcBorders>
              <w:top w:val="single" w:sz="4" w:space="0" w:color="auto"/>
              <w:left w:val="single" w:sz="4" w:space="0" w:color="auto"/>
            </w:tcBorders>
            <w:shd w:val="clear" w:color="auto" w:fill="FFFFFF"/>
            <w:vAlign w:val="bottom"/>
          </w:tcPr>
          <w:p w14:paraId="704FFBC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2</w:t>
            </w:r>
          </w:p>
        </w:tc>
        <w:tc>
          <w:tcPr>
            <w:tcW w:w="2395" w:type="dxa"/>
            <w:tcBorders>
              <w:top w:val="single" w:sz="4" w:space="0" w:color="auto"/>
              <w:left w:val="single" w:sz="4" w:space="0" w:color="auto"/>
            </w:tcBorders>
            <w:shd w:val="clear" w:color="auto" w:fill="FFFFFF"/>
            <w:vAlign w:val="center"/>
          </w:tcPr>
          <w:p w14:paraId="477A3B8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w:t>
            </w:r>
          </w:p>
        </w:tc>
        <w:tc>
          <w:tcPr>
            <w:tcW w:w="2395" w:type="dxa"/>
            <w:tcBorders>
              <w:top w:val="single" w:sz="4" w:space="0" w:color="auto"/>
              <w:left w:val="single" w:sz="4" w:space="0" w:color="auto"/>
              <w:right w:val="single" w:sz="4" w:space="0" w:color="auto"/>
            </w:tcBorders>
            <w:shd w:val="clear" w:color="auto" w:fill="FFFFFF"/>
            <w:vAlign w:val="bottom"/>
          </w:tcPr>
          <w:p w14:paraId="374ACC9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6</w:t>
            </w:r>
          </w:p>
        </w:tc>
      </w:tr>
      <w:tr w:rsidR="00CA27E3" w:rsidRPr="00CA27E3" w14:paraId="164E7F16" w14:textId="77777777" w:rsidTr="00060D28">
        <w:tc>
          <w:tcPr>
            <w:tcW w:w="2405" w:type="dxa"/>
            <w:tcBorders>
              <w:top w:val="single" w:sz="4" w:space="0" w:color="auto"/>
            </w:tcBorders>
            <w:shd w:val="clear" w:color="auto" w:fill="FFFFFF"/>
            <w:vAlign w:val="bottom"/>
          </w:tcPr>
          <w:p w14:paraId="691F2D4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0.75</w:t>
            </w:r>
          </w:p>
        </w:tc>
        <w:tc>
          <w:tcPr>
            <w:tcW w:w="2390" w:type="dxa"/>
            <w:tcBorders>
              <w:top w:val="single" w:sz="4" w:space="0" w:color="auto"/>
            </w:tcBorders>
            <w:shd w:val="clear" w:color="auto" w:fill="FFFFFF"/>
            <w:vAlign w:val="bottom"/>
          </w:tcPr>
          <w:p w14:paraId="6C1843B2"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72.1</w:t>
            </w:r>
          </w:p>
        </w:tc>
        <w:tc>
          <w:tcPr>
            <w:tcW w:w="2395" w:type="dxa"/>
            <w:tcBorders>
              <w:top w:val="single" w:sz="4" w:space="0" w:color="auto"/>
            </w:tcBorders>
            <w:shd w:val="clear" w:color="auto" w:fill="FFFFFF"/>
            <w:vAlign w:val="bottom"/>
          </w:tcPr>
          <w:p w14:paraId="79E9F42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72.1</w:t>
            </w:r>
          </w:p>
        </w:tc>
        <w:tc>
          <w:tcPr>
            <w:tcW w:w="2395" w:type="dxa"/>
            <w:tcBorders>
              <w:top w:val="single" w:sz="4" w:space="0" w:color="auto"/>
            </w:tcBorders>
            <w:shd w:val="clear" w:color="auto" w:fill="FFFFFF"/>
            <w:vAlign w:val="bottom"/>
          </w:tcPr>
          <w:p w14:paraId="1F47888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70.0</w:t>
            </w:r>
          </w:p>
        </w:tc>
      </w:tr>
      <w:tr w:rsidR="00CA27E3" w:rsidRPr="00CA27E3" w14:paraId="3EF329D4" w14:textId="77777777" w:rsidTr="00060D28">
        <w:tc>
          <w:tcPr>
            <w:tcW w:w="2405" w:type="dxa"/>
            <w:shd w:val="clear" w:color="auto" w:fill="FFFFFF"/>
            <w:vAlign w:val="center"/>
          </w:tcPr>
          <w:p w14:paraId="5C6E3E1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1.1</w:t>
            </w:r>
          </w:p>
        </w:tc>
        <w:tc>
          <w:tcPr>
            <w:tcW w:w="2390" w:type="dxa"/>
            <w:shd w:val="clear" w:color="auto" w:fill="FFFFFF"/>
            <w:vAlign w:val="center"/>
          </w:tcPr>
          <w:p w14:paraId="0C51D78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75.0</w:t>
            </w:r>
          </w:p>
        </w:tc>
        <w:tc>
          <w:tcPr>
            <w:tcW w:w="2395" w:type="dxa"/>
            <w:shd w:val="clear" w:color="auto" w:fill="FFFFFF"/>
            <w:vAlign w:val="center"/>
          </w:tcPr>
          <w:p w14:paraId="3AC6D6B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75.0</w:t>
            </w:r>
          </w:p>
        </w:tc>
        <w:tc>
          <w:tcPr>
            <w:tcW w:w="2395" w:type="dxa"/>
            <w:shd w:val="clear" w:color="auto" w:fill="FFFFFF"/>
            <w:vAlign w:val="center"/>
          </w:tcPr>
          <w:p w14:paraId="792942C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72.9</w:t>
            </w:r>
          </w:p>
        </w:tc>
      </w:tr>
      <w:tr w:rsidR="00CA27E3" w:rsidRPr="00CA27E3" w14:paraId="715624B1" w14:textId="77777777" w:rsidTr="00060D28">
        <w:tc>
          <w:tcPr>
            <w:tcW w:w="2405" w:type="dxa"/>
            <w:shd w:val="clear" w:color="auto" w:fill="FFFFFF"/>
            <w:vAlign w:val="bottom"/>
          </w:tcPr>
          <w:p w14:paraId="11986E94"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1.5</w:t>
            </w:r>
          </w:p>
        </w:tc>
        <w:tc>
          <w:tcPr>
            <w:tcW w:w="2390" w:type="dxa"/>
            <w:shd w:val="clear" w:color="auto" w:fill="FFFFFF"/>
            <w:vAlign w:val="bottom"/>
          </w:tcPr>
          <w:p w14:paraId="1FD6DEF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77.2</w:t>
            </w:r>
          </w:p>
        </w:tc>
        <w:tc>
          <w:tcPr>
            <w:tcW w:w="2395" w:type="dxa"/>
            <w:shd w:val="clear" w:color="auto" w:fill="FFFFFF"/>
            <w:vAlign w:val="bottom"/>
          </w:tcPr>
          <w:p w14:paraId="113449E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77.2</w:t>
            </w:r>
          </w:p>
        </w:tc>
        <w:tc>
          <w:tcPr>
            <w:tcW w:w="2395" w:type="dxa"/>
            <w:shd w:val="clear" w:color="auto" w:fill="FFFFFF"/>
            <w:vAlign w:val="bottom"/>
          </w:tcPr>
          <w:p w14:paraId="1E02ED4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75.2</w:t>
            </w:r>
          </w:p>
        </w:tc>
      </w:tr>
      <w:tr w:rsidR="00CA27E3" w:rsidRPr="00CA27E3" w14:paraId="644B87FF" w14:textId="77777777" w:rsidTr="00060D28">
        <w:tc>
          <w:tcPr>
            <w:tcW w:w="2405" w:type="dxa"/>
            <w:shd w:val="clear" w:color="auto" w:fill="FFFFFF"/>
            <w:vAlign w:val="center"/>
          </w:tcPr>
          <w:p w14:paraId="10CAA153"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2.2</w:t>
            </w:r>
          </w:p>
        </w:tc>
        <w:tc>
          <w:tcPr>
            <w:tcW w:w="2390" w:type="dxa"/>
            <w:shd w:val="clear" w:color="auto" w:fill="FFFFFF"/>
            <w:vAlign w:val="center"/>
          </w:tcPr>
          <w:p w14:paraId="489BACE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79.7</w:t>
            </w:r>
          </w:p>
        </w:tc>
        <w:tc>
          <w:tcPr>
            <w:tcW w:w="2395" w:type="dxa"/>
            <w:shd w:val="clear" w:color="auto" w:fill="FFFFFF"/>
            <w:vAlign w:val="center"/>
          </w:tcPr>
          <w:p w14:paraId="17457CF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79.7</w:t>
            </w:r>
          </w:p>
        </w:tc>
        <w:tc>
          <w:tcPr>
            <w:tcW w:w="2395" w:type="dxa"/>
            <w:shd w:val="clear" w:color="auto" w:fill="FFFFFF"/>
            <w:vAlign w:val="center"/>
          </w:tcPr>
          <w:p w14:paraId="5FD75E5A"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77.7</w:t>
            </w:r>
          </w:p>
        </w:tc>
      </w:tr>
      <w:tr w:rsidR="00CA27E3" w:rsidRPr="00CA27E3" w14:paraId="59EED885" w14:textId="77777777" w:rsidTr="00060D28">
        <w:tc>
          <w:tcPr>
            <w:tcW w:w="2405" w:type="dxa"/>
            <w:shd w:val="clear" w:color="auto" w:fill="FFFFFF"/>
            <w:vAlign w:val="bottom"/>
          </w:tcPr>
          <w:p w14:paraId="40AD31A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3</w:t>
            </w:r>
          </w:p>
        </w:tc>
        <w:tc>
          <w:tcPr>
            <w:tcW w:w="2390" w:type="dxa"/>
            <w:shd w:val="clear" w:color="auto" w:fill="FFFFFF"/>
            <w:vAlign w:val="bottom"/>
          </w:tcPr>
          <w:p w14:paraId="4F56C2B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81.5</w:t>
            </w:r>
          </w:p>
        </w:tc>
        <w:tc>
          <w:tcPr>
            <w:tcW w:w="2395" w:type="dxa"/>
            <w:shd w:val="clear" w:color="auto" w:fill="FFFFFF"/>
            <w:vAlign w:val="bottom"/>
          </w:tcPr>
          <w:p w14:paraId="4E78A14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81.5</w:t>
            </w:r>
          </w:p>
        </w:tc>
        <w:tc>
          <w:tcPr>
            <w:tcW w:w="2395" w:type="dxa"/>
            <w:shd w:val="clear" w:color="auto" w:fill="FFFFFF"/>
            <w:vAlign w:val="bottom"/>
          </w:tcPr>
          <w:p w14:paraId="04D0D101"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79.7</w:t>
            </w:r>
          </w:p>
        </w:tc>
      </w:tr>
      <w:tr w:rsidR="00CA27E3" w:rsidRPr="00CA27E3" w14:paraId="74D79BF7" w14:textId="77777777" w:rsidTr="00060D28">
        <w:tc>
          <w:tcPr>
            <w:tcW w:w="2405" w:type="dxa"/>
            <w:shd w:val="clear" w:color="auto" w:fill="FFFFFF"/>
            <w:vAlign w:val="bottom"/>
          </w:tcPr>
          <w:p w14:paraId="3AF5594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w:t>
            </w:r>
          </w:p>
        </w:tc>
        <w:tc>
          <w:tcPr>
            <w:tcW w:w="2390" w:type="dxa"/>
            <w:shd w:val="clear" w:color="auto" w:fill="FFFFFF"/>
            <w:vAlign w:val="bottom"/>
          </w:tcPr>
          <w:p w14:paraId="716E04E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83.1</w:t>
            </w:r>
          </w:p>
        </w:tc>
        <w:tc>
          <w:tcPr>
            <w:tcW w:w="2395" w:type="dxa"/>
            <w:shd w:val="clear" w:color="auto" w:fill="FFFFFF"/>
            <w:vAlign w:val="bottom"/>
          </w:tcPr>
          <w:p w14:paraId="24BE05A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83.1</w:t>
            </w:r>
          </w:p>
        </w:tc>
        <w:tc>
          <w:tcPr>
            <w:tcW w:w="2395" w:type="dxa"/>
            <w:shd w:val="clear" w:color="auto" w:fill="FFFFFF"/>
            <w:vAlign w:val="bottom"/>
          </w:tcPr>
          <w:p w14:paraId="28EBB04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81.4</w:t>
            </w:r>
          </w:p>
        </w:tc>
      </w:tr>
      <w:tr w:rsidR="00CA27E3" w:rsidRPr="00CA27E3" w14:paraId="4D9B4BAC" w14:textId="77777777" w:rsidTr="00060D28">
        <w:tc>
          <w:tcPr>
            <w:tcW w:w="2405" w:type="dxa"/>
            <w:shd w:val="clear" w:color="auto" w:fill="FFFFFF"/>
            <w:vAlign w:val="bottom"/>
          </w:tcPr>
          <w:p w14:paraId="0E8747B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5.5</w:t>
            </w:r>
          </w:p>
        </w:tc>
        <w:tc>
          <w:tcPr>
            <w:tcW w:w="2390" w:type="dxa"/>
            <w:shd w:val="clear" w:color="auto" w:fill="FFFFFF"/>
            <w:vAlign w:val="bottom"/>
          </w:tcPr>
          <w:p w14:paraId="76D63FF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84.7</w:t>
            </w:r>
          </w:p>
        </w:tc>
        <w:tc>
          <w:tcPr>
            <w:tcW w:w="2395" w:type="dxa"/>
            <w:shd w:val="clear" w:color="auto" w:fill="FFFFFF"/>
            <w:vAlign w:val="bottom"/>
          </w:tcPr>
          <w:p w14:paraId="1460F1C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84.7</w:t>
            </w:r>
          </w:p>
        </w:tc>
        <w:tc>
          <w:tcPr>
            <w:tcW w:w="2395" w:type="dxa"/>
            <w:shd w:val="clear" w:color="auto" w:fill="FFFFFF"/>
            <w:vAlign w:val="bottom"/>
          </w:tcPr>
          <w:p w14:paraId="6628FDBE"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83.1</w:t>
            </w:r>
          </w:p>
        </w:tc>
      </w:tr>
      <w:tr w:rsidR="00CA27E3" w:rsidRPr="00CA27E3" w14:paraId="2F87D1DD" w14:textId="77777777" w:rsidTr="00060D28">
        <w:tc>
          <w:tcPr>
            <w:tcW w:w="2405" w:type="dxa"/>
            <w:shd w:val="clear" w:color="auto" w:fill="FFFFFF"/>
            <w:vAlign w:val="center"/>
          </w:tcPr>
          <w:p w14:paraId="59B2E3AB"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7.5</w:t>
            </w:r>
          </w:p>
        </w:tc>
        <w:tc>
          <w:tcPr>
            <w:tcW w:w="2390" w:type="dxa"/>
            <w:shd w:val="clear" w:color="auto" w:fill="FFFFFF"/>
            <w:vAlign w:val="bottom"/>
          </w:tcPr>
          <w:p w14:paraId="3ED4FD5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86.0</w:t>
            </w:r>
          </w:p>
        </w:tc>
        <w:tc>
          <w:tcPr>
            <w:tcW w:w="2395" w:type="dxa"/>
            <w:shd w:val="clear" w:color="auto" w:fill="FFFFFF"/>
            <w:vAlign w:val="bottom"/>
          </w:tcPr>
          <w:p w14:paraId="0C0729B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86.0</w:t>
            </w:r>
          </w:p>
        </w:tc>
        <w:tc>
          <w:tcPr>
            <w:tcW w:w="2395" w:type="dxa"/>
            <w:shd w:val="clear" w:color="auto" w:fill="FFFFFF"/>
            <w:vAlign w:val="center"/>
          </w:tcPr>
          <w:p w14:paraId="09D79BF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84.7</w:t>
            </w:r>
          </w:p>
        </w:tc>
      </w:tr>
      <w:tr w:rsidR="00CA27E3" w:rsidRPr="00CA27E3" w14:paraId="60ABFBC6" w14:textId="77777777" w:rsidTr="00060D28">
        <w:tc>
          <w:tcPr>
            <w:tcW w:w="2405" w:type="dxa"/>
            <w:shd w:val="clear" w:color="auto" w:fill="FFFFFF"/>
            <w:vAlign w:val="center"/>
          </w:tcPr>
          <w:p w14:paraId="088AD16C"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11</w:t>
            </w:r>
          </w:p>
        </w:tc>
        <w:tc>
          <w:tcPr>
            <w:tcW w:w="2390" w:type="dxa"/>
            <w:shd w:val="clear" w:color="auto" w:fill="FFFFFF"/>
            <w:vAlign w:val="center"/>
          </w:tcPr>
          <w:p w14:paraId="5090D04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87.6</w:t>
            </w:r>
          </w:p>
        </w:tc>
        <w:tc>
          <w:tcPr>
            <w:tcW w:w="2395" w:type="dxa"/>
            <w:shd w:val="clear" w:color="auto" w:fill="FFFFFF"/>
            <w:vAlign w:val="center"/>
          </w:tcPr>
          <w:p w14:paraId="5E9449C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87.6</w:t>
            </w:r>
          </w:p>
        </w:tc>
        <w:tc>
          <w:tcPr>
            <w:tcW w:w="2395" w:type="dxa"/>
            <w:shd w:val="clear" w:color="auto" w:fill="FFFFFF"/>
            <w:vAlign w:val="center"/>
          </w:tcPr>
          <w:p w14:paraId="79DE4FE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86.4</w:t>
            </w:r>
          </w:p>
        </w:tc>
      </w:tr>
      <w:tr w:rsidR="00CA27E3" w:rsidRPr="00CA27E3" w14:paraId="4B8F0437" w14:textId="77777777" w:rsidTr="00060D28">
        <w:tc>
          <w:tcPr>
            <w:tcW w:w="2405" w:type="dxa"/>
            <w:shd w:val="clear" w:color="auto" w:fill="FFFFFF"/>
            <w:vAlign w:val="bottom"/>
          </w:tcPr>
          <w:p w14:paraId="40E6D73C"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15</w:t>
            </w:r>
          </w:p>
        </w:tc>
        <w:tc>
          <w:tcPr>
            <w:tcW w:w="2390" w:type="dxa"/>
            <w:shd w:val="clear" w:color="auto" w:fill="FFFFFF"/>
            <w:vAlign w:val="bottom"/>
          </w:tcPr>
          <w:p w14:paraId="72DBFFB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88.7</w:t>
            </w:r>
          </w:p>
        </w:tc>
        <w:tc>
          <w:tcPr>
            <w:tcW w:w="2395" w:type="dxa"/>
            <w:shd w:val="clear" w:color="auto" w:fill="FFFFFF"/>
            <w:vAlign w:val="bottom"/>
          </w:tcPr>
          <w:p w14:paraId="7CEF324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88.7</w:t>
            </w:r>
          </w:p>
        </w:tc>
        <w:tc>
          <w:tcPr>
            <w:tcW w:w="2395" w:type="dxa"/>
            <w:shd w:val="clear" w:color="auto" w:fill="FFFFFF"/>
            <w:vAlign w:val="bottom"/>
          </w:tcPr>
          <w:p w14:paraId="7F67C8C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87.7</w:t>
            </w:r>
          </w:p>
        </w:tc>
      </w:tr>
      <w:tr w:rsidR="00CA27E3" w:rsidRPr="00CA27E3" w14:paraId="4862B5DB" w14:textId="77777777" w:rsidTr="00060D28">
        <w:tc>
          <w:tcPr>
            <w:tcW w:w="2405" w:type="dxa"/>
            <w:shd w:val="clear" w:color="auto" w:fill="FFFFFF"/>
            <w:vAlign w:val="center"/>
          </w:tcPr>
          <w:p w14:paraId="48A17E2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18.5</w:t>
            </w:r>
          </w:p>
        </w:tc>
        <w:tc>
          <w:tcPr>
            <w:tcW w:w="2390" w:type="dxa"/>
            <w:shd w:val="clear" w:color="auto" w:fill="FFFFFF"/>
            <w:vAlign w:val="center"/>
          </w:tcPr>
          <w:p w14:paraId="7672A07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89.3</w:t>
            </w:r>
          </w:p>
        </w:tc>
        <w:tc>
          <w:tcPr>
            <w:tcW w:w="2395" w:type="dxa"/>
            <w:shd w:val="clear" w:color="auto" w:fill="FFFFFF"/>
            <w:vAlign w:val="center"/>
          </w:tcPr>
          <w:p w14:paraId="268416A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89.3</w:t>
            </w:r>
          </w:p>
        </w:tc>
        <w:tc>
          <w:tcPr>
            <w:tcW w:w="2395" w:type="dxa"/>
            <w:shd w:val="clear" w:color="auto" w:fill="FFFFFF"/>
            <w:vAlign w:val="center"/>
          </w:tcPr>
          <w:p w14:paraId="346601E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88.6</w:t>
            </w:r>
          </w:p>
        </w:tc>
      </w:tr>
      <w:tr w:rsidR="00CA27E3" w:rsidRPr="00CA27E3" w14:paraId="2E5BABD9" w14:textId="77777777" w:rsidTr="00060D28">
        <w:tc>
          <w:tcPr>
            <w:tcW w:w="2405" w:type="dxa"/>
            <w:shd w:val="clear" w:color="auto" w:fill="FFFFFF"/>
            <w:vAlign w:val="center"/>
          </w:tcPr>
          <w:p w14:paraId="0DE77757"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22</w:t>
            </w:r>
          </w:p>
        </w:tc>
        <w:tc>
          <w:tcPr>
            <w:tcW w:w="2390" w:type="dxa"/>
            <w:shd w:val="clear" w:color="auto" w:fill="FFFFFF"/>
            <w:vAlign w:val="center"/>
          </w:tcPr>
          <w:p w14:paraId="03DA03D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89.9</w:t>
            </w:r>
          </w:p>
        </w:tc>
        <w:tc>
          <w:tcPr>
            <w:tcW w:w="2395" w:type="dxa"/>
            <w:shd w:val="clear" w:color="auto" w:fill="FFFFFF"/>
            <w:vAlign w:val="center"/>
          </w:tcPr>
          <w:p w14:paraId="5DD25AF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89.9</w:t>
            </w:r>
          </w:p>
        </w:tc>
        <w:tc>
          <w:tcPr>
            <w:tcW w:w="2395" w:type="dxa"/>
            <w:shd w:val="clear" w:color="auto" w:fill="FFFFFF"/>
            <w:vAlign w:val="center"/>
          </w:tcPr>
          <w:p w14:paraId="69F9C73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89.2</w:t>
            </w:r>
          </w:p>
        </w:tc>
      </w:tr>
      <w:tr w:rsidR="00CA27E3" w:rsidRPr="00CA27E3" w14:paraId="7EB76FE3" w14:textId="77777777" w:rsidTr="00060D28">
        <w:tc>
          <w:tcPr>
            <w:tcW w:w="2405" w:type="dxa"/>
            <w:shd w:val="clear" w:color="auto" w:fill="FFFFFF"/>
            <w:vAlign w:val="bottom"/>
          </w:tcPr>
          <w:p w14:paraId="0DDC5FC7"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30</w:t>
            </w:r>
          </w:p>
        </w:tc>
        <w:tc>
          <w:tcPr>
            <w:tcW w:w="2390" w:type="dxa"/>
            <w:shd w:val="clear" w:color="auto" w:fill="FFFFFF"/>
            <w:vAlign w:val="bottom"/>
          </w:tcPr>
          <w:p w14:paraId="5A5314C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90.7</w:t>
            </w:r>
          </w:p>
        </w:tc>
        <w:tc>
          <w:tcPr>
            <w:tcW w:w="2395" w:type="dxa"/>
            <w:shd w:val="clear" w:color="auto" w:fill="FFFFFF"/>
            <w:vAlign w:val="bottom"/>
          </w:tcPr>
          <w:p w14:paraId="40502A8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90.7</w:t>
            </w:r>
          </w:p>
        </w:tc>
        <w:tc>
          <w:tcPr>
            <w:tcW w:w="2395" w:type="dxa"/>
            <w:shd w:val="clear" w:color="auto" w:fill="FFFFFF"/>
            <w:vAlign w:val="bottom"/>
          </w:tcPr>
          <w:p w14:paraId="5E7D0F0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90.2</w:t>
            </w:r>
          </w:p>
        </w:tc>
      </w:tr>
      <w:tr w:rsidR="00CA27E3" w:rsidRPr="00CA27E3" w14:paraId="7082703F" w14:textId="77777777" w:rsidTr="00060D28">
        <w:tc>
          <w:tcPr>
            <w:tcW w:w="2405" w:type="dxa"/>
            <w:shd w:val="clear" w:color="auto" w:fill="FFFFFF"/>
            <w:vAlign w:val="bottom"/>
          </w:tcPr>
          <w:p w14:paraId="5E4C559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37</w:t>
            </w:r>
          </w:p>
        </w:tc>
        <w:tc>
          <w:tcPr>
            <w:tcW w:w="2390" w:type="dxa"/>
            <w:shd w:val="clear" w:color="auto" w:fill="FFFFFF"/>
            <w:vAlign w:val="bottom"/>
          </w:tcPr>
          <w:p w14:paraId="317B907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91.2</w:t>
            </w:r>
          </w:p>
        </w:tc>
        <w:tc>
          <w:tcPr>
            <w:tcW w:w="2395" w:type="dxa"/>
            <w:shd w:val="clear" w:color="auto" w:fill="FFFFFF"/>
            <w:vAlign w:val="bottom"/>
          </w:tcPr>
          <w:p w14:paraId="6C62EC1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91.2</w:t>
            </w:r>
          </w:p>
        </w:tc>
        <w:tc>
          <w:tcPr>
            <w:tcW w:w="2395" w:type="dxa"/>
            <w:shd w:val="clear" w:color="auto" w:fill="FFFFFF"/>
            <w:vAlign w:val="bottom"/>
          </w:tcPr>
          <w:p w14:paraId="2A072E2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90.8</w:t>
            </w:r>
          </w:p>
        </w:tc>
      </w:tr>
      <w:tr w:rsidR="00CA27E3" w:rsidRPr="00CA27E3" w14:paraId="19CA364F" w14:textId="77777777" w:rsidTr="00060D28">
        <w:tc>
          <w:tcPr>
            <w:tcW w:w="2405" w:type="dxa"/>
            <w:shd w:val="clear" w:color="auto" w:fill="FFFFFF"/>
            <w:vAlign w:val="bottom"/>
          </w:tcPr>
          <w:p w14:paraId="5719182C"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45</w:t>
            </w:r>
          </w:p>
        </w:tc>
        <w:tc>
          <w:tcPr>
            <w:tcW w:w="2390" w:type="dxa"/>
            <w:shd w:val="clear" w:color="auto" w:fill="FFFFFF"/>
            <w:vAlign w:val="bottom"/>
          </w:tcPr>
          <w:p w14:paraId="78C1306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91.7</w:t>
            </w:r>
          </w:p>
        </w:tc>
        <w:tc>
          <w:tcPr>
            <w:tcW w:w="2395" w:type="dxa"/>
            <w:shd w:val="clear" w:color="auto" w:fill="FFFFFF"/>
            <w:vAlign w:val="bottom"/>
          </w:tcPr>
          <w:p w14:paraId="266B49F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91.7</w:t>
            </w:r>
          </w:p>
        </w:tc>
        <w:tc>
          <w:tcPr>
            <w:tcW w:w="2395" w:type="dxa"/>
            <w:shd w:val="clear" w:color="auto" w:fill="FFFFFF"/>
            <w:vAlign w:val="bottom"/>
          </w:tcPr>
          <w:p w14:paraId="7D00911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91.4</w:t>
            </w:r>
          </w:p>
        </w:tc>
      </w:tr>
      <w:tr w:rsidR="00CA27E3" w:rsidRPr="00CA27E3" w14:paraId="3214FB09" w14:textId="77777777" w:rsidTr="00060D28">
        <w:tc>
          <w:tcPr>
            <w:tcW w:w="2405" w:type="dxa"/>
            <w:shd w:val="clear" w:color="auto" w:fill="FFFFFF"/>
            <w:vAlign w:val="bottom"/>
          </w:tcPr>
          <w:p w14:paraId="7D92355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55</w:t>
            </w:r>
          </w:p>
        </w:tc>
        <w:tc>
          <w:tcPr>
            <w:tcW w:w="2390" w:type="dxa"/>
            <w:shd w:val="clear" w:color="auto" w:fill="FFFFFF"/>
            <w:vAlign w:val="bottom"/>
          </w:tcPr>
          <w:p w14:paraId="6D16014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92.1</w:t>
            </w:r>
          </w:p>
        </w:tc>
        <w:tc>
          <w:tcPr>
            <w:tcW w:w="2395" w:type="dxa"/>
            <w:shd w:val="clear" w:color="auto" w:fill="FFFFFF"/>
            <w:vAlign w:val="bottom"/>
          </w:tcPr>
          <w:p w14:paraId="003B1E1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92.1</w:t>
            </w:r>
          </w:p>
        </w:tc>
        <w:tc>
          <w:tcPr>
            <w:tcW w:w="2395" w:type="dxa"/>
            <w:shd w:val="clear" w:color="auto" w:fill="FFFFFF"/>
            <w:vAlign w:val="bottom"/>
          </w:tcPr>
          <w:p w14:paraId="76FF0FF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91.9</w:t>
            </w:r>
          </w:p>
        </w:tc>
      </w:tr>
      <w:tr w:rsidR="00CA27E3" w:rsidRPr="00CA27E3" w14:paraId="57F7DF51" w14:textId="77777777" w:rsidTr="00060D28">
        <w:tc>
          <w:tcPr>
            <w:tcW w:w="2405" w:type="dxa"/>
            <w:shd w:val="clear" w:color="auto" w:fill="FFFFFF"/>
            <w:vAlign w:val="bottom"/>
          </w:tcPr>
          <w:p w14:paraId="69EF4AE1"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75</w:t>
            </w:r>
          </w:p>
        </w:tc>
        <w:tc>
          <w:tcPr>
            <w:tcW w:w="2390" w:type="dxa"/>
            <w:shd w:val="clear" w:color="auto" w:fill="FFFFFF"/>
            <w:vAlign w:val="bottom"/>
          </w:tcPr>
          <w:p w14:paraId="1C1885F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92.7</w:t>
            </w:r>
          </w:p>
        </w:tc>
        <w:tc>
          <w:tcPr>
            <w:tcW w:w="2395" w:type="dxa"/>
            <w:shd w:val="clear" w:color="auto" w:fill="FFFFFF"/>
            <w:vAlign w:val="bottom"/>
          </w:tcPr>
          <w:p w14:paraId="73D706C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92.7</w:t>
            </w:r>
          </w:p>
        </w:tc>
        <w:tc>
          <w:tcPr>
            <w:tcW w:w="2395" w:type="dxa"/>
            <w:shd w:val="clear" w:color="auto" w:fill="FFFFFF"/>
            <w:vAlign w:val="bottom"/>
          </w:tcPr>
          <w:p w14:paraId="1B2AE74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92.6</w:t>
            </w:r>
          </w:p>
        </w:tc>
      </w:tr>
      <w:tr w:rsidR="00CA27E3" w:rsidRPr="00CA27E3" w14:paraId="3718C6C9" w14:textId="77777777" w:rsidTr="00060D28">
        <w:tc>
          <w:tcPr>
            <w:tcW w:w="2405" w:type="dxa"/>
            <w:shd w:val="clear" w:color="auto" w:fill="FFFFFF"/>
            <w:vAlign w:val="bottom"/>
          </w:tcPr>
          <w:p w14:paraId="5B3F13AB"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90</w:t>
            </w:r>
          </w:p>
        </w:tc>
        <w:tc>
          <w:tcPr>
            <w:tcW w:w="2390" w:type="dxa"/>
            <w:shd w:val="clear" w:color="auto" w:fill="FFFFFF"/>
            <w:vAlign w:val="bottom"/>
          </w:tcPr>
          <w:p w14:paraId="1DE280E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93.0</w:t>
            </w:r>
          </w:p>
        </w:tc>
        <w:tc>
          <w:tcPr>
            <w:tcW w:w="2395" w:type="dxa"/>
            <w:shd w:val="clear" w:color="auto" w:fill="FFFFFF"/>
            <w:vAlign w:val="bottom"/>
          </w:tcPr>
          <w:p w14:paraId="157717F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93.0</w:t>
            </w:r>
          </w:p>
        </w:tc>
        <w:tc>
          <w:tcPr>
            <w:tcW w:w="2395" w:type="dxa"/>
            <w:shd w:val="clear" w:color="auto" w:fill="FFFFFF"/>
            <w:vAlign w:val="bottom"/>
          </w:tcPr>
          <w:p w14:paraId="14DE817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92.9</w:t>
            </w:r>
          </w:p>
        </w:tc>
      </w:tr>
      <w:tr w:rsidR="00CA27E3" w:rsidRPr="00CA27E3" w14:paraId="4555B503" w14:textId="77777777" w:rsidTr="00060D28">
        <w:tc>
          <w:tcPr>
            <w:tcW w:w="2405" w:type="dxa"/>
            <w:shd w:val="clear" w:color="auto" w:fill="FFFFFF"/>
            <w:vAlign w:val="center"/>
          </w:tcPr>
          <w:p w14:paraId="4C8ED4BA"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lastRenderedPageBreak/>
              <w:t>110</w:t>
            </w:r>
          </w:p>
        </w:tc>
        <w:tc>
          <w:tcPr>
            <w:tcW w:w="2390" w:type="dxa"/>
            <w:shd w:val="clear" w:color="auto" w:fill="FFFFFF"/>
            <w:vAlign w:val="center"/>
          </w:tcPr>
          <w:p w14:paraId="1E83B6E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93.3</w:t>
            </w:r>
          </w:p>
        </w:tc>
        <w:tc>
          <w:tcPr>
            <w:tcW w:w="2395" w:type="dxa"/>
            <w:shd w:val="clear" w:color="auto" w:fill="FFFFFF"/>
            <w:vAlign w:val="center"/>
          </w:tcPr>
          <w:p w14:paraId="3E0C221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93.3</w:t>
            </w:r>
          </w:p>
        </w:tc>
        <w:tc>
          <w:tcPr>
            <w:tcW w:w="2395" w:type="dxa"/>
            <w:shd w:val="clear" w:color="auto" w:fill="FFFFFF"/>
            <w:vAlign w:val="center"/>
          </w:tcPr>
          <w:p w14:paraId="7283CCD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93.3</w:t>
            </w:r>
          </w:p>
        </w:tc>
      </w:tr>
      <w:tr w:rsidR="00CA27E3" w:rsidRPr="00CA27E3" w14:paraId="16453A6C" w14:textId="77777777" w:rsidTr="00060D28">
        <w:tc>
          <w:tcPr>
            <w:tcW w:w="2405" w:type="dxa"/>
            <w:shd w:val="clear" w:color="auto" w:fill="FFFFFF"/>
            <w:vAlign w:val="bottom"/>
          </w:tcPr>
          <w:p w14:paraId="040DFF66"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132</w:t>
            </w:r>
          </w:p>
        </w:tc>
        <w:tc>
          <w:tcPr>
            <w:tcW w:w="2390" w:type="dxa"/>
            <w:shd w:val="clear" w:color="auto" w:fill="FFFFFF"/>
            <w:vAlign w:val="bottom"/>
          </w:tcPr>
          <w:p w14:paraId="280B8E3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93.5</w:t>
            </w:r>
          </w:p>
        </w:tc>
        <w:tc>
          <w:tcPr>
            <w:tcW w:w="2395" w:type="dxa"/>
            <w:shd w:val="clear" w:color="auto" w:fill="FFFFFF"/>
            <w:vAlign w:val="bottom"/>
          </w:tcPr>
          <w:p w14:paraId="5E5BF3F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93.5</w:t>
            </w:r>
          </w:p>
        </w:tc>
        <w:tc>
          <w:tcPr>
            <w:tcW w:w="2395" w:type="dxa"/>
            <w:shd w:val="clear" w:color="auto" w:fill="FFFFFF"/>
            <w:vAlign w:val="bottom"/>
          </w:tcPr>
          <w:p w14:paraId="08AAA9E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93.5</w:t>
            </w:r>
          </w:p>
        </w:tc>
      </w:tr>
      <w:tr w:rsidR="00CA27E3" w:rsidRPr="00CA27E3" w14:paraId="4CAFE78C" w14:textId="77777777" w:rsidTr="00060D28">
        <w:tc>
          <w:tcPr>
            <w:tcW w:w="2405" w:type="dxa"/>
            <w:shd w:val="clear" w:color="auto" w:fill="FFFFFF"/>
            <w:vAlign w:val="center"/>
          </w:tcPr>
          <w:p w14:paraId="78DEEE7D" w14:textId="77777777" w:rsidR="00FD48C7" w:rsidRPr="00CA27E3" w:rsidRDefault="00BB04FF" w:rsidP="00CA27E3">
            <w:pPr>
              <w:pStyle w:val="Other0"/>
              <w:shd w:val="clear" w:color="auto" w:fill="auto"/>
              <w:spacing w:after="120"/>
              <w:ind w:left="1020"/>
              <w:jc w:val="both"/>
              <w:rPr>
                <w:rFonts w:ascii="Sylfaen" w:hAnsi="Sylfaen" w:cs="Sylfaen"/>
                <w:sz w:val="20"/>
                <w:szCs w:val="20"/>
              </w:rPr>
            </w:pPr>
            <w:r w:rsidRPr="00CA27E3">
              <w:rPr>
                <w:rFonts w:ascii="Sylfaen" w:hAnsi="Sylfaen"/>
                <w:sz w:val="20"/>
                <w:szCs w:val="20"/>
              </w:rPr>
              <w:t>160</w:t>
            </w:r>
          </w:p>
        </w:tc>
        <w:tc>
          <w:tcPr>
            <w:tcW w:w="2390" w:type="dxa"/>
            <w:shd w:val="clear" w:color="auto" w:fill="FFFFFF"/>
            <w:vAlign w:val="center"/>
          </w:tcPr>
          <w:p w14:paraId="1B70268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93.8</w:t>
            </w:r>
          </w:p>
        </w:tc>
        <w:tc>
          <w:tcPr>
            <w:tcW w:w="2395" w:type="dxa"/>
            <w:shd w:val="clear" w:color="auto" w:fill="FFFFFF"/>
            <w:vAlign w:val="center"/>
          </w:tcPr>
          <w:p w14:paraId="3882B8E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93.8</w:t>
            </w:r>
          </w:p>
        </w:tc>
        <w:tc>
          <w:tcPr>
            <w:tcW w:w="2395" w:type="dxa"/>
            <w:shd w:val="clear" w:color="auto" w:fill="FFFFFF"/>
            <w:vAlign w:val="center"/>
          </w:tcPr>
          <w:p w14:paraId="09FD123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93.8</w:t>
            </w:r>
          </w:p>
        </w:tc>
      </w:tr>
      <w:tr w:rsidR="00CA27E3" w:rsidRPr="00CA27E3" w14:paraId="51664302" w14:textId="77777777" w:rsidTr="00060D28">
        <w:tc>
          <w:tcPr>
            <w:tcW w:w="2405" w:type="dxa"/>
            <w:shd w:val="clear" w:color="auto" w:fill="FFFFFF"/>
            <w:vAlign w:val="bottom"/>
          </w:tcPr>
          <w:p w14:paraId="1352C87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201 - 375</w:t>
            </w:r>
          </w:p>
        </w:tc>
        <w:tc>
          <w:tcPr>
            <w:tcW w:w="2390" w:type="dxa"/>
            <w:shd w:val="clear" w:color="auto" w:fill="FFFFFF"/>
            <w:vAlign w:val="bottom"/>
          </w:tcPr>
          <w:p w14:paraId="69E1589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94.0</w:t>
            </w:r>
          </w:p>
        </w:tc>
        <w:tc>
          <w:tcPr>
            <w:tcW w:w="2395" w:type="dxa"/>
            <w:shd w:val="clear" w:color="auto" w:fill="FFFFFF"/>
            <w:vAlign w:val="bottom"/>
          </w:tcPr>
          <w:p w14:paraId="050F9CA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94.0</w:t>
            </w:r>
          </w:p>
        </w:tc>
        <w:tc>
          <w:tcPr>
            <w:tcW w:w="2395" w:type="dxa"/>
            <w:shd w:val="clear" w:color="auto" w:fill="FFFFFF"/>
            <w:vAlign w:val="bottom"/>
          </w:tcPr>
          <w:p w14:paraId="42F879D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94.0</w:t>
            </w:r>
          </w:p>
        </w:tc>
      </w:tr>
    </w:tbl>
    <w:p w14:paraId="5B2575C6" w14:textId="77777777" w:rsidR="00F606E4" w:rsidRDefault="00F606E4" w:rsidP="00CA27E3">
      <w:pPr>
        <w:pStyle w:val="BodyText1"/>
        <w:shd w:val="clear" w:color="auto" w:fill="auto"/>
        <w:spacing w:after="160"/>
        <w:ind w:firstLine="567"/>
        <w:jc w:val="both"/>
        <w:rPr>
          <w:rFonts w:ascii="Sylfaen" w:hAnsi="Sylfaen"/>
          <w:sz w:val="24"/>
          <w:szCs w:val="24"/>
          <w:lang w:val="en-US"/>
        </w:rPr>
      </w:pPr>
    </w:p>
    <w:p w14:paraId="472402CC" w14:textId="77777777" w:rsidR="00FD48C7" w:rsidRPr="00CA27E3" w:rsidRDefault="00060D28"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4.</w:t>
      </w:r>
      <w:r w:rsidR="00F606E4">
        <w:rPr>
          <w:rFonts w:ascii="Sylfaen" w:hAnsi="Sylfaen"/>
          <w:sz w:val="24"/>
          <w:szCs w:val="24"/>
          <w:lang w:val="en-US"/>
        </w:rPr>
        <w:tab/>
      </w:r>
      <w:r w:rsidRPr="00CA27E3">
        <w:rPr>
          <w:rFonts w:ascii="Sylfaen" w:hAnsi="Sylfaen"/>
          <w:sz w:val="24"/>
          <w:szCs w:val="24"/>
        </w:rPr>
        <w:t>2022 թվականի սեպտեմբերի 1-ից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արժեքը չպետք է պակաս լինի 2-րդ աղյուսակում էներգետիկ արդյունավետության IE2 դասի համար սահմանված արժեքներից։</w:t>
      </w:r>
    </w:p>
    <w:p w14:paraId="4B8C2C18" w14:textId="77777777" w:rsidR="00D70EFB" w:rsidRPr="00CA27E3" w:rsidRDefault="00D70EFB" w:rsidP="00CA27E3">
      <w:pPr>
        <w:pStyle w:val="BodyText1"/>
        <w:shd w:val="clear" w:color="auto" w:fill="auto"/>
        <w:spacing w:after="160"/>
        <w:ind w:right="180" w:firstLine="0"/>
        <w:jc w:val="right"/>
        <w:rPr>
          <w:rFonts w:ascii="Sylfaen" w:hAnsi="Sylfaen" w:cs="Sylfaen"/>
          <w:sz w:val="24"/>
          <w:szCs w:val="24"/>
        </w:rPr>
      </w:pPr>
    </w:p>
    <w:p w14:paraId="5B846258" w14:textId="77777777" w:rsidR="00FD48C7" w:rsidRPr="00CA27E3" w:rsidRDefault="00BB04FF" w:rsidP="00CA27E3">
      <w:pPr>
        <w:pStyle w:val="BodyText1"/>
        <w:shd w:val="clear" w:color="auto" w:fill="auto"/>
        <w:spacing w:after="160"/>
        <w:ind w:right="180" w:firstLine="0"/>
        <w:jc w:val="right"/>
        <w:rPr>
          <w:rFonts w:ascii="Sylfaen" w:hAnsi="Sylfaen" w:cs="Sylfaen"/>
          <w:sz w:val="24"/>
          <w:szCs w:val="24"/>
        </w:rPr>
      </w:pPr>
      <w:r w:rsidRPr="00CA27E3">
        <w:rPr>
          <w:rFonts w:ascii="Sylfaen" w:hAnsi="Sylfaen"/>
          <w:sz w:val="24"/>
          <w:szCs w:val="24"/>
        </w:rPr>
        <w:t>Աղյուսակ 2</w:t>
      </w:r>
    </w:p>
    <w:p w14:paraId="00BDAAB5" w14:textId="77777777" w:rsidR="00FD48C7" w:rsidRPr="00CA27E3" w:rsidRDefault="00BB04FF"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Էներգետիկ արդյունավետության IE2 դասի համար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արժեքները՝ 50 Հց հաճախականությամբ փոփոխական հոսանքի ցանցից շարժիչների սնուցման դեպքում</w:t>
      </w:r>
    </w:p>
    <w:tbl>
      <w:tblPr>
        <w:tblOverlap w:val="never"/>
        <w:tblW w:w="0" w:type="auto"/>
        <w:tblLayout w:type="fixed"/>
        <w:tblCellMar>
          <w:left w:w="10" w:type="dxa"/>
          <w:right w:w="10" w:type="dxa"/>
        </w:tblCellMar>
        <w:tblLook w:val="0000" w:firstRow="0" w:lastRow="0" w:firstColumn="0" w:lastColumn="0" w:noHBand="0" w:noVBand="0"/>
      </w:tblPr>
      <w:tblGrid>
        <w:gridCol w:w="2467"/>
        <w:gridCol w:w="2347"/>
        <w:gridCol w:w="2381"/>
        <w:gridCol w:w="2390"/>
      </w:tblGrid>
      <w:tr w:rsidR="00CA27E3" w:rsidRPr="00CA27E3" w14:paraId="68E504CC" w14:textId="77777777" w:rsidTr="00CA27E3">
        <w:trPr>
          <w:tblHeader/>
        </w:trPr>
        <w:tc>
          <w:tcPr>
            <w:tcW w:w="2467" w:type="dxa"/>
            <w:vMerge w:val="restart"/>
            <w:tcBorders>
              <w:top w:val="single" w:sz="4" w:space="0" w:color="auto"/>
              <w:left w:val="single" w:sz="4" w:space="0" w:color="auto"/>
            </w:tcBorders>
            <w:shd w:val="clear" w:color="auto" w:fill="FFFFFF"/>
            <w:vAlign w:val="center"/>
          </w:tcPr>
          <w:p w14:paraId="074A81F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Անվանական հզորությունը, կՎտ</w:t>
            </w:r>
          </w:p>
        </w:tc>
        <w:tc>
          <w:tcPr>
            <w:tcW w:w="7118" w:type="dxa"/>
            <w:gridSpan w:val="3"/>
            <w:tcBorders>
              <w:top w:val="single" w:sz="4" w:space="0" w:color="auto"/>
              <w:left w:val="single" w:sz="4" w:space="0" w:color="auto"/>
              <w:right w:val="single" w:sz="4" w:space="0" w:color="auto"/>
            </w:tcBorders>
            <w:shd w:val="clear" w:color="auto" w:fill="FFFFFF"/>
            <w:vAlign w:val="center"/>
          </w:tcPr>
          <w:p w14:paraId="50690B5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Բեւեռների քանակը</w:t>
            </w:r>
          </w:p>
        </w:tc>
      </w:tr>
      <w:tr w:rsidR="00CA27E3" w:rsidRPr="00CA27E3" w14:paraId="12DFB977" w14:textId="77777777" w:rsidTr="00CA27E3">
        <w:trPr>
          <w:tblHeader/>
        </w:trPr>
        <w:tc>
          <w:tcPr>
            <w:tcW w:w="2467" w:type="dxa"/>
            <w:vMerge/>
            <w:tcBorders>
              <w:left w:val="single" w:sz="4" w:space="0" w:color="auto"/>
            </w:tcBorders>
            <w:shd w:val="clear" w:color="auto" w:fill="FFFFFF"/>
            <w:vAlign w:val="center"/>
          </w:tcPr>
          <w:p w14:paraId="34F5F5C1" w14:textId="77777777" w:rsidR="00FD48C7" w:rsidRPr="00CA27E3" w:rsidRDefault="00FD48C7" w:rsidP="00CA27E3">
            <w:pPr>
              <w:spacing w:after="120"/>
              <w:rPr>
                <w:rFonts w:ascii="Sylfaen" w:hAnsi="Sylfaen" w:cs="Sylfaen"/>
                <w:sz w:val="20"/>
                <w:szCs w:val="20"/>
              </w:rPr>
            </w:pPr>
          </w:p>
        </w:tc>
        <w:tc>
          <w:tcPr>
            <w:tcW w:w="2347" w:type="dxa"/>
            <w:tcBorders>
              <w:top w:val="single" w:sz="4" w:space="0" w:color="auto"/>
              <w:left w:val="single" w:sz="4" w:space="0" w:color="auto"/>
            </w:tcBorders>
            <w:shd w:val="clear" w:color="auto" w:fill="FFFFFF"/>
            <w:vAlign w:val="bottom"/>
          </w:tcPr>
          <w:p w14:paraId="5AE1B95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2</w:t>
            </w:r>
          </w:p>
        </w:tc>
        <w:tc>
          <w:tcPr>
            <w:tcW w:w="2381" w:type="dxa"/>
            <w:tcBorders>
              <w:top w:val="single" w:sz="4" w:space="0" w:color="auto"/>
              <w:left w:val="single" w:sz="4" w:space="0" w:color="auto"/>
            </w:tcBorders>
            <w:shd w:val="clear" w:color="auto" w:fill="FFFFFF"/>
            <w:vAlign w:val="center"/>
          </w:tcPr>
          <w:p w14:paraId="208F27D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w:t>
            </w:r>
          </w:p>
        </w:tc>
        <w:tc>
          <w:tcPr>
            <w:tcW w:w="2390" w:type="dxa"/>
            <w:tcBorders>
              <w:top w:val="single" w:sz="4" w:space="0" w:color="auto"/>
              <w:left w:val="single" w:sz="4" w:space="0" w:color="auto"/>
              <w:right w:val="single" w:sz="4" w:space="0" w:color="auto"/>
            </w:tcBorders>
            <w:shd w:val="clear" w:color="auto" w:fill="FFFFFF"/>
            <w:vAlign w:val="bottom"/>
          </w:tcPr>
          <w:p w14:paraId="2EF89E5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6</w:t>
            </w:r>
          </w:p>
        </w:tc>
      </w:tr>
      <w:tr w:rsidR="00CA27E3" w:rsidRPr="00CA27E3" w14:paraId="7AAF64AB" w14:textId="77777777" w:rsidTr="00060D28">
        <w:tc>
          <w:tcPr>
            <w:tcW w:w="2467" w:type="dxa"/>
            <w:tcBorders>
              <w:top w:val="single" w:sz="4" w:space="0" w:color="auto"/>
            </w:tcBorders>
            <w:shd w:val="clear" w:color="auto" w:fill="FFFFFF"/>
            <w:vAlign w:val="bottom"/>
          </w:tcPr>
          <w:p w14:paraId="2BDACAB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0.75</w:t>
            </w:r>
          </w:p>
        </w:tc>
        <w:tc>
          <w:tcPr>
            <w:tcW w:w="2347" w:type="dxa"/>
            <w:tcBorders>
              <w:top w:val="single" w:sz="4" w:space="0" w:color="auto"/>
            </w:tcBorders>
            <w:shd w:val="clear" w:color="auto" w:fill="FFFFFF"/>
            <w:vAlign w:val="bottom"/>
          </w:tcPr>
          <w:p w14:paraId="03A0C3E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77.4</w:t>
            </w:r>
          </w:p>
        </w:tc>
        <w:tc>
          <w:tcPr>
            <w:tcW w:w="2381" w:type="dxa"/>
            <w:tcBorders>
              <w:top w:val="single" w:sz="4" w:space="0" w:color="auto"/>
            </w:tcBorders>
            <w:shd w:val="clear" w:color="auto" w:fill="FFFFFF"/>
            <w:vAlign w:val="bottom"/>
          </w:tcPr>
          <w:p w14:paraId="498919F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79.6</w:t>
            </w:r>
          </w:p>
        </w:tc>
        <w:tc>
          <w:tcPr>
            <w:tcW w:w="2390" w:type="dxa"/>
            <w:tcBorders>
              <w:top w:val="single" w:sz="4" w:space="0" w:color="auto"/>
            </w:tcBorders>
            <w:shd w:val="clear" w:color="auto" w:fill="FFFFFF"/>
            <w:vAlign w:val="bottom"/>
          </w:tcPr>
          <w:p w14:paraId="2BB5DB6B"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75.9</w:t>
            </w:r>
          </w:p>
        </w:tc>
      </w:tr>
      <w:tr w:rsidR="00CA27E3" w:rsidRPr="00CA27E3" w14:paraId="137C68C7" w14:textId="77777777" w:rsidTr="00060D28">
        <w:tc>
          <w:tcPr>
            <w:tcW w:w="2467" w:type="dxa"/>
            <w:shd w:val="clear" w:color="auto" w:fill="FFFFFF"/>
            <w:vAlign w:val="center"/>
          </w:tcPr>
          <w:p w14:paraId="35B5FB4B"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1.1</w:t>
            </w:r>
          </w:p>
        </w:tc>
        <w:tc>
          <w:tcPr>
            <w:tcW w:w="2347" w:type="dxa"/>
            <w:shd w:val="clear" w:color="auto" w:fill="FFFFFF"/>
            <w:vAlign w:val="center"/>
          </w:tcPr>
          <w:p w14:paraId="217639CD"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79.6</w:t>
            </w:r>
          </w:p>
        </w:tc>
        <w:tc>
          <w:tcPr>
            <w:tcW w:w="2381" w:type="dxa"/>
            <w:shd w:val="clear" w:color="auto" w:fill="FFFFFF"/>
            <w:vAlign w:val="center"/>
          </w:tcPr>
          <w:p w14:paraId="4F9420D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81.4</w:t>
            </w:r>
          </w:p>
        </w:tc>
        <w:tc>
          <w:tcPr>
            <w:tcW w:w="2390" w:type="dxa"/>
            <w:shd w:val="clear" w:color="auto" w:fill="FFFFFF"/>
            <w:vAlign w:val="center"/>
          </w:tcPr>
          <w:p w14:paraId="00BDFC15"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78.1</w:t>
            </w:r>
          </w:p>
        </w:tc>
      </w:tr>
      <w:tr w:rsidR="00CA27E3" w:rsidRPr="00CA27E3" w14:paraId="6AF4488A" w14:textId="77777777" w:rsidTr="00060D28">
        <w:tc>
          <w:tcPr>
            <w:tcW w:w="2467" w:type="dxa"/>
            <w:shd w:val="clear" w:color="auto" w:fill="FFFFFF"/>
            <w:vAlign w:val="center"/>
          </w:tcPr>
          <w:p w14:paraId="26CC6826"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1.5</w:t>
            </w:r>
          </w:p>
        </w:tc>
        <w:tc>
          <w:tcPr>
            <w:tcW w:w="2347" w:type="dxa"/>
            <w:shd w:val="clear" w:color="auto" w:fill="FFFFFF"/>
            <w:vAlign w:val="center"/>
          </w:tcPr>
          <w:p w14:paraId="0AC42E3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81.3</w:t>
            </w:r>
          </w:p>
        </w:tc>
        <w:tc>
          <w:tcPr>
            <w:tcW w:w="2381" w:type="dxa"/>
            <w:shd w:val="clear" w:color="auto" w:fill="FFFFFF"/>
            <w:vAlign w:val="center"/>
          </w:tcPr>
          <w:p w14:paraId="232DE33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82.8</w:t>
            </w:r>
          </w:p>
        </w:tc>
        <w:tc>
          <w:tcPr>
            <w:tcW w:w="2390" w:type="dxa"/>
            <w:shd w:val="clear" w:color="auto" w:fill="FFFFFF"/>
            <w:vAlign w:val="center"/>
          </w:tcPr>
          <w:p w14:paraId="32726E0A"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79.8</w:t>
            </w:r>
          </w:p>
        </w:tc>
      </w:tr>
      <w:tr w:rsidR="00CA27E3" w:rsidRPr="00CA27E3" w14:paraId="21D75F48" w14:textId="77777777" w:rsidTr="00060D28">
        <w:tc>
          <w:tcPr>
            <w:tcW w:w="2467" w:type="dxa"/>
            <w:shd w:val="clear" w:color="auto" w:fill="FFFFFF"/>
            <w:vAlign w:val="bottom"/>
          </w:tcPr>
          <w:p w14:paraId="388FC298"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2.2</w:t>
            </w:r>
          </w:p>
        </w:tc>
        <w:tc>
          <w:tcPr>
            <w:tcW w:w="2347" w:type="dxa"/>
            <w:shd w:val="clear" w:color="auto" w:fill="FFFFFF"/>
            <w:vAlign w:val="center"/>
          </w:tcPr>
          <w:p w14:paraId="7E290506"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83.2</w:t>
            </w:r>
          </w:p>
        </w:tc>
        <w:tc>
          <w:tcPr>
            <w:tcW w:w="2381" w:type="dxa"/>
            <w:shd w:val="clear" w:color="auto" w:fill="FFFFFF"/>
            <w:vAlign w:val="center"/>
          </w:tcPr>
          <w:p w14:paraId="06B2C62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84.3</w:t>
            </w:r>
          </w:p>
        </w:tc>
        <w:tc>
          <w:tcPr>
            <w:tcW w:w="2390" w:type="dxa"/>
            <w:shd w:val="clear" w:color="auto" w:fill="FFFFFF"/>
            <w:vAlign w:val="bottom"/>
          </w:tcPr>
          <w:p w14:paraId="136842C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81.8</w:t>
            </w:r>
          </w:p>
        </w:tc>
      </w:tr>
      <w:tr w:rsidR="00CA27E3" w:rsidRPr="00CA27E3" w14:paraId="3340884C" w14:textId="77777777" w:rsidTr="00060D28">
        <w:tc>
          <w:tcPr>
            <w:tcW w:w="2467" w:type="dxa"/>
            <w:shd w:val="clear" w:color="auto" w:fill="FFFFFF"/>
            <w:vAlign w:val="bottom"/>
          </w:tcPr>
          <w:p w14:paraId="5E6F187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3</w:t>
            </w:r>
          </w:p>
        </w:tc>
        <w:tc>
          <w:tcPr>
            <w:tcW w:w="2347" w:type="dxa"/>
            <w:shd w:val="clear" w:color="auto" w:fill="FFFFFF"/>
            <w:vAlign w:val="bottom"/>
          </w:tcPr>
          <w:p w14:paraId="670A2F65"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84.6</w:t>
            </w:r>
          </w:p>
        </w:tc>
        <w:tc>
          <w:tcPr>
            <w:tcW w:w="2381" w:type="dxa"/>
            <w:shd w:val="clear" w:color="auto" w:fill="FFFFFF"/>
            <w:vAlign w:val="bottom"/>
          </w:tcPr>
          <w:p w14:paraId="0CC92F4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85.5</w:t>
            </w:r>
          </w:p>
        </w:tc>
        <w:tc>
          <w:tcPr>
            <w:tcW w:w="2390" w:type="dxa"/>
            <w:shd w:val="clear" w:color="auto" w:fill="FFFFFF"/>
            <w:vAlign w:val="bottom"/>
          </w:tcPr>
          <w:p w14:paraId="1D286F3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83.3</w:t>
            </w:r>
          </w:p>
        </w:tc>
      </w:tr>
      <w:tr w:rsidR="00CA27E3" w:rsidRPr="00CA27E3" w14:paraId="502FD2F5" w14:textId="77777777" w:rsidTr="00060D28">
        <w:tc>
          <w:tcPr>
            <w:tcW w:w="2467" w:type="dxa"/>
            <w:shd w:val="clear" w:color="auto" w:fill="FFFFFF"/>
            <w:vAlign w:val="center"/>
          </w:tcPr>
          <w:p w14:paraId="4DB99F3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w:t>
            </w:r>
          </w:p>
        </w:tc>
        <w:tc>
          <w:tcPr>
            <w:tcW w:w="2347" w:type="dxa"/>
            <w:shd w:val="clear" w:color="auto" w:fill="FFFFFF"/>
            <w:vAlign w:val="center"/>
          </w:tcPr>
          <w:p w14:paraId="651E692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85.8</w:t>
            </w:r>
          </w:p>
        </w:tc>
        <w:tc>
          <w:tcPr>
            <w:tcW w:w="2381" w:type="dxa"/>
            <w:shd w:val="clear" w:color="auto" w:fill="FFFFFF"/>
            <w:vAlign w:val="center"/>
          </w:tcPr>
          <w:p w14:paraId="5AB6063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86.6</w:t>
            </w:r>
          </w:p>
        </w:tc>
        <w:tc>
          <w:tcPr>
            <w:tcW w:w="2390" w:type="dxa"/>
            <w:shd w:val="clear" w:color="auto" w:fill="FFFFFF"/>
            <w:vAlign w:val="center"/>
          </w:tcPr>
          <w:p w14:paraId="141A4E0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84.6</w:t>
            </w:r>
          </w:p>
        </w:tc>
      </w:tr>
      <w:tr w:rsidR="00CA27E3" w:rsidRPr="00CA27E3" w14:paraId="08EE1A5F" w14:textId="77777777" w:rsidTr="00060D28">
        <w:tc>
          <w:tcPr>
            <w:tcW w:w="2467" w:type="dxa"/>
            <w:shd w:val="clear" w:color="auto" w:fill="FFFFFF"/>
            <w:vAlign w:val="center"/>
          </w:tcPr>
          <w:p w14:paraId="55BCE33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5.5</w:t>
            </w:r>
          </w:p>
        </w:tc>
        <w:tc>
          <w:tcPr>
            <w:tcW w:w="2347" w:type="dxa"/>
            <w:shd w:val="clear" w:color="auto" w:fill="FFFFFF"/>
            <w:vAlign w:val="center"/>
          </w:tcPr>
          <w:p w14:paraId="4A6653A8"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87.0</w:t>
            </w:r>
          </w:p>
        </w:tc>
        <w:tc>
          <w:tcPr>
            <w:tcW w:w="2381" w:type="dxa"/>
            <w:shd w:val="clear" w:color="auto" w:fill="FFFFFF"/>
            <w:vAlign w:val="center"/>
          </w:tcPr>
          <w:p w14:paraId="52A42C3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87.7</w:t>
            </w:r>
          </w:p>
        </w:tc>
        <w:tc>
          <w:tcPr>
            <w:tcW w:w="2390" w:type="dxa"/>
            <w:shd w:val="clear" w:color="auto" w:fill="FFFFFF"/>
            <w:vAlign w:val="center"/>
          </w:tcPr>
          <w:p w14:paraId="7F41588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86.0</w:t>
            </w:r>
          </w:p>
        </w:tc>
      </w:tr>
      <w:tr w:rsidR="00CA27E3" w:rsidRPr="00CA27E3" w14:paraId="0557BCC3" w14:textId="77777777" w:rsidTr="00060D28">
        <w:tc>
          <w:tcPr>
            <w:tcW w:w="2467" w:type="dxa"/>
            <w:shd w:val="clear" w:color="auto" w:fill="FFFFFF"/>
            <w:vAlign w:val="center"/>
          </w:tcPr>
          <w:p w14:paraId="31767492"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7.5</w:t>
            </w:r>
          </w:p>
        </w:tc>
        <w:tc>
          <w:tcPr>
            <w:tcW w:w="2347" w:type="dxa"/>
            <w:shd w:val="clear" w:color="auto" w:fill="FFFFFF"/>
            <w:vAlign w:val="center"/>
          </w:tcPr>
          <w:p w14:paraId="2862D883"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88.1</w:t>
            </w:r>
          </w:p>
        </w:tc>
        <w:tc>
          <w:tcPr>
            <w:tcW w:w="2381" w:type="dxa"/>
            <w:shd w:val="clear" w:color="auto" w:fill="FFFFFF"/>
            <w:vAlign w:val="center"/>
          </w:tcPr>
          <w:p w14:paraId="7318DA6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88.7</w:t>
            </w:r>
          </w:p>
        </w:tc>
        <w:tc>
          <w:tcPr>
            <w:tcW w:w="2390" w:type="dxa"/>
            <w:shd w:val="clear" w:color="auto" w:fill="FFFFFF"/>
            <w:vAlign w:val="center"/>
          </w:tcPr>
          <w:p w14:paraId="1B7F7FD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87.2</w:t>
            </w:r>
          </w:p>
        </w:tc>
      </w:tr>
      <w:tr w:rsidR="00CA27E3" w:rsidRPr="00CA27E3" w14:paraId="64A77B1C" w14:textId="77777777" w:rsidTr="00060D28">
        <w:tc>
          <w:tcPr>
            <w:tcW w:w="2467" w:type="dxa"/>
            <w:shd w:val="clear" w:color="auto" w:fill="FFFFFF"/>
            <w:vAlign w:val="center"/>
          </w:tcPr>
          <w:p w14:paraId="11F1490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11</w:t>
            </w:r>
          </w:p>
        </w:tc>
        <w:tc>
          <w:tcPr>
            <w:tcW w:w="2347" w:type="dxa"/>
            <w:shd w:val="clear" w:color="auto" w:fill="FFFFFF"/>
            <w:vAlign w:val="center"/>
          </w:tcPr>
          <w:p w14:paraId="708B5041"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89.4</w:t>
            </w:r>
          </w:p>
        </w:tc>
        <w:tc>
          <w:tcPr>
            <w:tcW w:w="2381" w:type="dxa"/>
            <w:shd w:val="clear" w:color="auto" w:fill="FFFFFF"/>
            <w:vAlign w:val="center"/>
          </w:tcPr>
          <w:p w14:paraId="2B92CF1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89.8</w:t>
            </w:r>
          </w:p>
        </w:tc>
        <w:tc>
          <w:tcPr>
            <w:tcW w:w="2390" w:type="dxa"/>
            <w:shd w:val="clear" w:color="auto" w:fill="FFFFFF"/>
            <w:vAlign w:val="center"/>
          </w:tcPr>
          <w:p w14:paraId="3A1F7A6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88.7</w:t>
            </w:r>
          </w:p>
        </w:tc>
      </w:tr>
      <w:tr w:rsidR="00CA27E3" w:rsidRPr="00CA27E3" w14:paraId="180BEA1E" w14:textId="77777777" w:rsidTr="00060D28">
        <w:tc>
          <w:tcPr>
            <w:tcW w:w="2467" w:type="dxa"/>
            <w:shd w:val="clear" w:color="auto" w:fill="FFFFFF"/>
            <w:vAlign w:val="bottom"/>
          </w:tcPr>
          <w:p w14:paraId="082ADC22"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15</w:t>
            </w:r>
          </w:p>
        </w:tc>
        <w:tc>
          <w:tcPr>
            <w:tcW w:w="2347" w:type="dxa"/>
            <w:shd w:val="clear" w:color="auto" w:fill="FFFFFF"/>
            <w:vAlign w:val="bottom"/>
          </w:tcPr>
          <w:p w14:paraId="6F4BBA99"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90.3</w:t>
            </w:r>
          </w:p>
        </w:tc>
        <w:tc>
          <w:tcPr>
            <w:tcW w:w="2381" w:type="dxa"/>
            <w:shd w:val="clear" w:color="auto" w:fill="FFFFFF"/>
            <w:vAlign w:val="bottom"/>
          </w:tcPr>
          <w:p w14:paraId="47426CE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90.6</w:t>
            </w:r>
          </w:p>
        </w:tc>
        <w:tc>
          <w:tcPr>
            <w:tcW w:w="2390" w:type="dxa"/>
            <w:shd w:val="clear" w:color="auto" w:fill="FFFFFF"/>
            <w:vAlign w:val="bottom"/>
          </w:tcPr>
          <w:p w14:paraId="5A58B45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89.7</w:t>
            </w:r>
          </w:p>
        </w:tc>
      </w:tr>
      <w:tr w:rsidR="00CA27E3" w:rsidRPr="00CA27E3" w14:paraId="64FA376D" w14:textId="77777777" w:rsidTr="00060D28">
        <w:tc>
          <w:tcPr>
            <w:tcW w:w="2467" w:type="dxa"/>
            <w:shd w:val="clear" w:color="auto" w:fill="FFFFFF"/>
            <w:vAlign w:val="bottom"/>
          </w:tcPr>
          <w:p w14:paraId="1C21395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18.5</w:t>
            </w:r>
          </w:p>
        </w:tc>
        <w:tc>
          <w:tcPr>
            <w:tcW w:w="2347" w:type="dxa"/>
            <w:shd w:val="clear" w:color="auto" w:fill="FFFFFF"/>
            <w:vAlign w:val="bottom"/>
          </w:tcPr>
          <w:p w14:paraId="41A0D00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90.9</w:t>
            </w:r>
          </w:p>
        </w:tc>
        <w:tc>
          <w:tcPr>
            <w:tcW w:w="2381" w:type="dxa"/>
            <w:shd w:val="clear" w:color="auto" w:fill="FFFFFF"/>
            <w:vAlign w:val="bottom"/>
          </w:tcPr>
          <w:p w14:paraId="5158D90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91.2</w:t>
            </w:r>
          </w:p>
        </w:tc>
        <w:tc>
          <w:tcPr>
            <w:tcW w:w="2390" w:type="dxa"/>
            <w:shd w:val="clear" w:color="auto" w:fill="FFFFFF"/>
            <w:vAlign w:val="bottom"/>
          </w:tcPr>
          <w:p w14:paraId="588AEED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90.4</w:t>
            </w:r>
          </w:p>
        </w:tc>
      </w:tr>
      <w:tr w:rsidR="00CA27E3" w:rsidRPr="00CA27E3" w14:paraId="367F08D2" w14:textId="77777777" w:rsidTr="00060D28">
        <w:tc>
          <w:tcPr>
            <w:tcW w:w="2467" w:type="dxa"/>
            <w:shd w:val="clear" w:color="auto" w:fill="FFFFFF"/>
            <w:vAlign w:val="center"/>
          </w:tcPr>
          <w:p w14:paraId="6E2D31B4"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22</w:t>
            </w:r>
          </w:p>
        </w:tc>
        <w:tc>
          <w:tcPr>
            <w:tcW w:w="2347" w:type="dxa"/>
            <w:shd w:val="clear" w:color="auto" w:fill="FFFFFF"/>
            <w:vAlign w:val="center"/>
          </w:tcPr>
          <w:p w14:paraId="56D8AFD0"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91.3</w:t>
            </w:r>
          </w:p>
        </w:tc>
        <w:tc>
          <w:tcPr>
            <w:tcW w:w="2381" w:type="dxa"/>
            <w:shd w:val="clear" w:color="auto" w:fill="FFFFFF"/>
            <w:vAlign w:val="center"/>
          </w:tcPr>
          <w:p w14:paraId="51DDAE4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91.6</w:t>
            </w:r>
          </w:p>
        </w:tc>
        <w:tc>
          <w:tcPr>
            <w:tcW w:w="2390" w:type="dxa"/>
            <w:shd w:val="clear" w:color="auto" w:fill="FFFFFF"/>
            <w:vAlign w:val="center"/>
          </w:tcPr>
          <w:p w14:paraId="4073D35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90.9</w:t>
            </w:r>
          </w:p>
        </w:tc>
      </w:tr>
      <w:tr w:rsidR="00CA27E3" w:rsidRPr="00CA27E3" w14:paraId="4386B467" w14:textId="77777777" w:rsidTr="00060D28">
        <w:tc>
          <w:tcPr>
            <w:tcW w:w="2467" w:type="dxa"/>
            <w:shd w:val="clear" w:color="auto" w:fill="FFFFFF"/>
            <w:vAlign w:val="bottom"/>
          </w:tcPr>
          <w:p w14:paraId="428228D2"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30</w:t>
            </w:r>
          </w:p>
        </w:tc>
        <w:tc>
          <w:tcPr>
            <w:tcW w:w="2347" w:type="dxa"/>
            <w:shd w:val="clear" w:color="auto" w:fill="FFFFFF"/>
            <w:vAlign w:val="bottom"/>
          </w:tcPr>
          <w:p w14:paraId="1664D38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92.0</w:t>
            </w:r>
          </w:p>
        </w:tc>
        <w:tc>
          <w:tcPr>
            <w:tcW w:w="2381" w:type="dxa"/>
            <w:shd w:val="clear" w:color="auto" w:fill="FFFFFF"/>
            <w:vAlign w:val="bottom"/>
          </w:tcPr>
          <w:p w14:paraId="3514010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92.3</w:t>
            </w:r>
          </w:p>
        </w:tc>
        <w:tc>
          <w:tcPr>
            <w:tcW w:w="2390" w:type="dxa"/>
            <w:shd w:val="clear" w:color="auto" w:fill="FFFFFF"/>
            <w:vAlign w:val="bottom"/>
          </w:tcPr>
          <w:p w14:paraId="5B78C76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91.7</w:t>
            </w:r>
          </w:p>
        </w:tc>
      </w:tr>
      <w:tr w:rsidR="00CA27E3" w:rsidRPr="00CA27E3" w14:paraId="100DCCF9" w14:textId="77777777" w:rsidTr="00060D28">
        <w:tc>
          <w:tcPr>
            <w:tcW w:w="2467" w:type="dxa"/>
            <w:shd w:val="clear" w:color="auto" w:fill="FFFFFF"/>
            <w:vAlign w:val="bottom"/>
          </w:tcPr>
          <w:p w14:paraId="21C3A22B"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37</w:t>
            </w:r>
          </w:p>
        </w:tc>
        <w:tc>
          <w:tcPr>
            <w:tcW w:w="2347" w:type="dxa"/>
            <w:shd w:val="clear" w:color="auto" w:fill="FFFFFF"/>
            <w:vAlign w:val="bottom"/>
          </w:tcPr>
          <w:p w14:paraId="693121C9"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92.5</w:t>
            </w:r>
          </w:p>
        </w:tc>
        <w:tc>
          <w:tcPr>
            <w:tcW w:w="2381" w:type="dxa"/>
            <w:shd w:val="clear" w:color="auto" w:fill="FFFFFF"/>
            <w:vAlign w:val="bottom"/>
          </w:tcPr>
          <w:p w14:paraId="1CEA17E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92.7</w:t>
            </w:r>
          </w:p>
        </w:tc>
        <w:tc>
          <w:tcPr>
            <w:tcW w:w="2390" w:type="dxa"/>
            <w:shd w:val="clear" w:color="auto" w:fill="FFFFFF"/>
            <w:vAlign w:val="bottom"/>
          </w:tcPr>
          <w:p w14:paraId="5BA2CFE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92.2</w:t>
            </w:r>
          </w:p>
        </w:tc>
      </w:tr>
      <w:tr w:rsidR="00CA27E3" w:rsidRPr="00CA27E3" w14:paraId="2213516F" w14:textId="77777777" w:rsidTr="00060D28">
        <w:tc>
          <w:tcPr>
            <w:tcW w:w="2467" w:type="dxa"/>
            <w:shd w:val="clear" w:color="auto" w:fill="FFFFFF"/>
            <w:vAlign w:val="bottom"/>
          </w:tcPr>
          <w:p w14:paraId="7C7D24F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45</w:t>
            </w:r>
          </w:p>
        </w:tc>
        <w:tc>
          <w:tcPr>
            <w:tcW w:w="2347" w:type="dxa"/>
            <w:shd w:val="clear" w:color="auto" w:fill="FFFFFF"/>
            <w:vAlign w:val="bottom"/>
          </w:tcPr>
          <w:p w14:paraId="67FF7CD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92.9</w:t>
            </w:r>
          </w:p>
        </w:tc>
        <w:tc>
          <w:tcPr>
            <w:tcW w:w="2381" w:type="dxa"/>
            <w:shd w:val="clear" w:color="auto" w:fill="FFFFFF"/>
            <w:vAlign w:val="bottom"/>
          </w:tcPr>
          <w:p w14:paraId="4F64C94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93.1</w:t>
            </w:r>
          </w:p>
        </w:tc>
        <w:tc>
          <w:tcPr>
            <w:tcW w:w="2390" w:type="dxa"/>
            <w:shd w:val="clear" w:color="auto" w:fill="FFFFFF"/>
            <w:vAlign w:val="bottom"/>
          </w:tcPr>
          <w:p w14:paraId="688A70B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92.7</w:t>
            </w:r>
          </w:p>
        </w:tc>
      </w:tr>
      <w:tr w:rsidR="00CA27E3" w:rsidRPr="00CA27E3" w14:paraId="79480526" w14:textId="77777777" w:rsidTr="00060D28">
        <w:tc>
          <w:tcPr>
            <w:tcW w:w="2467" w:type="dxa"/>
            <w:shd w:val="clear" w:color="auto" w:fill="FFFFFF"/>
            <w:vAlign w:val="bottom"/>
          </w:tcPr>
          <w:p w14:paraId="5A27DC33"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lastRenderedPageBreak/>
              <w:t>55</w:t>
            </w:r>
          </w:p>
        </w:tc>
        <w:tc>
          <w:tcPr>
            <w:tcW w:w="2347" w:type="dxa"/>
            <w:shd w:val="clear" w:color="auto" w:fill="FFFFFF"/>
            <w:vAlign w:val="bottom"/>
          </w:tcPr>
          <w:p w14:paraId="4637784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93.2</w:t>
            </w:r>
          </w:p>
        </w:tc>
        <w:tc>
          <w:tcPr>
            <w:tcW w:w="2381" w:type="dxa"/>
            <w:shd w:val="clear" w:color="auto" w:fill="FFFFFF"/>
            <w:vAlign w:val="bottom"/>
          </w:tcPr>
          <w:p w14:paraId="590F11C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93.5</w:t>
            </w:r>
          </w:p>
        </w:tc>
        <w:tc>
          <w:tcPr>
            <w:tcW w:w="2390" w:type="dxa"/>
            <w:shd w:val="clear" w:color="auto" w:fill="FFFFFF"/>
            <w:vAlign w:val="bottom"/>
          </w:tcPr>
          <w:p w14:paraId="32296658"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93.1</w:t>
            </w:r>
          </w:p>
        </w:tc>
      </w:tr>
      <w:tr w:rsidR="00CA27E3" w:rsidRPr="00CA27E3" w14:paraId="6C1D4023" w14:textId="77777777" w:rsidTr="00060D28">
        <w:tc>
          <w:tcPr>
            <w:tcW w:w="2467" w:type="dxa"/>
            <w:shd w:val="clear" w:color="auto" w:fill="FFFFFF"/>
            <w:vAlign w:val="bottom"/>
          </w:tcPr>
          <w:p w14:paraId="5AFA721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75</w:t>
            </w:r>
          </w:p>
        </w:tc>
        <w:tc>
          <w:tcPr>
            <w:tcW w:w="2347" w:type="dxa"/>
            <w:shd w:val="clear" w:color="auto" w:fill="FFFFFF"/>
            <w:vAlign w:val="bottom"/>
          </w:tcPr>
          <w:p w14:paraId="54F712B3"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93.8</w:t>
            </w:r>
          </w:p>
        </w:tc>
        <w:tc>
          <w:tcPr>
            <w:tcW w:w="2381" w:type="dxa"/>
            <w:shd w:val="clear" w:color="auto" w:fill="FFFFFF"/>
            <w:vAlign w:val="bottom"/>
          </w:tcPr>
          <w:p w14:paraId="2595480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94.0</w:t>
            </w:r>
          </w:p>
        </w:tc>
        <w:tc>
          <w:tcPr>
            <w:tcW w:w="2390" w:type="dxa"/>
            <w:shd w:val="clear" w:color="auto" w:fill="FFFFFF"/>
            <w:vAlign w:val="bottom"/>
          </w:tcPr>
          <w:p w14:paraId="6AF8F6B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93.7</w:t>
            </w:r>
          </w:p>
        </w:tc>
      </w:tr>
      <w:tr w:rsidR="00CA27E3" w:rsidRPr="00CA27E3" w14:paraId="2DAFDDF3" w14:textId="77777777" w:rsidTr="00060D28">
        <w:tc>
          <w:tcPr>
            <w:tcW w:w="2467" w:type="dxa"/>
            <w:shd w:val="clear" w:color="auto" w:fill="FFFFFF"/>
            <w:vAlign w:val="bottom"/>
          </w:tcPr>
          <w:p w14:paraId="39327C85"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90</w:t>
            </w:r>
          </w:p>
        </w:tc>
        <w:tc>
          <w:tcPr>
            <w:tcW w:w="2347" w:type="dxa"/>
            <w:shd w:val="clear" w:color="auto" w:fill="FFFFFF"/>
            <w:vAlign w:val="bottom"/>
          </w:tcPr>
          <w:p w14:paraId="60DFD341"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94.1</w:t>
            </w:r>
          </w:p>
        </w:tc>
        <w:tc>
          <w:tcPr>
            <w:tcW w:w="2381" w:type="dxa"/>
            <w:shd w:val="clear" w:color="auto" w:fill="FFFFFF"/>
            <w:vAlign w:val="bottom"/>
          </w:tcPr>
          <w:p w14:paraId="05B855C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94.2</w:t>
            </w:r>
          </w:p>
        </w:tc>
        <w:tc>
          <w:tcPr>
            <w:tcW w:w="2390" w:type="dxa"/>
            <w:shd w:val="clear" w:color="auto" w:fill="FFFFFF"/>
            <w:vAlign w:val="bottom"/>
          </w:tcPr>
          <w:p w14:paraId="0BBEB19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94.0</w:t>
            </w:r>
          </w:p>
        </w:tc>
      </w:tr>
      <w:tr w:rsidR="00CA27E3" w:rsidRPr="00CA27E3" w14:paraId="2B5E2C02" w14:textId="77777777" w:rsidTr="00060D28">
        <w:tc>
          <w:tcPr>
            <w:tcW w:w="2467" w:type="dxa"/>
            <w:shd w:val="clear" w:color="auto" w:fill="FFFFFF"/>
            <w:vAlign w:val="center"/>
          </w:tcPr>
          <w:p w14:paraId="4EE282ED"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110</w:t>
            </w:r>
          </w:p>
        </w:tc>
        <w:tc>
          <w:tcPr>
            <w:tcW w:w="2347" w:type="dxa"/>
            <w:shd w:val="clear" w:color="auto" w:fill="FFFFFF"/>
            <w:vAlign w:val="center"/>
          </w:tcPr>
          <w:p w14:paraId="62C59B28"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94.3</w:t>
            </w:r>
          </w:p>
        </w:tc>
        <w:tc>
          <w:tcPr>
            <w:tcW w:w="2381" w:type="dxa"/>
            <w:shd w:val="clear" w:color="auto" w:fill="FFFFFF"/>
            <w:vAlign w:val="center"/>
          </w:tcPr>
          <w:p w14:paraId="51DE3E4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94.5</w:t>
            </w:r>
          </w:p>
        </w:tc>
        <w:tc>
          <w:tcPr>
            <w:tcW w:w="2390" w:type="dxa"/>
            <w:shd w:val="clear" w:color="auto" w:fill="FFFFFF"/>
            <w:vAlign w:val="center"/>
          </w:tcPr>
          <w:p w14:paraId="5608D19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94.3</w:t>
            </w:r>
          </w:p>
        </w:tc>
      </w:tr>
      <w:tr w:rsidR="00CA27E3" w:rsidRPr="00CA27E3" w14:paraId="3E8C6BAB" w14:textId="77777777" w:rsidTr="00060D28">
        <w:tc>
          <w:tcPr>
            <w:tcW w:w="2467" w:type="dxa"/>
            <w:shd w:val="clear" w:color="auto" w:fill="FFFFFF"/>
            <w:vAlign w:val="bottom"/>
          </w:tcPr>
          <w:p w14:paraId="56CB1680"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132</w:t>
            </w:r>
          </w:p>
        </w:tc>
        <w:tc>
          <w:tcPr>
            <w:tcW w:w="2347" w:type="dxa"/>
            <w:shd w:val="clear" w:color="auto" w:fill="FFFFFF"/>
            <w:vAlign w:val="bottom"/>
          </w:tcPr>
          <w:p w14:paraId="482B1B2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94.6</w:t>
            </w:r>
          </w:p>
        </w:tc>
        <w:tc>
          <w:tcPr>
            <w:tcW w:w="2381" w:type="dxa"/>
            <w:shd w:val="clear" w:color="auto" w:fill="FFFFFF"/>
            <w:vAlign w:val="bottom"/>
          </w:tcPr>
          <w:p w14:paraId="38BE255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94.7</w:t>
            </w:r>
          </w:p>
        </w:tc>
        <w:tc>
          <w:tcPr>
            <w:tcW w:w="2390" w:type="dxa"/>
            <w:shd w:val="clear" w:color="auto" w:fill="FFFFFF"/>
            <w:vAlign w:val="bottom"/>
          </w:tcPr>
          <w:p w14:paraId="71AABFC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94.6</w:t>
            </w:r>
          </w:p>
        </w:tc>
      </w:tr>
      <w:tr w:rsidR="00CA27E3" w:rsidRPr="00CA27E3" w14:paraId="5DD563AC" w14:textId="77777777" w:rsidTr="00060D28">
        <w:tc>
          <w:tcPr>
            <w:tcW w:w="2467" w:type="dxa"/>
            <w:shd w:val="clear" w:color="auto" w:fill="FFFFFF"/>
            <w:vAlign w:val="center"/>
          </w:tcPr>
          <w:p w14:paraId="2C0B5D75" w14:textId="77777777" w:rsidR="00FD48C7" w:rsidRPr="00CA27E3" w:rsidRDefault="00BB04FF" w:rsidP="00CA27E3">
            <w:pPr>
              <w:pStyle w:val="Other0"/>
              <w:shd w:val="clear" w:color="auto" w:fill="auto"/>
              <w:spacing w:after="120"/>
              <w:ind w:left="1060"/>
              <w:jc w:val="both"/>
              <w:rPr>
                <w:rFonts w:ascii="Sylfaen" w:hAnsi="Sylfaen" w:cs="Sylfaen"/>
                <w:sz w:val="20"/>
                <w:szCs w:val="20"/>
              </w:rPr>
            </w:pPr>
            <w:r w:rsidRPr="00CA27E3">
              <w:rPr>
                <w:rFonts w:ascii="Sylfaen" w:hAnsi="Sylfaen"/>
                <w:sz w:val="20"/>
                <w:szCs w:val="20"/>
              </w:rPr>
              <w:t>160</w:t>
            </w:r>
          </w:p>
        </w:tc>
        <w:tc>
          <w:tcPr>
            <w:tcW w:w="2347" w:type="dxa"/>
            <w:shd w:val="clear" w:color="auto" w:fill="FFFFFF"/>
            <w:vAlign w:val="center"/>
          </w:tcPr>
          <w:p w14:paraId="4B0D1F47" w14:textId="77777777" w:rsidR="00FD48C7" w:rsidRPr="00CA27E3" w:rsidRDefault="00BB04FF" w:rsidP="00CA27E3">
            <w:pPr>
              <w:pStyle w:val="Other0"/>
              <w:shd w:val="clear" w:color="auto" w:fill="auto"/>
              <w:spacing w:after="120"/>
              <w:ind w:firstLine="940"/>
              <w:jc w:val="both"/>
              <w:rPr>
                <w:rFonts w:ascii="Sylfaen" w:hAnsi="Sylfaen" w:cs="Sylfaen"/>
                <w:sz w:val="20"/>
                <w:szCs w:val="20"/>
              </w:rPr>
            </w:pPr>
            <w:r w:rsidRPr="00CA27E3">
              <w:rPr>
                <w:rFonts w:ascii="Sylfaen" w:hAnsi="Sylfaen"/>
                <w:sz w:val="20"/>
                <w:szCs w:val="20"/>
              </w:rPr>
              <w:t>94.8</w:t>
            </w:r>
          </w:p>
        </w:tc>
        <w:tc>
          <w:tcPr>
            <w:tcW w:w="2381" w:type="dxa"/>
            <w:shd w:val="clear" w:color="auto" w:fill="FFFFFF"/>
            <w:vAlign w:val="center"/>
          </w:tcPr>
          <w:p w14:paraId="5175D57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94.9</w:t>
            </w:r>
          </w:p>
        </w:tc>
        <w:tc>
          <w:tcPr>
            <w:tcW w:w="2390" w:type="dxa"/>
            <w:shd w:val="clear" w:color="auto" w:fill="FFFFFF"/>
            <w:vAlign w:val="center"/>
          </w:tcPr>
          <w:p w14:paraId="308AF49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94.8</w:t>
            </w:r>
          </w:p>
        </w:tc>
      </w:tr>
      <w:tr w:rsidR="00CA27E3" w:rsidRPr="00CA27E3" w14:paraId="2510C165" w14:textId="77777777" w:rsidTr="00060D28">
        <w:tc>
          <w:tcPr>
            <w:tcW w:w="2467" w:type="dxa"/>
            <w:shd w:val="clear" w:color="auto" w:fill="FFFFFF"/>
            <w:vAlign w:val="bottom"/>
          </w:tcPr>
          <w:p w14:paraId="5E5DA72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201 - 375</w:t>
            </w:r>
          </w:p>
        </w:tc>
        <w:tc>
          <w:tcPr>
            <w:tcW w:w="2347" w:type="dxa"/>
            <w:shd w:val="clear" w:color="auto" w:fill="FFFFFF"/>
            <w:vAlign w:val="bottom"/>
          </w:tcPr>
          <w:p w14:paraId="49E1A18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95.0</w:t>
            </w:r>
          </w:p>
        </w:tc>
        <w:tc>
          <w:tcPr>
            <w:tcW w:w="2381" w:type="dxa"/>
            <w:shd w:val="clear" w:color="auto" w:fill="FFFFFF"/>
            <w:vAlign w:val="bottom"/>
          </w:tcPr>
          <w:p w14:paraId="6FFEEAF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95.1</w:t>
            </w:r>
          </w:p>
        </w:tc>
        <w:tc>
          <w:tcPr>
            <w:tcW w:w="2390" w:type="dxa"/>
            <w:shd w:val="clear" w:color="auto" w:fill="FFFFFF"/>
            <w:vAlign w:val="bottom"/>
          </w:tcPr>
          <w:p w14:paraId="2189230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95.0</w:t>
            </w:r>
          </w:p>
        </w:tc>
      </w:tr>
    </w:tbl>
    <w:p w14:paraId="0ED805FA" w14:textId="77777777" w:rsidR="00FD48C7" w:rsidRPr="00CA27E3" w:rsidRDefault="00FD48C7" w:rsidP="00CA27E3">
      <w:pPr>
        <w:spacing w:after="160" w:line="360" w:lineRule="auto"/>
        <w:rPr>
          <w:rFonts w:ascii="Sylfaen" w:hAnsi="Sylfaen" w:cs="Sylfaen"/>
        </w:rPr>
      </w:pPr>
    </w:p>
    <w:p w14:paraId="106A09D6" w14:textId="77777777" w:rsidR="00FD48C7" w:rsidRPr="00CA27E3" w:rsidRDefault="00060D28"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F606E4" w:rsidRPr="00F606E4">
        <w:rPr>
          <w:rFonts w:ascii="Sylfaen" w:hAnsi="Sylfaen"/>
          <w:sz w:val="24"/>
          <w:szCs w:val="24"/>
        </w:rPr>
        <w:tab/>
      </w:r>
      <w:r w:rsidRPr="00CA27E3">
        <w:rPr>
          <w:rFonts w:ascii="Sylfaen" w:hAnsi="Sylfaen"/>
          <w:sz w:val="24"/>
          <w:szCs w:val="24"/>
        </w:rPr>
        <w:t>2024 թվականի սեպտեմբերի 1-ից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xml:space="preserve">) արժեքը 7,5-ից մինչեւ 375 կՎտ անվանական հզորությամբ </w:t>
      </w:r>
      <w:r w:rsidR="004C08EC" w:rsidRPr="00CA27E3">
        <w:rPr>
          <w:rFonts w:ascii="Sylfaen" w:hAnsi="Sylfaen"/>
          <w:sz w:val="24"/>
          <w:szCs w:val="24"/>
        </w:rPr>
        <w:t xml:space="preserve">շարժիչների համար չպետք է պակաս լինի 3-րդ աղյուսակում էներգետիկ արդյունավետության IE3 դասի համար սահմանված արժեքներից, կամ պետք է համապատասխանի էներգետիկ արդյունավետության IE2 դասին՝ պտտման արագության կարգավորման համար </w:t>
      </w:r>
      <w:r w:rsidR="004E151F" w:rsidRPr="00CA27E3">
        <w:rPr>
          <w:rFonts w:ascii="Sylfaen" w:hAnsi="Sylfaen"/>
          <w:sz w:val="24"/>
          <w:szCs w:val="24"/>
        </w:rPr>
        <w:t>հաճախական</w:t>
      </w:r>
      <w:r w:rsidRPr="00CA27E3">
        <w:rPr>
          <w:rFonts w:ascii="Sylfaen" w:hAnsi="Sylfaen"/>
          <w:sz w:val="24"/>
          <w:szCs w:val="24"/>
        </w:rPr>
        <w:t>ության</w:t>
      </w:r>
      <w:r w:rsidR="004C08EC" w:rsidRPr="00CA27E3">
        <w:rPr>
          <w:rFonts w:ascii="Sylfaen" w:hAnsi="Sylfaen"/>
          <w:sz w:val="24"/>
          <w:szCs w:val="24"/>
        </w:rPr>
        <w:t xml:space="preserve"> կերպափոխիչներով սարքավորված շարժիչների համար։</w:t>
      </w:r>
    </w:p>
    <w:p w14:paraId="4F080B31" w14:textId="77777777" w:rsidR="00D70EFB" w:rsidRPr="00CA27E3" w:rsidRDefault="00D70EFB" w:rsidP="00CA27E3">
      <w:pPr>
        <w:pStyle w:val="BodyText1"/>
        <w:shd w:val="clear" w:color="auto" w:fill="auto"/>
        <w:spacing w:after="160"/>
        <w:ind w:right="180" w:firstLine="0"/>
        <w:jc w:val="right"/>
        <w:rPr>
          <w:rFonts w:ascii="Sylfaen" w:hAnsi="Sylfaen" w:cs="Sylfaen"/>
          <w:sz w:val="24"/>
          <w:szCs w:val="24"/>
        </w:rPr>
      </w:pPr>
    </w:p>
    <w:p w14:paraId="02A23657" w14:textId="77777777" w:rsidR="00FD48C7" w:rsidRPr="00CA27E3" w:rsidRDefault="00BB04FF" w:rsidP="00CA27E3">
      <w:pPr>
        <w:pStyle w:val="BodyText1"/>
        <w:shd w:val="clear" w:color="auto" w:fill="auto"/>
        <w:spacing w:after="160"/>
        <w:ind w:right="180" w:firstLine="0"/>
        <w:jc w:val="right"/>
        <w:rPr>
          <w:rFonts w:ascii="Sylfaen" w:hAnsi="Sylfaen" w:cs="Sylfaen"/>
          <w:sz w:val="24"/>
          <w:szCs w:val="24"/>
        </w:rPr>
      </w:pPr>
      <w:r w:rsidRPr="00CA27E3">
        <w:rPr>
          <w:rFonts w:ascii="Sylfaen" w:hAnsi="Sylfaen"/>
          <w:sz w:val="24"/>
          <w:szCs w:val="24"/>
        </w:rPr>
        <w:t>Աղյուսակ 3</w:t>
      </w:r>
    </w:p>
    <w:p w14:paraId="240B4B6C" w14:textId="77777777" w:rsidR="00FD48C7" w:rsidRPr="00CA27E3" w:rsidRDefault="00BB04FF" w:rsidP="00CA27E3">
      <w:pPr>
        <w:pStyle w:val="BodyText1"/>
        <w:shd w:val="clear" w:color="auto" w:fill="auto"/>
        <w:spacing w:after="160"/>
        <w:ind w:firstLine="0"/>
        <w:jc w:val="center"/>
        <w:rPr>
          <w:rFonts w:ascii="Sylfaen" w:hAnsi="Sylfaen" w:cs="Sylfaen"/>
          <w:sz w:val="24"/>
          <w:szCs w:val="24"/>
        </w:rPr>
      </w:pPr>
      <w:r w:rsidRPr="00CA27E3">
        <w:rPr>
          <w:rFonts w:ascii="Sylfaen" w:hAnsi="Sylfaen"/>
          <w:sz w:val="24"/>
          <w:szCs w:val="24"/>
        </w:rPr>
        <w:t>Էներգետիկ արդյունավետության IE3 դասի համար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արժեքները՝ 50 Հց հաճախականությամբ փոփոխական հոսանքի ցանցից շարժիչների սնուցման դեպքում</w:t>
      </w:r>
    </w:p>
    <w:tbl>
      <w:tblPr>
        <w:tblOverlap w:val="never"/>
        <w:tblW w:w="9586" w:type="dxa"/>
        <w:tblLayout w:type="fixed"/>
        <w:tblCellMar>
          <w:left w:w="10" w:type="dxa"/>
          <w:right w:w="10" w:type="dxa"/>
        </w:tblCellMar>
        <w:tblLook w:val="0000" w:firstRow="0" w:lastRow="0" w:firstColumn="0" w:lastColumn="0" w:noHBand="0" w:noVBand="0"/>
      </w:tblPr>
      <w:tblGrid>
        <w:gridCol w:w="2434"/>
        <w:gridCol w:w="2381"/>
        <w:gridCol w:w="2381"/>
        <w:gridCol w:w="2390"/>
      </w:tblGrid>
      <w:tr w:rsidR="00CA27E3" w:rsidRPr="00CA27E3" w14:paraId="4A0268EE" w14:textId="77777777" w:rsidTr="00CA27E3">
        <w:trPr>
          <w:tblHeader/>
        </w:trPr>
        <w:tc>
          <w:tcPr>
            <w:tcW w:w="2434" w:type="dxa"/>
            <w:vMerge w:val="restart"/>
            <w:tcBorders>
              <w:top w:val="single" w:sz="4" w:space="0" w:color="auto"/>
              <w:left w:val="single" w:sz="4" w:space="0" w:color="auto"/>
            </w:tcBorders>
            <w:shd w:val="clear" w:color="auto" w:fill="FFFFFF"/>
            <w:vAlign w:val="center"/>
          </w:tcPr>
          <w:p w14:paraId="6059415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Անվանական հզորությունը, կՎտ</w:t>
            </w:r>
          </w:p>
        </w:tc>
        <w:tc>
          <w:tcPr>
            <w:tcW w:w="7152" w:type="dxa"/>
            <w:gridSpan w:val="3"/>
            <w:tcBorders>
              <w:top w:val="single" w:sz="4" w:space="0" w:color="auto"/>
              <w:left w:val="single" w:sz="4" w:space="0" w:color="auto"/>
              <w:right w:val="single" w:sz="4" w:space="0" w:color="auto"/>
            </w:tcBorders>
            <w:shd w:val="clear" w:color="auto" w:fill="FFFFFF"/>
            <w:vAlign w:val="center"/>
          </w:tcPr>
          <w:p w14:paraId="5B2C353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Բեւեռների քանակը</w:t>
            </w:r>
          </w:p>
        </w:tc>
      </w:tr>
      <w:tr w:rsidR="00CA27E3" w:rsidRPr="00CA27E3" w14:paraId="19609875" w14:textId="77777777" w:rsidTr="00CA27E3">
        <w:trPr>
          <w:tblHeader/>
        </w:trPr>
        <w:tc>
          <w:tcPr>
            <w:tcW w:w="2434" w:type="dxa"/>
            <w:vMerge/>
            <w:tcBorders>
              <w:left w:val="single" w:sz="4" w:space="0" w:color="auto"/>
            </w:tcBorders>
            <w:shd w:val="clear" w:color="auto" w:fill="FFFFFF"/>
            <w:vAlign w:val="center"/>
          </w:tcPr>
          <w:p w14:paraId="59804628" w14:textId="77777777" w:rsidR="00FD48C7" w:rsidRPr="00CA27E3" w:rsidRDefault="00FD48C7" w:rsidP="00CA27E3">
            <w:pPr>
              <w:spacing w:after="120"/>
              <w:rPr>
                <w:rFonts w:ascii="Sylfaen" w:hAnsi="Sylfaen" w:cs="Sylfaen"/>
                <w:sz w:val="20"/>
                <w:szCs w:val="20"/>
              </w:rPr>
            </w:pPr>
          </w:p>
        </w:tc>
        <w:tc>
          <w:tcPr>
            <w:tcW w:w="2381" w:type="dxa"/>
            <w:tcBorders>
              <w:top w:val="single" w:sz="4" w:space="0" w:color="auto"/>
              <w:left w:val="single" w:sz="4" w:space="0" w:color="auto"/>
            </w:tcBorders>
            <w:shd w:val="clear" w:color="auto" w:fill="FFFFFF"/>
            <w:vAlign w:val="bottom"/>
          </w:tcPr>
          <w:p w14:paraId="2910424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2</w:t>
            </w:r>
          </w:p>
        </w:tc>
        <w:tc>
          <w:tcPr>
            <w:tcW w:w="2381" w:type="dxa"/>
            <w:tcBorders>
              <w:top w:val="single" w:sz="4" w:space="0" w:color="auto"/>
              <w:left w:val="single" w:sz="4" w:space="0" w:color="auto"/>
            </w:tcBorders>
            <w:shd w:val="clear" w:color="auto" w:fill="FFFFFF"/>
            <w:vAlign w:val="center"/>
          </w:tcPr>
          <w:p w14:paraId="6FCA634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w:t>
            </w:r>
          </w:p>
        </w:tc>
        <w:tc>
          <w:tcPr>
            <w:tcW w:w="2390" w:type="dxa"/>
            <w:tcBorders>
              <w:top w:val="single" w:sz="4" w:space="0" w:color="auto"/>
              <w:left w:val="single" w:sz="4" w:space="0" w:color="auto"/>
              <w:right w:val="single" w:sz="4" w:space="0" w:color="auto"/>
            </w:tcBorders>
            <w:shd w:val="clear" w:color="auto" w:fill="FFFFFF"/>
            <w:vAlign w:val="bottom"/>
          </w:tcPr>
          <w:p w14:paraId="4250307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6</w:t>
            </w:r>
          </w:p>
        </w:tc>
      </w:tr>
      <w:tr w:rsidR="00CA27E3" w:rsidRPr="00CA27E3" w14:paraId="4985551A" w14:textId="77777777" w:rsidTr="00D70EFB">
        <w:tc>
          <w:tcPr>
            <w:tcW w:w="2434" w:type="dxa"/>
            <w:tcBorders>
              <w:top w:val="single" w:sz="4" w:space="0" w:color="auto"/>
            </w:tcBorders>
            <w:shd w:val="clear" w:color="auto" w:fill="FFFFFF"/>
            <w:vAlign w:val="bottom"/>
          </w:tcPr>
          <w:p w14:paraId="29C575B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0.75</w:t>
            </w:r>
          </w:p>
        </w:tc>
        <w:tc>
          <w:tcPr>
            <w:tcW w:w="2381" w:type="dxa"/>
            <w:tcBorders>
              <w:top w:val="single" w:sz="4" w:space="0" w:color="auto"/>
            </w:tcBorders>
            <w:shd w:val="clear" w:color="auto" w:fill="FFFFFF"/>
            <w:vAlign w:val="bottom"/>
          </w:tcPr>
          <w:p w14:paraId="174152E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80.7</w:t>
            </w:r>
          </w:p>
        </w:tc>
        <w:tc>
          <w:tcPr>
            <w:tcW w:w="2381" w:type="dxa"/>
            <w:tcBorders>
              <w:top w:val="single" w:sz="4" w:space="0" w:color="auto"/>
            </w:tcBorders>
            <w:shd w:val="clear" w:color="auto" w:fill="FFFFFF"/>
            <w:vAlign w:val="bottom"/>
          </w:tcPr>
          <w:p w14:paraId="40156F6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82.5</w:t>
            </w:r>
          </w:p>
        </w:tc>
        <w:tc>
          <w:tcPr>
            <w:tcW w:w="2390" w:type="dxa"/>
            <w:tcBorders>
              <w:top w:val="single" w:sz="4" w:space="0" w:color="auto"/>
            </w:tcBorders>
            <w:shd w:val="clear" w:color="auto" w:fill="FFFFFF"/>
            <w:vAlign w:val="bottom"/>
          </w:tcPr>
          <w:p w14:paraId="1160CC2B"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78.9</w:t>
            </w:r>
          </w:p>
        </w:tc>
      </w:tr>
      <w:tr w:rsidR="00CA27E3" w:rsidRPr="00CA27E3" w14:paraId="642D742C" w14:textId="77777777" w:rsidTr="00D70EFB">
        <w:tc>
          <w:tcPr>
            <w:tcW w:w="2434" w:type="dxa"/>
            <w:shd w:val="clear" w:color="auto" w:fill="FFFFFF"/>
            <w:vAlign w:val="bottom"/>
          </w:tcPr>
          <w:p w14:paraId="1B1EAB3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1.1</w:t>
            </w:r>
          </w:p>
        </w:tc>
        <w:tc>
          <w:tcPr>
            <w:tcW w:w="2381" w:type="dxa"/>
            <w:shd w:val="clear" w:color="auto" w:fill="FFFFFF"/>
            <w:vAlign w:val="center"/>
          </w:tcPr>
          <w:p w14:paraId="029B8F5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82.7</w:t>
            </w:r>
          </w:p>
        </w:tc>
        <w:tc>
          <w:tcPr>
            <w:tcW w:w="2381" w:type="dxa"/>
            <w:shd w:val="clear" w:color="auto" w:fill="FFFFFF"/>
            <w:vAlign w:val="center"/>
          </w:tcPr>
          <w:p w14:paraId="24D5AF3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84.1</w:t>
            </w:r>
          </w:p>
        </w:tc>
        <w:tc>
          <w:tcPr>
            <w:tcW w:w="2390" w:type="dxa"/>
            <w:shd w:val="clear" w:color="auto" w:fill="FFFFFF"/>
            <w:vAlign w:val="bottom"/>
          </w:tcPr>
          <w:p w14:paraId="34B022A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81.0</w:t>
            </w:r>
          </w:p>
        </w:tc>
      </w:tr>
      <w:tr w:rsidR="00CA27E3" w:rsidRPr="00CA27E3" w14:paraId="3C1DCA02" w14:textId="77777777" w:rsidTr="00D70EFB">
        <w:tc>
          <w:tcPr>
            <w:tcW w:w="2434" w:type="dxa"/>
            <w:shd w:val="clear" w:color="auto" w:fill="FFFFFF"/>
            <w:vAlign w:val="bottom"/>
          </w:tcPr>
          <w:p w14:paraId="3ECE9539"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1.5</w:t>
            </w:r>
          </w:p>
        </w:tc>
        <w:tc>
          <w:tcPr>
            <w:tcW w:w="2381" w:type="dxa"/>
            <w:shd w:val="clear" w:color="auto" w:fill="FFFFFF"/>
            <w:vAlign w:val="bottom"/>
          </w:tcPr>
          <w:p w14:paraId="163F925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84.2</w:t>
            </w:r>
          </w:p>
        </w:tc>
        <w:tc>
          <w:tcPr>
            <w:tcW w:w="2381" w:type="dxa"/>
            <w:shd w:val="clear" w:color="auto" w:fill="FFFFFF"/>
            <w:vAlign w:val="bottom"/>
          </w:tcPr>
          <w:p w14:paraId="1FDEA76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85.3</w:t>
            </w:r>
          </w:p>
        </w:tc>
        <w:tc>
          <w:tcPr>
            <w:tcW w:w="2390" w:type="dxa"/>
            <w:shd w:val="clear" w:color="auto" w:fill="FFFFFF"/>
            <w:vAlign w:val="bottom"/>
          </w:tcPr>
          <w:p w14:paraId="3BC97F1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82.5</w:t>
            </w:r>
          </w:p>
        </w:tc>
      </w:tr>
      <w:tr w:rsidR="00CA27E3" w:rsidRPr="00CA27E3" w14:paraId="2C6560E7" w14:textId="77777777" w:rsidTr="00D70EFB">
        <w:tc>
          <w:tcPr>
            <w:tcW w:w="2434" w:type="dxa"/>
            <w:shd w:val="clear" w:color="auto" w:fill="FFFFFF"/>
            <w:vAlign w:val="center"/>
          </w:tcPr>
          <w:p w14:paraId="5DDB8617"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2.2</w:t>
            </w:r>
          </w:p>
        </w:tc>
        <w:tc>
          <w:tcPr>
            <w:tcW w:w="2381" w:type="dxa"/>
            <w:shd w:val="clear" w:color="auto" w:fill="FFFFFF"/>
            <w:vAlign w:val="center"/>
          </w:tcPr>
          <w:p w14:paraId="49B4189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85.9</w:t>
            </w:r>
          </w:p>
        </w:tc>
        <w:tc>
          <w:tcPr>
            <w:tcW w:w="2381" w:type="dxa"/>
            <w:shd w:val="clear" w:color="auto" w:fill="FFFFFF"/>
            <w:vAlign w:val="center"/>
          </w:tcPr>
          <w:p w14:paraId="1D212D5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86.7</w:t>
            </w:r>
          </w:p>
        </w:tc>
        <w:tc>
          <w:tcPr>
            <w:tcW w:w="2390" w:type="dxa"/>
            <w:shd w:val="clear" w:color="auto" w:fill="FFFFFF"/>
            <w:vAlign w:val="center"/>
          </w:tcPr>
          <w:p w14:paraId="1CD4D7B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84.3</w:t>
            </w:r>
          </w:p>
        </w:tc>
      </w:tr>
      <w:tr w:rsidR="00CA27E3" w:rsidRPr="00CA27E3" w14:paraId="500BBFCA" w14:textId="77777777" w:rsidTr="00D70EFB">
        <w:tc>
          <w:tcPr>
            <w:tcW w:w="2434" w:type="dxa"/>
            <w:shd w:val="clear" w:color="auto" w:fill="FFFFFF"/>
            <w:vAlign w:val="bottom"/>
          </w:tcPr>
          <w:p w14:paraId="48433F5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3</w:t>
            </w:r>
          </w:p>
        </w:tc>
        <w:tc>
          <w:tcPr>
            <w:tcW w:w="2381" w:type="dxa"/>
            <w:shd w:val="clear" w:color="auto" w:fill="FFFFFF"/>
            <w:vAlign w:val="bottom"/>
          </w:tcPr>
          <w:p w14:paraId="56E1694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87.1</w:t>
            </w:r>
          </w:p>
        </w:tc>
        <w:tc>
          <w:tcPr>
            <w:tcW w:w="2381" w:type="dxa"/>
            <w:shd w:val="clear" w:color="auto" w:fill="FFFFFF"/>
            <w:vAlign w:val="bottom"/>
          </w:tcPr>
          <w:p w14:paraId="2091D5D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87.7</w:t>
            </w:r>
          </w:p>
        </w:tc>
        <w:tc>
          <w:tcPr>
            <w:tcW w:w="2390" w:type="dxa"/>
            <w:shd w:val="clear" w:color="auto" w:fill="FFFFFF"/>
            <w:vAlign w:val="bottom"/>
          </w:tcPr>
          <w:p w14:paraId="15C5604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85.6</w:t>
            </w:r>
          </w:p>
        </w:tc>
      </w:tr>
      <w:tr w:rsidR="00CA27E3" w:rsidRPr="00CA27E3" w14:paraId="00516577" w14:textId="77777777" w:rsidTr="00D70EFB">
        <w:tc>
          <w:tcPr>
            <w:tcW w:w="2434" w:type="dxa"/>
            <w:shd w:val="clear" w:color="auto" w:fill="FFFFFF"/>
            <w:vAlign w:val="center"/>
          </w:tcPr>
          <w:p w14:paraId="6DC9781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4</w:t>
            </w:r>
          </w:p>
        </w:tc>
        <w:tc>
          <w:tcPr>
            <w:tcW w:w="2381" w:type="dxa"/>
            <w:shd w:val="clear" w:color="auto" w:fill="FFFFFF"/>
            <w:vAlign w:val="bottom"/>
          </w:tcPr>
          <w:p w14:paraId="651187D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88.1</w:t>
            </w:r>
          </w:p>
        </w:tc>
        <w:tc>
          <w:tcPr>
            <w:tcW w:w="2381" w:type="dxa"/>
            <w:shd w:val="clear" w:color="auto" w:fill="FFFFFF"/>
            <w:vAlign w:val="bottom"/>
          </w:tcPr>
          <w:p w14:paraId="6C95097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88.6</w:t>
            </w:r>
          </w:p>
        </w:tc>
        <w:tc>
          <w:tcPr>
            <w:tcW w:w="2390" w:type="dxa"/>
            <w:shd w:val="clear" w:color="auto" w:fill="FFFFFF"/>
            <w:vAlign w:val="bottom"/>
          </w:tcPr>
          <w:p w14:paraId="2C98E33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86.8</w:t>
            </w:r>
          </w:p>
        </w:tc>
      </w:tr>
      <w:tr w:rsidR="00CA27E3" w:rsidRPr="00CA27E3" w14:paraId="0ACA8C14" w14:textId="77777777" w:rsidTr="00D70EFB">
        <w:tc>
          <w:tcPr>
            <w:tcW w:w="2434" w:type="dxa"/>
            <w:shd w:val="clear" w:color="auto" w:fill="FFFFFF"/>
            <w:vAlign w:val="center"/>
          </w:tcPr>
          <w:p w14:paraId="4DAE275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5.5</w:t>
            </w:r>
          </w:p>
        </w:tc>
        <w:tc>
          <w:tcPr>
            <w:tcW w:w="2381" w:type="dxa"/>
            <w:shd w:val="clear" w:color="auto" w:fill="FFFFFF"/>
            <w:vAlign w:val="center"/>
          </w:tcPr>
          <w:p w14:paraId="2D28661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89.2</w:t>
            </w:r>
          </w:p>
        </w:tc>
        <w:tc>
          <w:tcPr>
            <w:tcW w:w="2381" w:type="dxa"/>
            <w:shd w:val="clear" w:color="auto" w:fill="FFFFFF"/>
            <w:vAlign w:val="center"/>
          </w:tcPr>
          <w:p w14:paraId="01E2342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89.6</w:t>
            </w:r>
          </w:p>
        </w:tc>
        <w:tc>
          <w:tcPr>
            <w:tcW w:w="2390" w:type="dxa"/>
            <w:shd w:val="clear" w:color="auto" w:fill="FFFFFF"/>
            <w:vAlign w:val="center"/>
          </w:tcPr>
          <w:p w14:paraId="5DF7E9A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88.0</w:t>
            </w:r>
          </w:p>
        </w:tc>
      </w:tr>
      <w:tr w:rsidR="00CA27E3" w:rsidRPr="00CA27E3" w14:paraId="0B44411A" w14:textId="77777777" w:rsidTr="00D70EFB">
        <w:tc>
          <w:tcPr>
            <w:tcW w:w="2434" w:type="dxa"/>
            <w:shd w:val="clear" w:color="auto" w:fill="FFFFFF"/>
            <w:vAlign w:val="bottom"/>
          </w:tcPr>
          <w:p w14:paraId="176C836E"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lastRenderedPageBreak/>
              <w:t>7.5</w:t>
            </w:r>
          </w:p>
        </w:tc>
        <w:tc>
          <w:tcPr>
            <w:tcW w:w="2381" w:type="dxa"/>
            <w:shd w:val="clear" w:color="auto" w:fill="FFFFFF"/>
            <w:vAlign w:val="bottom"/>
          </w:tcPr>
          <w:p w14:paraId="38FAD43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90.1</w:t>
            </w:r>
          </w:p>
        </w:tc>
        <w:tc>
          <w:tcPr>
            <w:tcW w:w="2381" w:type="dxa"/>
            <w:shd w:val="clear" w:color="auto" w:fill="FFFFFF"/>
            <w:vAlign w:val="bottom"/>
          </w:tcPr>
          <w:p w14:paraId="09AC709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90.4</w:t>
            </w:r>
          </w:p>
        </w:tc>
        <w:tc>
          <w:tcPr>
            <w:tcW w:w="2390" w:type="dxa"/>
            <w:shd w:val="clear" w:color="auto" w:fill="FFFFFF"/>
            <w:vAlign w:val="bottom"/>
          </w:tcPr>
          <w:p w14:paraId="376726B2"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89.1</w:t>
            </w:r>
          </w:p>
        </w:tc>
      </w:tr>
      <w:tr w:rsidR="00CA27E3" w:rsidRPr="00CA27E3" w14:paraId="6AE53BA9" w14:textId="77777777" w:rsidTr="00D70EFB">
        <w:tc>
          <w:tcPr>
            <w:tcW w:w="2434" w:type="dxa"/>
            <w:shd w:val="clear" w:color="auto" w:fill="FFFFFF"/>
            <w:vAlign w:val="center"/>
          </w:tcPr>
          <w:p w14:paraId="54822C08"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11</w:t>
            </w:r>
          </w:p>
        </w:tc>
        <w:tc>
          <w:tcPr>
            <w:tcW w:w="2381" w:type="dxa"/>
            <w:shd w:val="clear" w:color="auto" w:fill="FFFFFF"/>
            <w:vAlign w:val="center"/>
          </w:tcPr>
          <w:p w14:paraId="20E0017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91.2</w:t>
            </w:r>
          </w:p>
        </w:tc>
        <w:tc>
          <w:tcPr>
            <w:tcW w:w="2381" w:type="dxa"/>
            <w:shd w:val="clear" w:color="auto" w:fill="FFFFFF"/>
            <w:vAlign w:val="center"/>
          </w:tcPr>
          <w:p w14:paraId="4CA5859A"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91.4</w:t>
            </w:r>
          </w:p>
        </w:tc>
        <w:tc>
          <w:tcPr>
            <w:tcW w:w="2390" w:type="dxa"/>
            <w:shd w:val="clear" w:color="auto" w:fill="FFFFFF"/>
            <w:vAlign w:val="center"/>
          </w:tcPr>
          <w:p w14:paraId="05034E7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90.3</w:t>
            </w:r>
          </w:p>
        </w:tc>
      </w:tr>
      <w:tr w:rsidR="00CA27E3" w:rsidRPr="00CA27E3" w14:paraId="07646475" w14:textId="77777777" w:rsidTr="00D70EFB">
        <w:tc>
          <w:tcPr>
            <w:tcW w:w="2434" w:type="dxa"/>
            <w:shd w:val="clear" w:color="auto" w:fill="FFFFFF"/>
            <w:vAlign w:val="bottom"/>
          </w:tcPr>
          <w:p w14:paraId="772EB0D6"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15</w:t>
            </w:r>
          </w:p>
        </w:tc>
        <w:tc>
          <w:tcPr>
            <w:tcW w:w="2381" w:type="dxa"/>
            <w:shd w:val="clear" w:color="auto" w:fill="FFFFFF"/>
            <w:vAlign w:val="bottom"/>
          </w:tcPr>
          <w:p w14:paraId="5542F80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91.9</w:t>
            </w:r>
          </w:p>
        </w:tc>
        <w:tc>
          <w:tcPr>
            <w:tcW w:w="2381" w:type="dxa"/>
            <w:shd w:val="clear" w:color="auto" w:fill="FFFFFF"/>
            <w:vAlign w:val="bottom"/>
          </w:tcPr>
          <w:p w14:paraId="053303B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92.1</w:t>
            </w:r>
          </w:p>
        </w:tc>
        <w:tc>
          <w:tcPr>
            <w:tcW w:w="2390" w:type="dxa"/>
            <w:shd w:val="clear" w:color="auto" w:fill="FFFFFF"/>
            <w:vAlign w:val="bottom"/>
          </w:tcPr>
          <w:p w14:paraId="11230430"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91.2</w:t>
            </w:r>
          </w:p>
        </w:tc>
      </w:tr>
      <w:tr w:rsidR="00CA27E3" w:rsidRPr="00CA27E3" w14:paraId="4D241CF8" w14:textId="77777777" w:rsidTr="00D70EFB">
        <w:tc>
          <w:tcPr>
            <w:tcW w:w="2434" w:type="dxa"/>
            <w:shd w:val="clear" w:color="auto" w:fill="FFFFFF"/>
            <w:vAlign w:val="bottom"/>
          </w:tcPr>
          <w:p w14:paraId="316E86C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18.5</w:t>
            </w:r>
          </w:p>
        </w:tc>
        <w:tc>
          <w:tcPr>
            <w:tcW w:w="2381" w:type="dxa"/>
            <w:shd w:val="clear" w:color="auto" w:fill="FFFFFF"/>
            <w:vAlign w:val="bottom"/>
          </w:tcPr>
          <w:p w14:paraId="7834D1C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92.4</w:t>
            </w:r>
          </w:p>
        </w:tc>
        <w:tc>
          <w:tcPr>
            <w:tcW w:w="2381" w:type="dxa"/>
            <w:shd w:val="clear" w:color="auto" w:fill="FFFFFF"/>
            <w:vAlign w:val="bottom"/>
          </w:tcPr>
          <w:p w14:paraId="1D60076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92.6</w:t>
            </w:r>
          </w:p>
        </w:tc>
        <w:tc>
          <w:tcPr>
            <w:tcW w:w="2390" w:type="dxa"/>
            <w:shd w:val="clear" w:color="auto" w:fill="FFFFFF"/>
            <w:vAlign w:val="bottom"/>
          </w:tcPr>
          <w:p w14:paraId="08089AB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91.7</w:t>
            </w:r>
          </w:p>
        </w:tc>
      </w:tr>
      <w:tr w:rsidR="00CA27E3" w:rsidRPr="00CA27E3" w14:paraId="412EEC11" w14:textId="77777777" w:rsidTr="00D70EFB">
        <w:tc>
          <w:tcPr>
            <w:tcW w:w="2434" w:type="dxa"/>
            <w:shd w:val="clear" w:color="auto" w:fill="FFFFFF"/>
            <w:vAlign w:val="center"/>
          </w:tcPr>
          <w:p w14:paraId="7D7842A9"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22</w:t>
            </w:r>
          </w:p>
        </w:tc>
        <w:tc>
          <w:tcPr>
            <w:tcW w:w="2381" w:type="dxa"/>
            <w:shd w:val="clear" w:color="auto" w:fill="FFFFFF"/>
            <w:vAlign w:val="center"/>
          </w:tcPr>
          <w:p w14:paraId="09A2552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92.7</w:t>
            </w:r>
          </w:p>
        </w:tc>
        <w:tc>
          <w:tcPr>
            <w:tcW w:w="2381" w:type="dxa"/>
            <w:shd w:val="clear" w:color="auto" w:fill="FFFFFF"/>
            <w:vAlign w:val="center"/>
          </w:tcPr>
          <w:p w14:paraId="33AA0B3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93.0</w:t>
            </w:r>
          </w:p>
        </w:tc>
        <w:tc>
          <w:tcPr>
            <w:tcW w:w="2390" w:type="dxa"/>
            <w:shd w:val="clear" w:color="auto" w:fill="FFFFFF"/>
            <w:vAlign w:val="center"/>
          </w:tcPr>
          <w:p w14:paraId="1D7C35F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92.2</w:t>
            </w:r>
          </w:p>
        </w:tc>
      </w:tr>
      <w:tr w:rsidR="00CA27E3" w:rsidRPr="00CA27E3" w14:paraId="0C6E533B" w14:textId="77777777" w:rsidTr="00D70EFB">
        <w:tc>
          <w:tcPr>
            <w:tcW w:w="2434" w:type="dxa"/>
            <w:shd w:val="clear" w:color="auto" w:fill="FFFFFF"/>
            <w:vAlign w:val="bottom"/>
          </w:tcPr>
          <w:p w14:paraId="40232FE0"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30</w:t>
            </w:r>
          </w:p>
        </w:tc>
        <w:tc>
          <w:tcPr>
            <w:tcW w:w="2381" w:type="dxa"/>
            <w:shd w:val="clear" w:color="auto" w:fill="FFFFFF"/>
            <w:vAlign w:val="bottom"/>
          </w:tcPr>
          <w:p w14:paraId="20F08D3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93.3</w:t>
            </w:r>
          </w:p>
        </w:tc>
        <w:tc>
          <w:tcPr>
            <w:tcW w:w="2381" w:type="dxa"/>
            <w:shd w:val="clear" w:color="auto" w:fill="FFFFFF"/>
            <w:vAlign w:val="bottom"/>
          </w:tcPr>
          <w:p w14:paraId="4765BBC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93.6</w:t>
            </w:r>
          </w:p>
        </w:tc>
        <w:tc>
          <w:tcPr>
            <w:tcW w:w="2390" w:type="dxa"/>
            <w:shd w:val="clear" w:color="auto" w:fill="FFFFFF"/>
            <w:vAlign w:val="bottom"/>
          </w:tcPr>
          <w:p w14:paraId="24E1FB3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92.9</w:t>
            </w:r>
          </w:p>
        </w:tc>
      </w:tr>
      <w:tr w:rsidR="00CA27E3" w:rsidRPr="00CA27E3" w14:paraId="7F07E85C" w14:textId="77777777" w:rsidTr="00D70EFB">
        <w:tc>
          <w:tcPr>
            <w:tcW w:w="2434" w:type="dxa"/>
            <w:shd w:val="clear" w:color="auto" w:fill="FFFFFF"/>
            <w:vAlign w:val="bottom"/>
          </w:tcPr>
          <w:p w14:paraId="7F7BBC6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37</w:t>
            </w:r>
          </w:p>
        </w:tc>
        <w:tc>
          <w:tcPr>
            <w:tcW w:w="2381" w:type="dxa"/>
            <w:shd w:val="clear" w:color="auto" w:fill="FFFFFF"/>
            <w:vAlign w:val="bottom"/>
          </w:tcPr>
          <w:p w14:paraId="48F7773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93.7</w:t>
            </w:r>
          </w:p>
        </w:tc>
        <w:tc>
          <w:tcPr>
            <w:tcW w:w="2381" w:type="dxa"/>
            <w:shd w:val="clear" w:color="auto" w:fill="FFFFFF"/>
            <w:vAlign w:val="bottom"/>
          </w:tcPr>
          <w:p w14:paraId="58A52AA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93.9</w:t>
            </w:r>
          </w:p>
        </w:tc>
        <w:tc>
          <w:tcPr>
            <w:tcW w:w="2390" w:type="dxa"/>
            <w:shd w:val="clear" w:color="auto" w:fill="FFFFFF"/>
            <w:vAlign w:val="bottom"/>
          </w:tcPr>
          <w:p w14:paraId="53625947"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93.3</w:t>
            </w:r>
          </w:p>
        </w:tc>
      </w:tr>
      <w:tr w:rsidR="00CA27E3" w:rsidRPr="00CA27E3" w14:paraId="748321BD" w14:textId="77777777" w:rsidTr="00D70EFB">
        <w:tc>
          <w:tcPr>
            <w:tcW w:w="2434" w:type="dxa"/>
            <w:shd w:val="clear" w:color="auto" w:fill="FFFFFF"/>
            <w:vAlign w:val="bottom"/>
          </w:tcPr>
          <w:p w14:paraId="6D69FD04"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45</w:t>
            </w:r>
          </w:p>
        </w:tc>
        <w:tc>
          <w:tcPr>
            <w:tcW w:w="2381" w:type="dxa"/>
            <w:shd w:val="clear" w:color="auto" w:fill="FFFFFF"/>
            <w:vAlign w:val="bottom"/>
          </w:tcPr>
          <w:p w14:paraId="161C7C5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94.0</w:t>
            </w:r>
          </w:p>
        </w:tc>
        <w:tc>
          <w:tcPr>
            <w:tcW w:w="2381" w:type="dxa"/>
            <w:shd w:val="clear" w:color="auto" w:fill="FFFFFF"/>
            <w:vAlign w:val="bottom"/>
          </w:tcPr>
          <w:p w14:paraId="5DDBC3A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94.2</w:t>
            </w:r>
          </w:p>
        </w:tc>
        <w:tc>
          <w:tcPr>
            <w:tcW w:w="2390" w:type="dxa"/>
            <w:shd w:val="clear" w:color="auto" w:fill="FFFFFF"/>
            <w:vAlign w:val="bottom"/>
          </w:tcPr>
          <w:p w14:paraId="52ED4BD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93.7</w:t>
            </w:r>
          </w:p>
        </w:tc>
      </w:tr>
      <w:tr w:rsidR="00CA27E3" w:rsidRPr="00CA27E3" w14:paraId="7533017C" w14:textId="77777777" w:rsidTr="00D70EFB">
        <w:tc>
          <w:tcPr>
            <w:tcW w:w="2434" w:type="dxa"/>
            <w:shd w:val="clear" w:color="auto" w:fill="FFFFFF"/>
            <w:vAlign w:val="bottom"/>
          </w:tcPr>
          <w:p w14:paraId="65B2370F"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55</w:t>
            </w:r>
          </w:p>
        </w:tc>
        <w:tc>
          <w:tcPr>
            <w:tcW w:w="2381" w:type="dxa"/>
            <w:shd w:val="clear" w:color="auto" w:fill="FFFFFF"/>
            <w:vAlign w:val="bottom"/>
          </w:tcPr>
          <w:p w14:paraId="00F72DC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94.3</w:t>
            </w:r>
          </w:p>
        </w:tc>
        <w:tc>
          <w:tcPr>
            <w:tcW w:w="2381" w:type="dxa"/>
            <w:shd w:val="clear" w:color="auto" w:fill="FFFFFF"/>
            <w:vAlign w:val="bottom"/>
          </w:tcPr>
          <w:p w14:paraId="25A3809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94.6</w:t>
            </w:r>
          </w:p>
        </w:tc>
        <w:tc>
          <w:tcPr>
            <w:tcW w:w="2390" w:type="dxa"/>
            <w:shd w:val="clear" w:color="auto" w:fill="FFFFFF"/>
            <w:vAlign w:val="bottom"/>
          </w:tcPr>
          <w:p w14:paraId="0C88BFCE" w14:textId="77777777" w:rsidR="00FD48C7" w:rsidRPr="00CA27E3" w:rsidRDefault="00BB04FF" w:rsidP="00CA27E3">
            <w:pPr>
              <w:pStyle w:val="Other0"/>
              <w:shd w:val="clear" w:color="auto" w:fill="auto"/>
              <w:spacing w:after="120"/>
              <w:ind w:firstLine="960"/>
              <w:jc w:val="both"/>
              <w:rPr>
                <w:rFonts w:ascii="Sylfaen" w:hAnsi="Sylfaen" w:cs="Sylfaen"/>
                <w:sz w:val="20"/>
                <w:szCs w:val="20"/>
              </w:rPr>
            </w:pPr>
            <w:r w:rsidRPr="00CA27E3">
              <w:rPr>
                <w:rFonts w:ascii="Sylfaen" w:hAnsi="Sylfaen"/>
                <w:sz w:val="20"/>
                <w:szCs w:val="20"/>
              </w:rPr>
              <w:t>94.1</w:t>
            </w:r>
          </w:p>
        </w:tc>
      </w:tr>
      <w:tr w:rsidR="00CA27E3" w:rsidRPr="00CA27E3" w14:paraId="0FEBC0AC" w14:textId="77777777" w:rsidTr="00D70EFB">
        <w:tc>
          <w:tcPr>
            <w:tcW w:w="2434" w:type="dxa"/>
            <w:shd w:val="clear" w:color="auto" w:fill="FFFFFF"/>
            <w:vAlign w:val="bottom"/>
          </w:tcPr>
          <w:p w14:paraId="40CCEAB8" w14:textId="77777777" w:rsidR="00FD48C7" w:rsidRPr="00CA27E3" w:rsidRDefault="00BB04FF" w:rsidP="00CA27E3">
            <w:pPr>
              <w:pStyle w:val="Other0"/>
              <w:shd w:val="clear" w:color="auto" w:fill="auto"/>
              <w:spacing w:after="120"/>
              <w:ind w:left="1040"/>
              <w:jc w:val="both"/>
              <w:rPr>
                <w:rFonts w:ascii="Sylfaen" w:hAnsi="Sylfaen" w:cs="Sylfaen"/>
                <w:sz w:val="20"/>
                <w:szCs w:val="20"/>
              </w:rPr>
            </w:pPr>
            <w:r w:rsidRPr="00CA27E3">
              <w:rPr>
                <w:rFonts w:ascii="Sylfaen" w:hAnsi="Sylfaen"/>
                <w:sz w:val="20"/>
                <w:szCs w:val="20"/>
              </w:rPr>
              <w:t>75</w:t>
            </w:r>
          </w:p>
        </w:tc>
        <w:tc>
          <w:tcPr>
            <w:tcW w:w="2381" w:type="dxa"/>
            <w:shd w:val="clear" w:color="auto" w:fill="FFFFFF"/>
            <w:vAlign w:val="bottom"/>
          </w:tcPr>
          <w:p w14:paraId="1055700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94.7</w:t>
            </w:r>
          </w:p>
        </w:tc>
        <w:tc>
          <w:tcPr>
            <w:tcW w:w="2381" w:type="dxa"/>
            <w:shd w:val="clear" w:color="auto" w:fill="FFFFFF"/>
            <w:vAlign w:val="bottom"/>
          </w:tcPr>
          <w:p w14:paraId="38B7BEE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95.0</w:t>
            </w:r>
          </w:p>
        </w:tc>
        <w:tc>
          <w:tcPr>
            <w:tcW w:w="2390" w:type="dxa"/>
            <w:shd w:val="clear" w:color="auto" w:fill="FFFFFF"/>
            <w:vAlign w:val="bottom"/>
          </w:tcPr>
          <w:p w14:paraId="7C24194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94.6</w:t>
            </w:r>
          </w:p>
        </w:tc>
      </w:tr>
      <w:tr w:rsidR="00CA27E3" w:rsidRPr="00CA27E3" w14:paraId="38CCBF74" w14:textId="77777777" w:rsidTr="00D70EFB">
        <w:tc>
          <w:tcPr>
            <w:tcW w:w="2434" w:type="dxa"/>
            <w:shd w:val="clear" w:color="auto" w:fill="FFFFFF"/>
            <w:vAlign w:val="bottom"/>
          </w:tcPr>
          <w:p w14:paraId="624B395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90</w:t>
            </w:r>
          </w:p>
        </w:tc>
        <w:tc>
          <w:tcPr>
            <w:tcW w:w="2381" w:type="dxa"/>
            <w:shd w:val="clear" w:color="auto" w:fill="FFFFFF"/>
            <w:vAlign w:val="bottom"/>
          </w:tcPr>
          <w:p w14:paraId="7AE4651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95.0</w:t>
            </w:r>
          </w:p>
        </w:tc>
        <w:tc>
          <w:tcPr>
            <w:tcW w:w="2381" w:type="dxa"/>
            <w:shd w:val="clear" w:color="auto" w:fill="FFFFFF"/>
            <w:vAlign w:val="bottom"/>
          </w:tcPr>
          <w:p w14:paraId="27065DE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95.2</w:t>
            </w:r>
          </w:p>
        </w:tc>
        <w:tc>
          <w:tcPr>
            <w:tcW w:w="2390" w:type="dxa"/>
            <w:shd w:val="clear" w:color="auto" w:fill="FFFFFF"/>
            <w:vAlign w:val="bottom"/>
          </w:tcPr>
          <w:p w14:paraId="3A4D0BD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94.9</w:t>
            </w:r>
          </w:p>
        </w:tc>
      </w:tr>
      <w:tr w:rsidR="00CA27E3" w:rsidRPr="00CA27E3" w14:paraId="6F8C0E24" w14:textId="77777777" w:rsidTr="00D70EFB">
        <w:tc>
          <w:tcPr>
            <w:tcW w:w="2434" w:type="dxa"/>
            <w:shd w:val="clear" w:color="auto" w:fill="FFFFFF"/>
            <w:vAlign w:val="center"/>
          </w:tcPr>
          <w:p w14:paraId="21D9986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110</w:t>
            </w:r>
          </w:p>
        </w:tc>
        <w:tc>
          <w:tcPr>
            <w:tcW w:w="2381" w:type="dxa"/>
            <w:shd w:val="clear" w:color="auto" w:fill="FFFFFF"/>
            <w:vAlign w:val="center"/>
          </w:tcPr>
          <w:p w14:paraId="33B7E03D"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95.2</w:t>
            </w:r>
          </w:p>
        </w:tc>
        <w:tc>
          <w:tcPr>
            <w:tcW w:w="2381" w:type="dxa"/>
            <w:shd w:val="clear" w:color="auto" w:fill="FFFFFF"/>
            <w:vAlign w:val="center"/>
          </w:tcPr>
          <w:p w14:paraId="30224892"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95.4</w:t>
            </w:r>
          </w:p>
        </w:tc>
        <w:tc>
          <w:tcPr>
            <w:tcW w:w="2390" w:type="dxa"/>
            <w:shd w:val="clear" w:color="auto" w:fill="FFFFFF"/>
            <w:vAlign w:val="center"/>
          </w:tcPr>
          <w:p w14:paraId="2E46DCA9"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95.1</w:t>
            </w:r>
          </w:p>
        </w:tc>
      </w:tr>
      <w:tr w:rsidR="00CA27E3" w:rsidRPr="00CA27E3" w14:paraId="011FBDB3" w14:textId="77777777" w:rsidTr="00D70EFB">
        <w:tc>
          <w:tcPr>
            <w:tcW w:w="2434" w:type="dxa"/>
            <w:shd w:val="clear" w:color="auto" w:fill="FFFFFF"/>
            <w:vAlign w:val="bottom"/>
          </w:tcPr>
          <w:p w14:paraId="6B07779B"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132</w:t>
            </w:r>
          </w:p>
        </w:tc>
        <w:tc>
          <w:tcPr>
            <w:tcW w:w="2381" w:type="dxa"/>
            <w:shd w:val="clear" w:color="auto" w:fill="FFFFFF"/>
            <w:vAlign w:val="bottom"/>
          </w:tcPr>
          <w:p w14:paraId="18847151"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95.4</w:t>
            </w:r>
          </w:p>
        </w:tc>
        <w:tc>
          <w:tcPr>
            <w:tcW w:w="2381" w:type="dxa"/>
            <w:shd w:val="clear" w:color="auto" w:fill="FFFFFF"/>
            <w:vAlign w:val="bottom"/>
          </w:tcPr>
          <w:p w14:paraId="2BFBFB9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95.6</w:t>
            </w:r>
          </w:p>
        </w:tc>
        <w:tc>
          <w:tcPr>
            <w:tcW w:w="2390" w:type="dxa"/>
            <w:shd w:val="clear" w:color="auto" w:fill="FFFFFF"/>
            <w:vAlign w:val="bottom"/>
          </w:tcPr>
          <w:p w14:paraId="7CEF3DB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95.4</w:t>
            </w:r>
          </w:p>
        </w:tc>
      </w:tr>
      <w:tr w:rsidR="00CA27E3" w:rsidRPr="00CA27E3" w14:paraId="397DBCC6" w14:textId="77777777" w:rsidTr="00D70EFB">
        <w:tc>
          <w:tcPr>
            <w:tcW w:w="2434" w:type="dxa"/>
            <w:shd w:val="clear" w:color="auto" w:fill="FFFFFF"/>
            <w:vAlign w:val="center"/>
          </w:tcPr>
          <w:p w14:paraId="39BD2743"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160</w:t>
            </w:r>
          </w:p>
        </w:tc>
        <w:tc>
          <w:tcPr>
            <w:tcW w:w="2381" w:type="dxa"/>
            <w:shd w:val="clear" w:color="auto" w:fill="FFFFFF"/>
            <w:vAlign w:val="center"/>
          </w:tcPr>
          <w:p w14:paraId="289807C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95.6</w:t>
            </w:r>
          </w:p>
        </w:tc>
        <w:tc>
          <w:tcPr>
            <w:tcW w:w="2381" w:type="dxa"/>
            <w:shd w:val="clear" w:color="auto" w:fill="FFFFFF"/>
            <w:vAlign w:val="center"/>
          </w:tcPr>
          <w:p w14:paraId="6B6EA1A6"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95.8</w:t>
            </w:r>
          </w:p>
        </w:tc>
        <w:tc>
          <w:tcPr>
            <w:tcW w:w="2390" w:type="dxa"/>
            <w:shd w:val="clear" w:color="auto" w:fill="FFFFFF"/>
            <w:vAlign w:val="center"/>
          </w:tcPr>
          <w:p w14:paraId="0E3C4708"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95.6</w:t>
            </w:r>
          </w:p>
        </w:tc>
      </w:tr>
      <w:tr w:rsidR="00CA27E3" w:rsidRPr="00CA27E3" w14:paraId="5450E9F9" w14:textId="77777777" w:rsidTr="00D70EFB">
        <w:tc>
          <w:tcPr>
            <w:tcW w:w="2434" w:type="dxa"/>
            <w:shd w:val="clear" w:color="auto" w:fill="FFFFFF"/>
            <w:vAlign w:val="bottom"/>
          </w:tcPr>
          <w:p w14:paraId="27BFBA9E"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201 - 375</w:t>
            </w:r>
          </w:p>
        </w:tc>
        <w:tc>
          <w:tcPr>
            <w:tcW w:w="2381" w:type="dxa"/>
            <w:shd w:val="clear" w:color="auto" w:fill="FFFFFF"/>
            <w:vAlign w:val="bottom"/>
          </w:tcPr>
          <w:p w14:paraId="01670C34"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95.8</w:t>
            </w:r>
          </w:p>
        </w:tc>
        <w:tc>
          <w:tcPr>
            <w:tcW w:w="2381" w:type="dxa"/>
            <w:shd w:val="clear" w:color="auto" w:fill="FFFFFF"/>
            <w:vAlign w:val="bottom"/>
          </w:tcPr>
          <w:p w14:paraId="694BE155"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96.0</w:t>
            </w:r>
          </w:p>
        </w:tc>
        <w:tc>
          <w:tcPr>
            <w:tcW w:w="2390" w:type="dxa"/>
            <w:shd w:val="clear" w:color="auto" w:fill="FFFFFF"/>
            <w:vAlign w:val="bottom"/>
          </w:tcPr>
          <w:p w14:paraId="1F106DCC" w14:textId="77777777" w:rsidR="00FD48C7" w:rsidRPr="00CA27E3" w:rsidRDefault="00BB04FF" w:rsidP="00CA27E3">
            <w:pPr>
              <w:pStyle w:val="Other0"/>
              <w:shd w:val="clear" w:color="auto" w:fill="auto"/>
              <w:spacing w:after="120"/>
              <w:rPr>
                <w:rFonts w:ascii="Sylfaen" w:hAnsi="Sylfaen" w:cs="Sylfaen"/>
                <w:sz w:val="20"/>
                <w:szCs w:val="20"/>
              </w:rPr>
            </w:pPr>
            <w:r w:rsidRPr="00CA27E3">
              <w:rPr>
                <w:rFonts w:ascii="Sylfaen" w:hAnsi="Sylfaen"/>
                <w:sz w:val="20"/>
                <w:szCs w:val="20"/>
              </w:rPr>
              <w:t>95.8</w:t>
            </w:r>
          </w:p>
        </w:tc>
      </w:tr>
    </w:tbl>
    <w:p w14:paraId="3F2CDE82" w14:textId="77777777" w:rsidR="00066F60" w:rsidRDefault="00066F60" w:rsidP="00CA27E3">
      <w:pPr>
        <w:pStyle w:val="BodyText1"/>
        <w:shd w:val="clear" w:color="auto" w:fill="auto"/>
        <w:spacing w:after="160"/>
        <w:ind w:firstLine="567"/>
        <w:jc w:val="both"/>
        <w:rPr>
          <w:rFonts w:ascii="Sylfaen" w:hAnsi="Sylfaen"/>
          <w:sz w:val="24"/>
          <w:szCs w:val="24"/>
        </w:rPr>
      </w:pPr>
    </w:p>
    <w:p w14:paraId="3760EE07" w14:textId="77777777" w:rsidR="00FD48C7" w:rsidRPr="00CA27E3" w:rsidRDefault="00060D28"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F606E4" w:rsidRPr="00F606E4">
        <w:rPr>
          <w:rFonts w:ascii="Sylfaen" w:hAnsi="Sylfaen"/>
          <w:sz w:val="24"/>
          <w:szCs w:val="24"/>
        </w:rPr>
        <w:tab/>
      </w:r>
      <w:r w:rsidRPr="00CA27E3">
        <w:rPr>
          <w:rFonts w:ascii="Sylfaen" w:hAnsi="Sylfaen"/>
          <w:sz w:val="24"/>
          <w:szCs w:val="24"/>
        </w:rPr>
        <w:t>2026 թվականի սեպտեմբերի 1-ից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xml:space="preserve">) արժեքները 0,75-ից մինչեւ 375 կՎտ անվանական հզորությամբ շարժիչների համար չպետք է պակաս լինեն էներգետիկ արդյունավետության IE3 դասի համար սահմանված արժեքներից, կամ պետք է համապատասխանեն էներգետիկ արդյունավետության IE2 դասին՝ պտտման արագության կարգավորման համար </w:t>
      </w:r>
      <w:r w:rsidR="00FF0FDF" w:rsidRPr="00CA27E3">
        <w:rPr>
          <w:rFonts w:ascii="Sylfaen" w:hAnsi="Sylfaen"/>
          <w:sz w:val="24"/>
          <w:szCs w:val="24"/>
        </w:rPr>
        <w:t>հաճախական</w:t>
      </w:r>
      <w:r w:rsidRPr="00CA27E3">
        <w:rPr>
          <w:rFonts w:ascii="Sylfaen" w:hAnsi="Sylfaen"/>
          <w:sz w:val="24"/>
          <w:szCs w:val="24"/>
        </w:rPr>
        <w:t>ության կերպափոխիչներով սարքավորված շարժիչների համար։</w:t>
      </w:r>
    </w:p>
    <w:p w14:paraId="1C98635A" w14:textId="77777777" w:rsidR="00FD48C7" w:rsidRPr="00CA27E3" w:rsidRDefault="00060D28"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F606E4" w:rsidRPr="00F606E4">
        <w:rPr>
          <w:rFonts w:ascii="Sylfaen" w:hAnsi="Sylfaen"/>
          <w:sz w:val="24"/>
          <w:szCs w:val="24"/>
        </w:rPr>
        <w:tab/>
      </w:r>
      <w:r w:rsidRPr="00CA27E3">
        <w:rPr>
          <w:rFonts w:ascii="Sylfaen" w:hAnsi="Sylfaen"/>
          <w:sz w:val="24"/>
          <w:szCs w:val="24"/>
        </w:rPr>
        <w:t xml:space="preserve">Օգտակար </w:t>
      </w:r>
      <w:r w:rsidR="004C08EC" w:rsidRPr="00CA27E3">
        <w:rPr>
          <w:rFonts w:ascii="Sylfaen" w:hAnsi="Sylfaen"/>
          <w:sz w:val="24"/>
          <w:szCs w:val="24"/>
        </w:rPr>
        <w:t>գործողության նորմավորված գործակցի (η</w:t>
      </w:r>
      <w:r w:rsidR="004C08EC" w:rsidRPr="00CA27E3">
        <w:rPr>
          <w:rFonts w:ascii="Sylfaen" w:hAnsi="Sylfaen"/>
          <w:sz w:val="24"/>
          <w:szCs w:val="24"/>
          <w:vertAlign w:val="subscript"/>
        </w:rPr>
        <w:t>n</w:t>
      </w:r>
      <w:r w:rsidR="004C08EC" w:rsidRPr="00CA27E3">
        <w:rPr>
          <w:rFonts w:ascii="Sylfaen" w:hAnsi="Sylfaen"/>
          <w:sz w:val="24"/>
          <w:szCs w:val="24"/>
        </w:rPr>
        <w:t>) արժեքը որոշվում է արտադրողի կողմից սահմանված՝ անվանական ելքային հզորության (P</w:t>
      </w:r>
      <w:r w:rsidR="004C08EC" w:rsidRPr="00CA27E3">
        <w:rPr>
          <w:rFonts w:ascii="Sylfaen" w:hAnsi="Sylfaen"/>
          <w:sz w:val="24"/>
          <w:szCs w:val="24"/>
          <w:vertAlign w:val="subscript"/>
        </w:rPr>
        <w:t>n</w:t>
      </w:r>
      <w:r w:rsidR="004C08EC" w:rsidRPr="00CA27E3">
        <w:rPr>
          <w:rFonts w:ascii="Sylfaen" w:hAnsi="Sylfaen"/>
          <w:sz w:val="24"/>
          <w:szCs w:val="24"/>
        </w:rPr>
        <w:t>), անվանական լարման (Un) եւ անվանական հաճախականության</w:t>
      </w:r>
      <w:r w:rsidRPr="00CA27E3">
        <w:rPr>
          <w:rFonts w:ascii="Sylfaen" w:hAnsi="Sylfaen"/>
          <w:sz w:val="24"/>
          <w:szCs w:val="24"/>
        </w:rPr>
        <w:t xml:space="preserve"> (f</w:t>
      </w:r>
      <w:r w:rsidRPr="00CA27E3">
        <w:rPr>
          <w:rFonts w:ascii="Sylfaen" w:hAnsi="Sylfaen"/>
          <w:sz w:val="24"/>
          <w:szCs w:val="24"/>
          <w:vertAlign w:val="subscript"/>
        </w:rPr>
        <w:t>N</w:t>
      </w:r>
      <w:r w:rsidRPr="00CA27E3">
        <w:rPr>
          <w:rFonts w:ascii="Sylfaen" w:hAnsi="Sylfaen"/>
          <w:sz w:val="24"/>
          <w:szCs w:val="24"/>
        </w:rPr>
        <w:t>) դեպքում։</w:t>
      </w:r>
    </w:p>
    <w:p w14:paraId="1D284140" w14:textId="77777777" w:rsidR="00FD48C7" w:rsidRPr="00CA27E3" w:rsidRDefault="00060D28" w:rsidP="00F606E4">
      <w:pPr>
        <w:pStyle w:val="BodyText1"/>
        <w:shd w:val="clear" w:color="auto" w:fill="auto"/>
        <w:tabs>
          <w:tab w:val="left" w:pos="1134"/>
          <w:tab w:val="left" w:pos="7797"/>
        </w:tabs>
        <w:spacing w:after="160"/>
        <w:ind w:firstLine="567"/>
        <w:jc w:val="both"/>
        <w:rPr>
          <w:rFonts w:ascii="Sylfaen" w:hAnsi="Sylfaen" w:cs="Sylfaen"/>
          <w:sz w:val="24"/>
          <w:szCs w:val="24"/>
        </w:rPr>
      </w:pPr>
      <w:r w:rsidRPr="00CA27E3">
        <w:rPr>
          <w:rFonts w:ascii="Sylfaen" w:hAnsi="Sylfaen"/>
          <w:sz w:val="24"/>
          <w:szCs w:val="24"/>
        </w:rPr>
        <w:t>8.</w:t>
      </w:r>
      <w:r w:rsidR="00F606E4" w:rsidRPr="00F606E4">
        <w:rPr>
          <w:rFonts w:ascii="Sylfaen" w:hAnsi="Sylfaen"/>
          <w:sz w:val="24"/>
          <w:szCs w:val="24"/>
        </w:rPr>
        <w:tab/>
      </w:r>
      <w:r w:rsidRPr="00CA27E3">
        <w:rPr>
          <w:rFonts w:ascii="Sylfaen" w:hAnsi="Sylfaen"/>
          <w:sz w:val="24"/>
          <w:szCs w:val="24"/>
        </w:rPr>
        <w:t>Շարժիչներին կցվող՝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F606E4" w:rsidRPr="00F606E4">
        <w:rPr>
          <w:rFonts w:ascii="Sylfaen" w:hAnsi="Sylfaen"/>
          <w:sz w:val="24"/>
          <w:szCs w:val="24"/>
        </w:rPr>
        <w:tab/>
      </w:r>
      <w:r w:rsidRPr="00CA27E3">
        <w:rPr>
          <w:rFonts w:ascii="Sylfaen" w:hAnsi="Sylfaen"/>
          <w:sz w:val="24"/>
          <w:szCs w:val="24"/>
        </w:rPr>
        <w:t>/20</w:t>
      </w:r>
      <w:r w:rsidR="00F606E4" w:rsidRPr="00F606E4">
        <w:rPr>
          <w:rFonts w:ascii="Sylfaen" w:hAnsi="Sylfaen"/>
          <w:sz w:val="24"/>
          <w:szCs w:val="24"/>
        </w:rPr>
        <w:tab/>
      </w:r>
      <w:r w:rsidRPr="00CA27E3">
        <w:rPr>
          <w:rFonts w:ascii="Sylfaen" w:hAnsi="Sylfaen"/>
          <w:sz w:val="24"/>
          <w:szCs w:val="24"/>
        </w:rPr>
        <w:t xml:space="preserve">) (այսուհետ՝ տեխնիկական կանոնակարգ) 13-րդ կետով նախատեսված </w:t>
      </w:r>
      <w:r w:rsidRPr="00CA27E3">
        <w:rPr>
          <w:rFonts w:ascii="Sylfaen" w:hAnsi="Sylfaen"/>
          <w:sz w:val="24"/>
          <w:szCs w:val="24"/>
        </w:rPr>
        <w:lastRenderedPageBreak/>
        <w:t xml:space="preserve">շահագործման փաստաթղթերը պետք է պարունակեն դրանց բնութագրերի </w:t>
      </w:r>
      <w:r w:rsidR="00CA27E3">
        <w:rPr>
          <w:rFonts w:ascii="Sylfaen" w:hAnsi="Sylfaen"/>
          <w:sz w:val="24"/>
          <w:szCs w:val="24"/>
        </w:rPr>
        <w:t>եւ</w:t>
      </w:r>
      <w:r w:rsidRPr="00CA27E3">
        <w:rPr>
          <w:rFonts w:ascii="Sylfaen" w:hAnsi="Sylfaen"/>
          <w:sz w:val="24"/>
          <w:szCs w:val="24"/>
        </w:rPr>
        <w:t xml:space="preserve"> պարամետրերի մասին հետ</w:t>
      </w:r>
      <w:r w:rsidR="00CA27E3">
        <w:rPr>
          <w:rFonts w:ascii="Sylfaen" w:hAnsi="Sylfaen"/>
          <w:sz w:val="24"/>
          <w:szCs w:val="24"/>
        </w:rPr>
        <w:t>եւ</w:t>
      </w:r>
      <w:r w:rsidRPr="00CA27E3">
        <w:rPr>
          <w:rFonts w:ascii="Sylfaen" w:hAnsi="Sylfaen"/>
          <w:sz w:val="24"/>
          <w:szCs w:val="24"/>
        </w:rPr>
        <w:t>յալ տեղեկությունները՝</w:t>
      </w:r>
    </w:p>
    <w:p w14:paraId="2C5BE7A7"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F606E4" w:rsidRPr="00F606E4">
        <w:rPr>
          <w:rFonts w:ascii="Sylfaen" w:hAnsi="Sylfaen"/>
          <w:sz w:val="24"/>
          <w:szCs w:val="24"/>
        </w:rPr>
        <w:tab/>
      </w:r>
      <w:r w:rsidRPr="00CA27E3">
        <w:rPr>
          <w:rFonts w:ascii="Sylfaen" w:hAnsi="Sylfaen"/>
          <w:sz w:val="24"/>
          <w:szCs w:val="24"/>
        </w:rPr>
        <w:t xml:space="preserve">օգտակար գործողության անվանական գործակիցը (ηn)՝ ամբողջական հզորության, 75 % եւ 50 % անվանական </w:t>
      </w:r>
      <w:r w:rsidR="00CA6297" w:rsidRPr="00CA27E3">
        <w:rPr>
          <w:rFonts w:ascii="Sylfaen" w:hAnsi="Sylfaen"/>
          <w:sz w:val="24"/>
          <w:szCs w:val="24"/>
        </w:rPr>
        <w:t>բեռն</w:t>
      </w:r>
      <w:r w:rsidR="004E151F" w:rsidRPr="00CA27E3">
        <w:rPr>
          <w:rFonts w:ascii="Sylfaen" w:hAnsi="Sylfaen"/>
          <w:sz w:val="24"/>
          <w:szCs w:val="24"/>
        </w:rPr>
        <w:t>վ</w:t>
      </w:r>
      <w:r w:rsidR="003222DC" w:rsidRPr="00CA27E3">
        <w:rPr>
          <w:rFonts w:ascii="Sylfaen" w:hAnsi="Sylfaen"/>
          <w:sz w:val="24"/>
          <w:szCs w:val="24"/>
        </w:rPr>
        <w:t>ա</w:t>
      </w:r>
      <w:r w:rsidR="00CA6297" w:rsidRPr="00CA27E3">
        <w:rPr>
          <w:rFonts w:ascii="Sylfaen" w:hAnsi="Sylfaen"/>
          <w:sz w:val="24"/>
          <w:szCs w:val="24"/>
        </w:rPr>
        <w:t>ծության եւ</w:t>
      </w:r>
      <w:r w:rsidRPr="00CA27E3">
        <w:rPr>
          <w:rFonts w:ascii="Sylfaen" w:hAnsi="Sylfaen"/>
          <w:sz w:val="24"/>
          <w:szCs w:val="24"/>
        </w:rPr>
        <w:t xml:space="preserve"> լարման (UN) դեպքում.</w:t>
      </w:r>
    </w:p>
    <w:p w14:paraId="5CD2BC5F"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F606E4" w:rsidRPr="00F606E4">
        <w:rPr>
          <w:rFonts w:ascii="Sylfaen" w:hAnsi="Sylfaen"/>
          <w:sz w:val="24"/>
          <w:szCs w:val="24"/>
        </w:rPr>
        <w:tab/>
      </w:r>
      <w:r w:rsidRPr="00CA27E3">
        <w:rPr>
          <w:rFonts w:ascii="Sylfaen" w:hAnsi="Sylfaen"/>
          <w:sz w:val="24"/>
          <w:szCs w:val="24"/>
        </w:rPr>
        <w:t>էներգետիկ արդյունավետության դասը (IE1, IE2 կամ IE3).</w:t>
      </w:r>
    </w:p>
    <w:p w14:paraId="1B916606"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F606E4" w:rsidRPr="00F606E4">
        <w:rPr>
          <w:rFonts w:ascii="Sylfaen" w:hAnsi="Sylfaen"/>
          <w:sz w:val="24"/>
          <w:szCs w:val="24"/>
        </w:rPr>
        <w:tab/>
      </w:r>
      <w:r w:rsidRPr="00CA27E3">
        <w:rPr>
          <w:rFonts w:ascii="Sylfaen" w:hAnsi="Sylfaen"/>
          <w:sz w:val="24"/>
          <w:szCs w:val="24"/>
        </w:rPr>
        <w:t xml:space="preserve">բեւեռների քանակը. </w:t>
      </w:r>
    </w:p>
    <w:p w14:paraId="3403C208"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F606E4" w:rsidRPr="00F606E4">
        <w:rPr>
          <w:rFonts w:ascii="Sylfaen" w:hAnsi="Sylfaen"/>
          <w:sz w:val="24"/>
          <w:szCs w:val="24"/>
        </w:rPr>
        <w:tab/>
      </w:r>
      <w:r w:rsidRPr="00CA27E3">
        <w:rPr>
          <w:rFonts w:ascii="Sylfaen" w:hAnsi="Sylfaen"/>
          <w:sz w:val="24"/>
          <w:szCs w:val="24"/>
        </w:rPr>
        <w:t>անվանական ելքային հզորությունը կամ անվանական ելքային հզորության արժեքների տիրույթը (կՎտ).</w:t>
      </w:r>
    </w:p>
    <w:p w14:paraId="0F377C2F"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F606E4" w:rsidRPr="00F606E4">
        <w:rPr>
          <w:rFonts w:ascii="Sylfaen" w:hAnsi="Sylfaen"/>
          <w:sz w:val="24"/>
          <w:szCs w:val="24"/>
        </w:rPr>
        <w:tab/>
      </w:r>
      <w:r w:rsidRPr="00CA27E3">
        <w:rPr>
          <w:rFonts w:ascii="Sylfaen" w:hAnsi="Sylfaen"/>
          <w:sz w:val="24"/>
          <w:szCs w:val="24"/>
        </w:rPr>
        <w:t xml:space="preserve">անվանական հաճախականությունը (Հց). </w:t>
      </w:r>
    </w:p>
    <w:p w14:paraId="5EA3D14B"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F606E4" w:rsidRPr="00F606E4">
        <w:rPr>
          <w:rFonts w:ascii="Sylfaen" w:hAnsi="Sylfaen"/>
          <w:sz w:val="24"/>
          <w:szCs w:val="24"/>
        </w:rPr>
        <w:tab/>
      </w:r>
      <w:r w:rsidRPr="00CA27E3">
        <w:rPr>
          <w:rFonts w:ascii="Sylfaen" w:hAnsi="Sylfaen"/>
          <w:sz w:val="24"/>
          <w:szCs w:val="24"/>
        </w:rPr>
        <w:t>շարժիչի անվանական լարումը կամ անվանական լարման արժեքների տիրույթը (Վ).</w:t>
      </w:r>
    </w:p>
    <w:p w14:paraId="4DA10941"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է)</w:t>
      </w:r>
      <w:r w:rsidR="00F606E4" w:rsidRPr="00F606E4">
        <w:rPr>
          <w:rFonts w:ascii="Sylfaen" w:hAnsi="Sylfaen"/>
          <w:sz w:val="24"/>
          <w:szCs w:val="24"/>
        </w:rPr>
        <w:tab/>
      </w:r>
      <w:r w:rsidRPr="00CA27E3">
        <w:rPr>
          <w:rFonts w:ascii="Sylfaen" w:hAnsi="Sylfaen"/>
          <w:sz w:val="24"/>
          <w:szCs w:val="24"/>
        </w:rPr>
        <w:t>պտտման անվանական արագությունը կամ անվանական արագության արժեքների ընդգրկույթը (պտույտ/րոպե).</w:t>
      </w:r>
    </w:p>
    <w:p w14:paraId="35ECE8BE" w14:textId="77777777" w:rsidR="00FD48C7" w:rsidRPr="00CA27E3" w:rsidRDefault="00BB04FF"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ը)</w:t>
      </w:r>
      <w:r w:rsidR="00F606E4" w:rsidRPr="00F606E4">
        <w:rPr>
          <w:rFonts w:ascii="Sylfaen" w:hAnsi="Sylfaen"/>
          <w:sz w:val="24"/>
          <w:szCs w:val="24"/>
        </w:rPr>
        <w:tab/>
      </w:r>
      <w:r w:rsidRPr="00CA27E3">
        <w:rPr>
          <w:rFonts w:ascii="Sylfaen" w:hAnsi="Sylfaen"/>
          <w:sz w:val="24"/>
          <w:szCs w:val="24"/>
        </w:rPr>
        <w:t>տեղեկատվություն շահագործման այն պայմանների մասին, որոնցում կիրառման համար նախագծվել է շարժիչը՝</w:t>
      </w:r>
    </w:p>
    <w:p w14:paraId="5CA98A9A"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ծովի մակերեւույթից բարձրությունը, արտաքին միջավայրի ջերմաստիճանը (այդ թվում՝ ջրային հովացմամբ շարժիչների համար).</w:t>
      </w:r>
    </w:p>
    <w:p w14:paraId="6F371E05" w14:textId="77777777" w:rsidR="000C2B8E" w:rsidRPr="00CA27E3" w:rsidRDefault="00BB04FF" w:rsidP="00F606E4">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շարժիչի մուտքի մոտ հովացնող հեղուկի ջերմաստիճանը</w:t>
      </w:r>
      <w:r w:rsidR="000C2B8E" w:rsidRPr="00CA27E3">
        <w:rPr>
          <w:rFonts w:ascii="Sylfaen" w:hAnsi="Sylfaen"/>
          <w:sz w:val="24"/>
          <w:szCs w:val="24"/>
        </w:rPr>
        <w:t>.</w:t>
      </w:r>
    </w:p>
    <w:p w14:paraId="30878B1F" w14:textId="77777777" w:rsidR="00FD48C7" w:rsidRPr="00CA27E3" w:rsidRDefault="00BB04FF" w:rsidP="00F606E4">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շարժիչի առավելագույն աշխատանքային ջերմաստիճանը։</w:t>
      </w:r>
    </w:p>
    <w:p w14:paraId="5AF0EDEA" w14:textId="77777777" w:rsidR="00F606E4" w:rsidRDefault="00F606E4">
      <w:pPr>
        <w:rPr>
          <w:rFonts w:ascii="Sylfaen" w:hAnsi="Sylfaen" w:cs="Sylfaen"/>
        </w:rPr>
      </w:pPr>
      <w:r>
        <w:rPr>
          <w:rFonts w:ascii="Sylfaen" w:hAnsi="Sylfaen" w:cs="Sylfaen"/>
        </w:rPr>
        <w:br w:type="page"/>
      </w:r>
    </w:p>
    <w:p w14:paraId="67E4190D" w14:textId="77777777" w:rsidR="00FD48C7" w:rsidRPr="00CA27E3" w:rsidRDefault="00BB04FF" w:rsidP="00F606E4">
      <w:pPr>
        <w:pStyle w:val="BodyText1"/>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IV. Շարժիչները շրջանառության մեջ դնելուց հետո փորձարկումների (չափումների) անցկացման ժամանակ դրանց էներգետիկ արդյունավետության պարամետրերի թույլատրելի շեղումները</w:t>
      </w:r>
    </w:p>
    <w:p w14:paraId="34A1E8E8" w14:textId="77777777" w:rsidR="00FD48C7" w:rsidRPr="00CA27E3" w:rsidRDefault="00060D28" w:rsidP="00F606E4">
      <w:pPr>
        <w:pStyle w:val="BodyText1"/>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F606E4" w:rsidRPr="00F606E4">
        <w:rPr>
          <w:rFonts w:ascii="Sylfaen" w:hAnsi="Sylfaen"/>
          <w:sz w:val="24"/>
          <w:szCs w:val="24"/>
        </w:rPr>
        <w:tab/>
      </w:r>
      <w:r w:rsidRPr="00CA27E3">
        <w:rPr>
          <w:rFonts w:ascii="Sylfaen" w:hAnsi="Sylfaen"/>
          <w:sz w:val="24"/>
          <w:szCs w:val="24"/>
        </w:rPr>
        <w:t>Շարժիչները Եվրասիական տնտեսական միության մաքսային տարածքում շրջանառության մեջ դնելուց հետո անցկացվում են շարժիչի յուրաքանչյուր մոդելի մեկ նմուշի փորձարկումներ (չափումներ):</w:t>
      </w:r>
    </w:p>
    <w:p w14:paraId="4270D650"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Շարժիչի նմուշը համարվում է սույն պահանջներին համապատասխանող, </w:t>
      </w:r>
      <w:r w:rsidR="000C2B8E" w:rsidRPr="00CA27E3">
        <w:rPr>
          <w:rFonts w:ascii="Sylfaen" w:hAnsi="Sylfaen"/>
          <w:sz w:val="24"/>
          <w:szCs w:val="24"/>
        </w:rPr>
        <w:t xml:space="preserve">եթե </w:t>
      </w:r>
      <w:r w:rsidRPr="00CA27E3">
        <w:rPr>
          <w:rFonts w:ascii="Sylfaen" w:hAnsi="Sylfaen"/>
          <w:sz w:val="24"/>
          <w:szCs w:val="24"/>
        </w:rPr>
        <w:t>կորուստների ստացված արժեքները (1-η</w:t>
      </w:r>
      <w:r w:rsidRPr="00CA27E3">
        <w:rPr>
          <w:rFonts w:ascii="Sylfaen" w:hAnsi="Sylfaen"/>
          <w:sz w:val="24"/>
          <w:szCs w:val="24"/>
          <w:vertAlign w:val="subscript"/>
        </w:rPr>
        <w:t>n</w:t>
      </w:r>
      <w:r w:rsidRPr="00CA27E3">
        <w:rPr>
          <w:rFonts w:ascii="Sylfaen" w:hAnsi="Sylfaen"/>
          <w:sz w:val="24"/>
          <w:szCs w:val="24"/>
        </w:rPr>
        <w:t>) չեն գերազանցում սույն պահանջների 1-3-րդ աղյուսակներում սահմանված՝ օգտակար գործողության նորմավորված գործակցի (η</w:t>
      </w:r>
      <w:r w:rsidRPr="00CA27E3">
        <w:rPr>
          <w:rFonts w:ascii="Sylfaen" w:hAnsi="Sylfaen"/>
          <w:sz w:val="24"/>
          <w:szCs w:val="24"/>
          <w:vertAlign w:val="subscript"/>
        </w:rPr>
        <w:t>n</w:t>
      </w:r>
      <w:r w:rsidRPr="00CA27E3">
        <w:rPr>
          <w:rFonts w:ascii="Sylfaen" w:hAnsi="Sylfaen"/>
          <w:sz w:val="24"/>
          <w:szCs w:val="24"/>
        </w:rPr>
        <w:t>) արժեքներին համապատասխանող կորուստների արժեքները (1-η</w:t>
      </w:r>
      <w:r w:rsidRPr="00CA27E3">
        <w:rPr>
          <w:rFonts w:ascii="Sylfaen" w:hAnsi="Sylfaen"/>
          <w:sz w:val="24"/>
          <w:szCs w:val="24"/>
          <w:vertAlign w:val="subscript"/>
        </w:rPr>
        <w:t>n</w:t>
      </w:r>
      <w:r w:rsidRPr="00CA27E3">
        <w:rPr>
          <w:rFonts w:ascii="Sylfaen" w:hAnsi="Sylfaen"/>
          <w:sz w:val="24"/>
          <w:szCs w:val="24"/>
        </w:rPr>
        <w:t>) ավելի քան 15 %-ով (0,75-ից մինչեւ 150 կՎտ անվանական հզորությամբ շարժիչների համար) եւ ավելի քան 10 %-ով (150-ից մինչեւ 375 կՎտ անվանական հզորությամբ շարժիչների համար)։</w:t>
      </w:r>
    </w:p>
    <w:p w14:paraId="7DDA8038" w14:textId="77777777" w:rsidR="00FD48C7" w:rsidRPr="00CA27E3" w:rsidRDefault="00BB04FF" w:rsidP="00CA27E3">
      <w:pPr>
        <w:pStyle w:val="BodyText1"/>
        <w:shd w:val="clear" w:color="auto" w:fill="auto"/>
        <w:spacing w:after="160"/>
        <w:ind w:firstLine="567"/>
        <w:jc w:val="both"/>
        <w:rPr>
          <w:rFonts w:ascii="Sylfaen" w:hAnsi="Sylfaen" w:cs="Sylfaen"/>
          <w:sz w:val="24"/>
          <w:szCs w:val="24"/>
        </w:rPr>
      </w:pPr>
      <w:r w:rsidRPr="00CA27E3">
        <w:rPr>
          <w:rFonts w:ascii="Sylfaen" w:hAnsi="Sylfaen"/>
          <w:sz w:val="24"/>
          <w:szCs w:val="24"/>
        </w:rPr>
        <w:t>Եթե ստացված արժեքները չեն համապատասխանում նշված արժեքներին, ապա փորձարկումները (չափումները) հարկավոր է անցկացնել տվյալ մոդելի շարժիչի լրացուցիչ 3 նմուշների նկատմամբ։ Շարժիչի մոդելը համարվում է սույն պահանջներին համապատասխանող, եթե փորձարկված 3 շարժիչների համար կորուստների միջին արժեքները (l-η</w:t>
      </w:r>
      <w:r w:rsidRPr="00CA27E3">
        <w:rPr>
          <w:rFonts w:ascii="Sylfaen" w:hAnsi="Sylfaen"/>
          <w:sz w:val="24"/>
          <w:szCs w:val="24"/>
          <w:vertAlign w:val="subscript"/>
        </w:rPr>
        <w:t>N</w:t>
      </w:r>
      <w:r w:rsidRPr="00CA27E3">
        <w:rPr>
          <w:rFonts w:ascii="Sylfaen" w:hAnsi="Sylfaen"/>
          <w:sz w:val="24"/>
          <w:szCs w:val="24"/>
        </w:rPr>
        <w:t>) չեն գերազանցում սույն կետի երկրորդ պարբերությունում նշված արժեքները:</w:t>
      </w:r>
    </w:p>
    <w:p w14:paraId="4275D749" w14:textId="77777777" w:rsidR="00CA27E3" w:rsidRPr="00CA27E3" w:rsidRDefault="00BB04FF"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Այլ դեպքերում շարժիչի տվյալ մոդելը հարկավոր է դիտարկել որպես տեխնիկական կանոնակարգի պահանջներին չհամապատասխանող։</w:t>
      </w:r>
    </w:p>
    <w:p w14:paraId="3DD0D792" w14:textId="77777777" w:rsidR="00F606E4" w:rsidRPr="00DC5495" w:rsidRDefault="00F606E4" w:rsidP="00F606E4">
      <w:pPr>
        <w:spacing w:after="160" w:line="360" w:lineRule="auto"/>
        <w:jc w:val="center"/>
        <w:rPr>
          <w:rFonts w:ascii="Sylfaen" w:hAnsi="Sylfaen"/>
        </w:rPr>
      </w:pPr>
      <w:r w:rsidRPr="00DC5495">
        <w:rPr>
          <w:rFonts w:ascii="Sylfaen" w:hAnsi="Sylfaen"/>
        </w:rPr>
        <w:t>_____________</w:t>
      </w:r>
    </w:p>
    <w:p w14:paraId="0FEAE3E5" w14:textId="77777777" w:rsidR="00F606E4" w:rsidRPr="00DC5495" w:rsidRDefault="00F606E4" w:rsidP="00CA27E3">
      <w:pPr>
        <w:spacing w:after="160" w:line="360" w:lineRule="auto"/>
        <w:rPr>
          <w:rFonts w:ascii="Sylfaen" w:hAnsi="Sylfaen"/>
        </w:rPr>
      </w:pPr>
    </w:p>
    <w:p w14:paraId="4135723A" w14:textId="77777777" w:rsidR="00F606E4" w:rsidRPr="00DC5495" w:rsidRDefault="00F606E4" w:rsidP="00CA27E3">
      <w:pPr>
        <w:spacing w:after="160" w:line="360" w:lineRule="auto"/>
        <w:rPr>
          <w:rFonts w:ascii="Sylfaen" w:hAnsi="Sylfaen"/>
        </w:rPr>
        <w:sectPr w:rsidR="00F606E4" w:rsidRPr="00DC5495" w:rsidSect="0027701C">
          <w:pgSz w:w="11907" w:h="16840" w:code="9"/>
          <w:pgMar w:top="1418" w:right="1418" w:bottom="1418" w:left="1418" w:header="0" w:footer="397" w:gutter="0"/>
          <w:pgNumType w:start="1"/>
          <w:cols w:space="720"/>
          <w:noEndnote/>
          <w:titlePg/>
          <w:docGrid w:linePitch="360"/>
        </w:sectPr>
      </w:pPr>
    </w:p>
    <w:p w14:paraId="3A6BF117" w14:textId="77777777" w:rsidR="00CA27E3" w:rsidRPr="00CA27E3" w:rsidRDefault="00CA27E3" w:rsidP="00B83AD7">
      <w:pPr>
        <w:pStyle w:val="BodyText1"/>
        <w:shd w:val="clear" w:color="auto" w:fill="auto"/>
        <w:spacing w:after="160"/>
        <w:ind w:left="3969" w:firstLine="0"/>
        <w:jc w:val="center"/>
        <w:rPr>
          <w:rFonts w:ascii="Sylfaen" w:hAnsi="Sylfaen"/>
          <w:sz w:val="24"/>
          <w:szCs w:val="24"/>
        </w:rPr>
      </w:pPr>
      <w:r w:rsidRPr="00CA27E3">
        <w:rPr>
          <w:rFonts w:ascii="Sylfaen" w:hAnsi="Sylfaen"/>
          <w:sz w:val="24"/>
          <w:szCs w:val="24"/>
        </w:rPr>
        <w:lastRenderedPageBreak/>
        <w:t>ՀԱՎԵԼՎԱԾ ԹԻՎ 4</w:t>
      </w:r>
    </w:p>
    <w:p w14:paraId="5A0CC6E9" w14:textId="77777777" w:rsidR="00CA27E3" w:rsidRPr="00CA27E3" w:rsidRDefault="00CA27E3" w:rsidP="00B83AD7">
      <w:pPr>
        <w:pStyle w:val="BodyText1"/>
        <w:shd w:val="clear" w:color="auto" w:fill="auto"/>
        <w:spacing w:after="160"/>
        <w:ind w:left="3969" w:firstLine="0"/>
        <w:jc w:val="center"/>
        <w:rPr>
          <w:rFonts w:ascii="Sylfaen" w:hAnsi="Sylfaen"/>
          <w:sz w:val="24"/>
          <w:szCs w:val="24"/>
        </w:rPr>
      </w:pPr>
      <w:r w:rsidRPr="00CA27E3">
        <w:rPr>
          <w:rFonts w:ascii="Sylfaen" w:hAnsi="Sylfaen"/>
          <w:sz w:val="24"/>
          <w:szCs w:val="24"/>
        </w:rPr>
        <w:t xml:space="preserve">«Էներգասպառող սարքվածքների </w:t>
      </w:r>
      <w:r w:rsidR="00054AD2" w:rsidRPr="00054AD2">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054AD2" w:rsidRPr="00054AD2">
        <w:rPr>
          <w:rFonts w:ascii="Sylfaen" w:hAnsi="Sylfaen"/>
          <w:sz w:val="24"/>
          <w:szCs w:val="24"/>
        </w:rPr>
        <w:br/>
      </w:r>
      <w:r w:rsidRPr="00CA27E3">
        <w:rPr>
          <w:rFonts w:ascii="Sylfaen" w:hAnsi="Sylfaen"/>
          <w:sz w:val="24"/>
          <w:szCs w:val="24"/>
        </w:rPr>
        <w:t>(ԵԱՏՄ ՏԿ/</w:t>
      </w:r>
      <w:r w:rsidR="00F606E4" w:rsidRPr="00F606E4">
        <w:rPr>
          <w:rFonts w:ascii="Sylfaen" w:hAnsi="Sylfaen"/>
          <w:sz w:val="24"/>
          <w:szCs w:val="24"/>
        </w:rPr>
        <w:tab/>
      </w:r>
      <w:r w:rsidRPr="00CA27E3">
        <w:rPr>
          <w:rFonts w:ascii="Sylfaen" w:hAnsi="Sylfaen"/>
          <w:sz w:val="24"/>
          <w:szCs w:val="24"/>
        </w:rPr>
        <w:t>20</w:t>
      </w:r>
      <w:r w:rsidR="00F606E4" w:rsidRPr="00F606E4">
        <w:rPr>
          <w:rFonts w:ascii="Sylfaen" w:hAnsi="Sylfaen"/>
          <w:sz w:val="24"/>
          <w:szCs w:val="24"/>
        </w:rPr>
        <w:tab/>
      </w:r>
      <w:r w:rsidRPr="00CA27E3">
        <w:rPr>
          <w:rFonts w:ascii="Sylfaen" w:hAnsi="Sylfaen"/>
          <w:sz w:val="24"/>
          <w:szCs w:val="24"/>
        </w:rPr>
        <w:t>)</w:t>
      </w:r>
    </w:p>
    <w:p w14:paraId="3737C464" w14:textId="77777777" w:rsidR="00CA27E3" w:rsidRPr="00CA27E3" w:rsidRDefault="00CA27E3" w:rsidP="00CA27E3">
      <w:pPr>
        <w:pStyle w:val="BodyText1"/>
        <w:shd w:val="clear" w:color="auto" w:fill="auto"/>
        <w:spacing w:after="160"/>
        <w:ind w:left="4536" w:firstLine="0"/>
        <w:jc w:val="center"/>
        <w:rPr>
          <w:rFonts w:ascii="Sylfaen" w:hAnsi="Sylfaen"/>
          <w:sz w:val="24"/>
          <w:szCs w:val="24"/>
        </w:rPr>
      </w:pPr>
    </w:p>
    <w:p w14:paraId="717611CF" w14:textId="77777777" w:rsidR="00CA27E3" w:rsidRPr="00CA27E3" w:rsidRDefault="00CA27E3" w:rsidP="00CA27E3">
      <w:pPr>
        <w:pStyle w:val="Heading10"/>
        <w:shd w:val="clear" w:color="auto" w:fill="auto"/>
        <w:spacing w:after="160" w:line="360" w:lineRule="auto"/>
        <w:outlineLvl w:val="9"/>
        <w:rPr>
          <w:rFonts w:ascii="Sylfaen" w:hAnsi="Sylfaen"/>
          <w:sz w:val="24"/>
          <w:szCs w:val="24"/>
        </w:rPr>
      </w:pPr>
      <w:r w:rsidRPr="00CA27E3">
        <w:rPr>
          <w:rFonts w:ascii="Sylfaen" w:hAnsi="Sylfaen"/>
          <w:b/>
          <w:sz w:val="24"/>
          <w:szCs w:val="24"/>
        </w:rPr>
        <w:t>ՊԱՀԱՆՋՆԵՐ</w:t>
      </w:r>
    </w:p>
    <w:p w14:paraId="5996181A" w14:textId="77777777" w:rsidR="00CA27E3" w:rsidRPr="00CA27E3" w:rsidRDefault="00CA27E3" w:rsidP="00CA27E3">
      <w:pPr>
        <w:pStyle w:val="Heading10"/>
        <w:shd w:val="clear" w:color="auto" w:fill="auto"/>
        <w:spacing w:after="160" w:line="360" w:lineRule="auto"/>
        <w:outlineLvl w:val="9"/>
        <w:rPr>
          <w:rFonts w:ascii="Sylfaen" w:hAnsi="Sylfaen"/>
          <w:sz w:val="24"/>
          <w:szCs w:val="24"/>
        </w:rPr>
      </w:pPr>
      <w:r w:rsidRPr="00CA27E3">
        <w:rPr>
          <w:rFonts w:ascii="Sylfaen" w:hAnsi="Sylfaen"/>
          <w:b/>
          <w:sz w:val="24"/>
          <w:szCs w:val="24"/>
        </w:rPr>
        <w:t xml:space="preserve">հեռուստացույցների էներգետիկ </w:t>
      </w:r>
      <w:r w:rsidR="00250D3E" w:rsidRPr="003D2C38">
        <w:rPr>
          <w:rFonts w:ascii="Sylfaen" w:hAnsi="Sylfaen"/>
          <w:b/>
          <w:sz w:val="24"/>
          <w:szCs w:val="24"/>
        </w:rPr>
        <w:br/>
      </w:r>
      <w:r w:rsidRPr="00CA27E3">
        <w:rPr>
          <w:rFonts w:ascii="Sylfaen" w:hAnsi="Sylfaen"/>
          <w:b/>
          <w:sz w:val="24"/>
          <w:szCs w:val="24"/>
        </w:rPr>
        <w:t>արդյունավետությանը ներկայացվող</w:t>
      </w:r>
    </w:p>
    <w:p w14:paraId="6E27787B" w14:textId="77777777" w:rsidR="00CA27E3" w:rsidRPr="00CA27E3" w:rsidRDefault="00CA27E3" w:rsidP="00CA27E3">
      <w:pPr>
        <w:spacing w:after="160" w:line="360" w:lineRule="auto"/>
        <w:rPr>
          <w:rFonts w:ascii="Sylfaen" w:hAnsi="Sylfaen"/>
        </w:rPr>
      </w:pPr>
    </w:p>
    <w:p w14:paraId="7B45FB1E" w14:textId="77777777" w:rsidR="00CA27E3" w:rsidRPr="00CA27E3" w:rsidRDefault="00CA27E3" w:rsidP="00CA27E3">
      <w:pPr>
        <w:pStyle w:val="BodyText1"/>
        <w:shd w:val="clear" w:color="auto" w:fill="auto"/>
        <w:spacing w:after="160"/>
        <w:ind w:left="1134" w:right="1126" w:firstLine="0"/>
        <w:jc w:val="center"/>
        <w:rPr>
          <w:rFonts w:ascii="Sylfaen" w:hAnsi="Sylfaen"/>
          <w:sz w:val="24"/>
          <w:szCs w:val="24"/>
        </w:rPr>
      </w:pPr>
      <w:r w:rsidRPr="00CA27E3">
        <w:rPr>
          <w:rFonts w:ascii="Sylfaen" w:hAnsi="Sylfaen"/>
          <w:sz w:val="24"/>
          <w:szCs w:val="24"/>
        </w:rPr>
        <w:t>I. Կիրառության ոլորտը</w:t>
      </w:r>
    </w:p>
    <w:p w14:paraId="46BFB897" w14:textId="77777777" w:rsidR="00CA27E3" w:rsidRPr="00CA27E3" w:rsidRDefault="00CA27E3" w:rsidP="00F606E4">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w:t>
      </w:r>
      <w:r w:rsidR="00F606E4" w:rsidRPr="00F606E4">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(այսուհետ՝ Միություն) մաքսային տարածքում շրջանառության մեջ բաց թողնվող հեռուստացույցների վրա, որոնց սնուցումն իրականացվում է մինչ</w:t>
      </w:r>
      <w:r>
        <w:rPr>
          <w:rFonts w:ascii="Sylfaen" w:hAnsi="Sylfaen"/>
          <w:sz w:val="24"/>
          <w:szCs w:val="24"/>
        </w:rPr>
        <w:t>եւ</w:t>
      </w:r>
      <w:r w:rsidRPr="00CA27E3">
        <w:rPr>
          <w:rFonts w:ascii="Sylfaen" w:hAnsi="Sylfaen"/>
          <w:sz w:val="24"/>
          <w:szCs w:val="24"/>
        </w:rPr>
        <w:t xml:space="preserve"> 250</w:t>
      </w:r>
      <w:r w:rsidR="00F606E4" w:rsidRPr="00F606E4">
        <w:rPr>
          <w:rFonts w:ascii="Sylfaen" w:hAnsi="Sylfaen"/>
          <w:sz w:val="24"/>
          <w:szCs w:val="24"/>
        </w:rPr>
        <w:t> </w:t>
      </w:r>
      <w:r w:rsidRPr="00CA27E3">
        <w:rPr>
          <w:rFonts w:ascii="Sylfaen" w:hAnsi="Sylfaen"/>
          <w:sz w:val="24"/>
          <w:szCs w:val="24"/>
        </w:rPr>
        <w:t xml:space="preserve">Վ (ներառյալ) անվանական լարման էլեկտրական ցանցից, </w:t>
      </w:r>
      <w:r>
        <w:rPr>
          <w:rFonts w:ascii="Sylfaen" w:hAnsi="Sylfaen"/>
          <w:sz w:val="24"/>
          <w:szCs w:val="24"/>
        </w:rPr>
        <w:t>եւ</w:t>
      </w:r>
      <w:r w:rsidRPr="00CA27E3">
        <w:rPr>
          <w:rFonts w:ascii="Sylfaen" w:hAnsi="Sylfaen"/>
          <w:sz w:val="24"/>
          <w:szCs w:val="24"/>
        </w:rPr>
        <w:t xml:space="preserve"> որոնք նախատեսված են բնակելի </w:t>
      </w:r>
      <w:r>
        <w:rPr>
          <w:rFonts w:ascii="Sylfaen" w:hAnsi="Sylfaen"/>
          <w:sz w:val="24"/>
          <w:szCs w:val="24"/>
        </w:rPr>
        <w:t>եւ</w:t>
      </w:r>
      <w:r w:rsidRPr="00CA27E3">
        <w:rPr>
          <w:rFonts w:ascii="Sylfaen" w:hAnsi="Sylfaen"/>
          <w:sz w:val="24"/>
          <w:szCs w:val="24"/>
        </w:rPr>
        <w:t xml:space="preserve"> գրասենյակային տարածքներում շահագործման համար։</w:t>
      </w:r>
    </w:p>
    <w:p w14:paraId="44195B16"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Եթե հեռուստացույցների մասով ընդունվել են Միության</w:t>
      </w:r>
      <w:r>
        <w:rPr>
          <w:rFonts w:ascii="Sylfaen" w:hAnsi="Sylfaen"/>
          <w:sz w:val="24"/>
          <w:szCs w:val="24"/>
        </w:rPr>
        <w:t xml:space="preserve"> </w:t>
      </w:r>
      <w:r w:rsidRPr="00CA27E3">
        <w:rPr>
          <w:rFonts w:ascii="Sylfaen" w:hAnsi="Sylfaen"/>
          <w:sz w:val="24"/>
          <w:szCs w:val="24"/>
        </w:rPr>
        <w:t>այլ տեխնիկական կանոնակարգեր (Մաքսային միության տեխնիկական կանոնակարգեր), որոնցով սահմանվում են դրանց ներկայացվող պահանջները, ապա հեռուստացույցները պետք է համապատասխանեն Միության</w:t>
      </w:r>
      <w:r>
        <w:rPr>
          <w:rFonts w:ascii="Sylfaen" w:hAnsi="Sylfaen"/>
          <w:sz w:val="24"/>
          <w:szCs w:val="24"/>
        </w:rPr>
        <w:t xml:space="preserve"> </w:t>
      </w:r>
      <w:r w:rsidRPr="00CA27E3">
        <w:rPr>
          <w:rFonts w:ascii="Sylfaen" w:hAnsi="Sylfaen"/>
          <w:sz w:val="24"/>
          <w:szCs w:val="24"/>
        </w:rPr>
        <w:t>բոլոր այն տեխնիկական կանոնակարգերի (Մաքսային միության տեխնիկական կանոնակարգերի) պահանջներին, որոնց գործողությունը տարածվում է դրանց վրա։</w:t>
      </w:r>
    </w:p>
    <w:p w14:paraId="1BC839DB" w14:textId="77777777" w:rsidR="00CA27E3" w:rsidRPr="00DC5495" w:rsidRDefault="00CA27E3" w:rsidP="00CA27E3">
      <w:pPr>
        <w:spacing w:after="160" w:line="360" w:lineRule="auto"/>
        <w:ind w:firstLine="567"/>
        <w:rPr>
          <w:rFonts w:ascii="Sylfaen" w:hAnsi="Sylfaen"/>
        </w:rPr>
      </w:pPr>
    </w:p>
    <w:p w14:paraId="6B603862" w14:textId="77777777" w:rsidR="00CA27E3" w:rsidRPr="00CA27E3" w:rsidRDefault="00CA27E3" w:rsidP="00F606E4">
      <w:pPr>
        <w:pStyle w:val="BodyText1"/>
        <w:shd w:val="clear" w:color="auto" w:fill="auto"/>
        <w:spacing w:after="160"/>
        <w:ind w:right="-1" w:firstLine="0"/>
        <w:jc w:val="center"/>
        <w:rPr>
          <w:rFonts w:ascii="Sylfaen" w:hAnsi="Sylfaen"/>
          <w:sz w:val="24"/>
          <w:szCs w:val="24"/>
        </w:rPr>
      </w:pPr>
      <w:r w:rsidRPr="00CA27E3">
        <w:rPr>
          <w:rFonts w:ascii="Sylfaen" w:hAnsi="Sylfaen"/>
          <w:sz w:val="24"/>
          <w:szCs w:val="24"/>
        </w:rPr>
        <w:lastRenderedPageBreak/>
        <w:t>II. Հիմնական հասկացությունները</w:t>
      </w:r>
    </w:p>
    <w:p w14:paraId="655FFFC9" w14:textId="77777777" w:rsidR="00CA27E3" w:rsidRPr="00CA27E3" w:rsidRDefault="00CA27E3" w:rsidP="00F606E4">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2.</w:t>
      </w:r>
      <w:r w:rsidR="00F606E4" w:rsidRPr="00DC5495">
        <w:rPr>
          <w:rFonts w:ascii="Sylfaen" w:hAnsi="Sylfaen"/>
          <w:sz w:val="24"/>
          <w:szCs w:val="24"/>
        </w:rPr>
        <w:tab/>
      </w:r>
      <w:r w:rsidRPr="00CA27E3">
        <w:rPr>
          <w:rFonts w:ascii="Sylfaen" w:hAnsi="Sylfaen"/>
          <w:sz w:val="24"/>
          <w:szCs w:val="24"/>
        </w:rPr>
        <w:t>Սույն պահանջները կիրառելու նպատակներով օգտագործվում են հետ</w:t>
      </w:r>
      <w:r>
        <w:rPr>
          <w:rFonts w:ascii="Sylfaen" w:hAnsi="Sylfaen"/>
          <w:sz w:val="24"/>
          <w:szCs w:val="24"/>
        </w:rPr>
        <w:t>եւ</w:t>
      </w:r>
      <w:r w:rsidRPr="00CA27E3">
        <w:rPr>
          <w:rFonts w:ascii="Sylfaen" w:hAnsi="Sylfaen"/>
          <w:sz w:val="24"/>
          <w:szCs w:val="24"/>
        </w:rPr>
        <w:t>յալ հասկացությունները, որոնք ունեն հետ</w:t>
      </w:r>
      <w:r>
        <w:rPr>
          <w:rFonts w:ascii="Sylfaen" w:hAnsi="Sylfaen"/>
          <w:sz w:val="24"/>
          <w:szCs w:val="24"/>
        </w:rPr>
        <w:t>եւ</w:t>
      </w:r>
      <w:r w:rsidRPr="00CA27E3">
        <w:rPr>
          <w:rFonts w:ascii="Sylfaen" w:hAnsi="Sylfaen"/>
          <w:sz w:val="24"/>
          <w:szCs w:val="24"/>
        </w:rPr>
        <w:t>յալ իմաստը.</w:t>
      </w:r>
    </w:p>
    <w:p w14:paraId="2EE4A959"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տնային ռեժիմ՝</w:t>
      </w:r>
      <w:r w:rsidRPr="00CA27E3">
        <w:rPr>
          <w:rFonts w:ascii="Sylfaen" w:hAnsi="Sylfaen"/>
          <w:sz w:val="24"/>
          <w:szCs w:val="24"/>
        </w:rPr>
        <w:t xml:space="preserve"> հեռուստացույցի այն վիճակը, որն արտադրողը խորհուրդ է</w:t>
      </w:r>
      <w:r w:rsidR="00F606E4">
        <w:rPr>
          <w:rFonts w:ascii="Sylfaen" w:hAnsi="Sylfaen"/>
          <w:sz w:val="24"/>
          <w:szCs w:val="24"/>
        </w:rPr>
        <w:t xml:space="preserve"> տալիս տնային օգտագործման համար</w:t>
      </w:r>
    </w:p>
    <w:p w14:paraId="15418151"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 xml:space="preserve">պատկերման ռեժիմների նախադրված համալարումներով մենյու՝ </w:t>
      </w:r>
      <w:r w:rsidRPr="00CA27E3">
        <w:rPr>
          <w:rFonts w:ascii="Sylfaen" w:hAnsi="Sylfaen"/>
          <w:sz w:val="24"/>
          <w:szCs w:val="24"/>
        </w:rPr>
        <w:t>հեռուստացույցի՝ արտադրողի կողմից նախապես սահմանված համալարումների հավաքակազմը, որից օգտագործողը հեռուստացույցը միացնելուց հետո կարող է ընտրել պատկերման ռեժիմի համալարումը.</w:t>
      </w:r>
    </w:p>
    <w:p w14:paraId="0D0ACCEE" w14:textId="77777777" w:rsidR="00CA27E3" w:rsidRPr="00C764C7"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ամբողջական HD լուծաչափ՝</w:t>
      </w:r>
      <w:r w:rsidRPr="00CA27E3">
        <w:rPr>
          <w:rFonts w:ascii="Sylfaen" w:hAnsi="Sylfaen"/>
          <w:sz w:val="24"/>
          <w:szCs w:val="24"/>
        </w:rPr>
        <w:t xml:space="preserve"> էկրանի լուծաչափը՝ առնվազն 1920 × 1080 ֆիզիկակ</w:t>
      </w:r>
      <w:r w:rsidR="00C764C7">
        <w:rPr>
          <w:rFonts w:ascii="Sylfaen" w:hAnsi="Sylfaen"/>
          <w:sz w:val="24"/>
          <w:szCs w:val="24"/>
        </w:rPr>
        <w:t>ան փիքսելների ընդհանուր քանակով</w:t>
      </w:r>
    </w:p>
    <w:p w14:paraId="72648B64"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անջատման ռեժիմ՝</w:t>
      </w:r>
      <w:r w:rsidRPr="00CA27E3">
        <w:rPr>
          <w:rFonts w:ascii="Sylfaen" w:hAnsi="Sylfaen"/>
          <w:sz w:val="24"/>
          <w:szCs w:val="24"/>
        </w:rPr>
        <w:t xml:space="preserve"> հեռուստացույցի վիճակը, որի ժամանակ այն միացված է սնուցման աղբյուրին, չի գտնվում աշխատանքի ռեժիմի կամ սպասման ռեժիմի մեջ </w:t>
      </w:r>
      <w:r>
        <w:rPr>
          <w:rFonts w:ascii="Sylfaen" w:hAnsi="Sylfaen"/>
          <w:sz w:val="24"/>
          <w:szCs w:val="24"/>
        </w:rPr>
        <w:t>եւ</w:t>
      </w:r>
      <w:r w:rsidRPr="00CA27E3">
        <w:rPr>
          <w:rFonts w:ascii="Sylfaen" w:hAnsi="Sylfaen"/>
          <w:sz w:val="24"/>
          <w:szCs w:val="24"/>
        </w:rPr>
        <w:t xml:space="preserve"> ապահովում է էլեկտրամագնիսական համատեղելիությանը ներկայացվող պահանջների կատարումը (անկախ անջատման ռեժիմի ցուցանշման ֆունկցիայի առկայ</w:t>
      </w:r>
      <w:r w:rsidR="00F606E4">
        <w:rPr>
          <w:rFonts w:ascii="Sylfaen" w:hAnsi="Sylfaen"/>
          <w:sz w:val="24"/>
          <w:szCs w:val="24"/>
        </w:rPr>
        <w:t>ությունից կամ բացակայությունից)</w:t>
      </w:r>
    </w:p>
    <w:p w14:paraId="16447FBB"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pacing w:val="-6"/>
          <w:sz w:val="24"/>
          <w:szCs w:val="24"/>
        </w:rPr>
        <w:t>աշխատանքի ռեժիմ՝</w:t>
      </w:r>
      <w:r w:rsidRPr="00F606E4">
        <w:rPr>
          <w:rFonts w:ascii="Sylfaen" w:hAnsi="Sylfaen"/>
          <w:spacing w:val="-6"/>
          <w:sz w:val="24"/>
          <w:szCs w:val="24"/>
        </w:rPr>
        <w:t xml:space="preserve"> հեռուստացույցի վիճակը, որի ժամանակ այն միացված է սնուցման</w:t>
      </w:r>
      <w:r w:rsidRPr="00CA27E3">
        <w:rPr>
          <w:rFonts w:ascii="Sylfaen" w:hAnsi="Sylfaen"/>
          <w:sz w:val="24"/>
          <w:szCs w:val="24"/>
        </w:rPr>
        <w:t xml:space="preserve"> աղբյուրին </w:t>
      </w:r>
      <w:r>
        <w:rPr>
          <w:rFonts w:ascii="Sylfaen" w:hAnsi="Sylfaen"/>
          <w:sz w:val="24"/>
          <w:szCs w:val="24"/>
        </w:rPr>
        <w:t>եւ</w:t>
      </w:r>
      <w:r w:rsidR="00F606E4">
        <w:rPr>
          <w:rFonts w:ascii="Sylfaen" w:hAnsi="Sylfaen"/>
          <w:sz w:val="24"/>
          <w:szCs w:val="24"/>
        </w:rPr>
        <w:t xml:space="preserve"> վերարտադրում է ձայն ու պատկեր</w:t>
      </w:r>
      <w:r>
        <w:rPr>
          <w:rFonts w:ascii="Sylfaen" w:hAnsi="Sylfaen"/>
          <w:sz w:val="24"/>
          <w:szCs w:val="24"/>
        </w:rPr>
        <w:t xml:space="preserve"> </w:t>
      </w:r>
    </w:p>
    <w:p w14:paraId="5CE4DAE9"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սպասման ռեժիմ (սպասող ռեժիմ)՝</w:t>
      </w:r>
      <w:r w:rsidRPr="00CA27E3">
        <w:rPr>
          <w:rFonts w:ascii="Sylfaen" w:hAnsi="Sylfaen"/>
          <w:sz w:val="24"/>
          <w:szCs w:val="24"/>
        </w:rPr>
        <w:t xml:space="preserve"> հեռուստացույցի վիճակը, որի ժամանակ այն միացված է սնուցման աղբյուրին </w:t>
      </w:r>
      <w:r>
        <w:rPr>
          <w:rFonts w:ascii="Sylfaen" w:hAnsi="Sylfaen"/>
          <w:sz w:val="24"/>
          <w:szCs w:val="24"/>
        </w:rPr>
        <w:t>եւ</w:t>
      </w:r>
      <w:r w:rsidRPr="00CA27E3">
        <w:rPr>
          <w:rFonts w:ascii="Sylfaen" w:hAnsi="Sylfaen"/>
          <w:sz w:val="24"/>
          <w:szCs w:val="24"/>
        </w:rPr>
        <w:t xml:space="preserve"> անսահմանափակ ժամանակով իրականացնում է վերաակտիվացման ֆունկցիան (այդ թվում՝ վերաակտիվացման (պատրաստության) ունակության ցուցանշմամբ) </w:t>
      </w:r>
      <w:r>
        <w:rPr>
          <w:rFonts w:ascii="Sylfaen" w:hAnsi="Sylfaen"/>
          <w:sz w:val="24"/>
          <w:szCs w:val="24"/>
        </w:rPr>
        <w:t>եւ</w:t>
      </w:r>
      <w:r w:rsidRPr="00CA27E3">
        <w:rPr>
          <w:rFonts w:ascii="Sylfaen" w:hAnsi="Sylfaen"/>
          <w:sz w:val="24"/>
          <w:szCs w:val="24"/>
        </w:rPr>
        <w:t xml:space="preserve"> (կամ) տեղեկացման </w:t>
      </w:r>
      <w:r w:rsidR="00F606E4">
        <w:rPr>
          <w:rFonts w:ascii="Sylfaen" w:hAnsi="Sylfaen"/>
          <w:sz w:val="24"/>
          <w:szCs w:val="24"/>
        </w:rPr>
        <w:t>կամ վիճակի արտացոլման ֆունկցիան</w:t>
      </w:r>
    </w:p>
    <w:p w14:paraId="52AEFC67"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հեռուստացույցի մոնիտոր՝</w:t>
      </w:r>
      <w:r w:rsidRPr="00CA27E3">
        <w:rPr>
          <w:rFonts w:ascii="Sylfaen" w:hAnsi="Sylfaen"/>
          <w:sz w:val="24"/>
          <w:szCs w:val="24"/>
        </w:rPr>
        <w:t xml:space="preserve"> ներկառուցված էկրանով հեռուստացույց, որը նախատեսված է տեսալսողական ազդանշանների վերարտադրման համար, որոնք փոխանցվում են մեկ կամ մի քանի արտաքին սարքվածքներից, որոնք միացված են տեսալսողական ազդանշանների փոխանցման՝ լարով (RCA, SCART, HDMI </w:t>
      </w:r>
      <w:r>
        <w:rPr>
          <w:rFonts w:ascii="Sylfaen" w:hAnsi="Sylfaen"/>
          <w:sz w:val="24"/>
          <w:szCs w:val="24"/>
        </w:rPr>
        <w:t>եւ</w:t>
      </w:r>
      <w:r w:rsidRPr="00CA27E3">
        <w:rPr>
          <w:rFonts w:ascii="Sylfaen" w:hAnsi="Sylfaen"/>
          <w:sz w:val="24"/>
          <w:szCs w:val="24"/>
        </w:rPr>
        <w:t xml:space="preserve"> այլն) </w:t>
      </w:r>
      <w:r>
        <w:rPr>
          <w:rFonts w:ascii="Sylfaen" w:hAnsi="Sylfaen"/>
          <w:sz w:val="24"/>
          <w:szCs w:val="24"/>
        </w:rPr>
        <w:lastRenderedPageBreak/>
        <w:t>եւ</w:t>
      </w:r>
      <w:r w:rsidRPr="00CA27E3">
        <w:rPr>
          <w:rFonts w:ascii="Sylfaen" w:hAnsi="Sylfaen"/>
          <w:sz w:val="24"/>
          <w:szCs w:val="24"/>
        </w:rPr>
        <w:t xml:space="preserve"> (կամ) անլար ստանդարտ միջերեսի միջոցով (բացառությամբ DVI </w:t>
      </w:r>
      <w:r>
        <w:rPr>
          <w:rFonts w:ascii="Sylfaen" w:hAnsi="Sylfaen"/>
          <w:sz w:val="24"/>
          <w:szCs w:val="24"/>
        </w:rPr>
        <w:t>եւ</w:t>
      </w:r>
      <w:r w:rsidRPr="00CA27E3">
        <w:rPr>
          <w:rFonts w:ascii="Sylfaen" w:hAnsi="Sylfaen"/>
          <w:sz w:val="24"/>
          <w:szCs w:val="24"/>
        </w:rPr>
        <w:t xml:space="preserve"> SDI ոչ ստանդարտ տեսաազդանշանների), </w:t>
      </w:r>
      <w:r>
        <w:rPr>
          <w:rFonts w:ascii="Sylfaen" w:hAnsi="Sylfaen"/>
          <w:sz w:val="24"/>
          <w:szCs w:val="24"/>
        </w:rPr>
        <w:t>եւ</w:t>
      </w:r>
      <w:r w:rsidRPr="00CA27E3">
        <w:rPr>
          <w:rFonts w:ascii="Sylfaen" w:hAnsi="Sylfaen"/>
          <w:sz w:val="24"/>
          <w:szCs w:val="24"/>
        </w:rPr>
        <w:t xml:space="preserve"> որը չունի հեռուստա- </w:t>
      </w:r>
      <w:r>
        <w:rPr>
          <w:rFonts w:ascii="Sylfaen" w:hAnsi="Sylfaen"/>
          <w:sz w:val="24"/>
          <w:szCs w:val="24"/>
        </w:rPr>
        <w:t>եւ</w:t>
      </w:r>
      <w:r w:rsidRPr="00CA27E3">
        <w:rPr>
          <w:rFonts w:ascii="Sylfaen" w:hAnsi="Sylfaen"/>
          <w:sz w:val="24"/>
          <w:szCs w:val="24"/>
        </w:rPr>
        <w:t xml:space="preserve"> ռադիոհեռարձակման ազդանշանների ընդունման </w:t>
      </w:r>
      <w:r>
        <w:rPr>
          <w:rFonts w:ascii="Sylfaen" w:hAnsi="Sylfaen"/>
          <w:sz w:val="24"/>
          <w:szCs w:val="24"/>
        </w:rPr>
        <w:t>եւ</w:t>
      </w:r>
      <w:r w:rsidRPr="00CA27E3">
        <w:rPr>
          <w:rFonts w:ascii="Sylfaen" w:hAnsi="Sylfaen"/>
          <w:sz w:val="24"/>
          <w:szCs w:val="24"/>
        </w:rPr>
        <w:t xml:space="preserve"> վեր</w:t>
      </w:r>
      <w:r w:rsidR="00F606E4">
        <w:rPr>
          <w:rFonts w:ascii="Sylfaen" w:hAnsi="Sylfaen"/>
          <w:sz w:val="24"/>
          <w:szCs w:val="24"/>
        </w:rPr>
        <w:t>արտադրման ներկառուցված միջոցներ</w:t>
      </w:r>
    </w:p>
    <w:p w14:paraId="1E15DA81"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հեռուստատեսային ընդունիչ</w:t>
      </w:r>
      <w:r w:rsidRPr="00CA27E3">
        <w:rPr>
          <w:rFonts w:ascii="Sylfaen" w:hAnsi="Sylfaen"/>
          <w:sz w:val="24"/>
          <w:szCs w:val="24"/>
        </w:rPr>
        <w:t xml:space="preserve">՝ տեսալսողական ազդանշանների ընդունման </w:t>
      </w:r>
      <w:r>
        <w:rPr>
          <w:rFonts w:ascii="Sylfaen" w:hAnsi="Sylfaen"/>
          <w:sz w:val="24"/>
          <w:szCs w:val="24"/>
        </w:rPr>
        <w:t>եւ</w:t>
      </w:r>
      <w:r w:rsidRPr="00CA27E3">
        <w:rPr>
          <w:rFonts w:ascii="Sylfaen" w:hAnsi="Sylfaen"/>
          <w:sz w:val="24"/>
          <w:szCs w:val="24"/>
        </w:rPr>
        <w:t xml:space="preserve"> վերարտադրման համար նախատեսված հեռուստացույց, որը Միության մաքսային տարածքում շրջանառության մեջ բաց է թողնվում ապարատի կամ համակարգի տեսքով </w:t>
      </w:r>
      <w:r>
        <w:rPr>
          <w:rFonts w:ascii="Sylfaen" w:hAnsi="Sylfaen"/>
          <w:sz w:val="24"/>
          <w:szCs w:val="24"/>
        </w:rPr>
        <w:t>եւ</w:t>
      </w:r>
      <w:r w:rsidRPr="00CA27E3">
        <w:rPr>
          <w:rFonts w:ascii="Sylfaen" w:hAnsi="Sylfaen"/>
          <w:sz w:val="24"/>
          <w:szCs w:val="24"/>
        </w:rPr>
        <w:t xml:space="preserve"> բաղկացած է դիսփլեյից ու մեկ կամ մի քանի թյուներներից (ընդունիչներից), ինչպես նա</w:t>
      </w:r>
      <w:r>
        <w:rPr>
          <w:rFonts w:ascii="Sylfaen" w:hAnsi="Sylfaen"/>
          <w:sz w:val="24"/>
          <w:szCs w:val="24"/>
        </w:rPr>
        <w:t>եւ</w:t>
      </w:r>
      <w:r w:rsidRPr="00CA27E3">
        <w:rPr>
          <w:rFonts w:ascii="Sylfaen" w:hAnsi="Sylfaen"/>
          <w:sz w:val="24"/>
          <w:szCs w:val="24"/>
        </w:rPr>
        <w:t xml:space="preserve"> անհրաժեշտության դեպքում՝ գրանցման </w:t>
      </w:r>
      <w:r>
        <w:rPr>
          <w:rFonts w:ascii="Sylfaen" w:hAnsi="Sylfaen"/>
          <w:sz w:val="24"/>
          <w:szCs w:val="24"/>
        </w:rPr>
        <w:t>եւ</w:t>
      </w:r>
      <w:r w:rsidRPr="00CA27E3">
        <w:rPr>
          <w:rFonts w:ascii="Sylfaen" w:hAnsi="Sylfaen"/>
          <w:sz w:val="24"/>
          <w:szCs w:val="24"/>
        </w:rPr>
        <w:t xml:space="preserve"> </w:t>
      </w:r>
      <w:r w:rsidRPr="00B83AD7">
        <w:rPr>
          <w:rFonts w:ascii="Sylfaen" w:hAnsi="Sylfaen"/>
          <w:spacing w:val="-6"/>
          <w:sz w:val="24"/>
          <w:szCs w:val="24"/>
        </w:rPr>
        <w:t>վերարտադրման ֆունկցիաներ ունեցող լրացուցիչ սարքվածքներից (DVD-նվագարկիչ, մագնիսական կոշտ սկավառակի վրա կուտակիչ, տեսամագնիտոֆոն եւ այլն)՝ ապարատի</w:t>
      </w:r>
      <w:r w:rsidRPr="00CA27E3">
        <w:rPr>
          <w:rFonts w:ascii="Sylfaen" w:hAnsi="Sylfaen"/>
          <w:sz w:val="24"/>
          <w:szCs w:val="24"/>
        </w:rPr>
        <w:t xml:space="preserve"> (միասնական համակցված սարքվածքի) կամ մի քանի ապարատ</w:t>
      </w:r>
      <w:r w:rsidR="00F606E4">
        <w:rPr>
          <w:rFonts w:ascii="Sylfaen" w:hAnsi="Sylfaen"/>
          <w:sz w:val="24"/>
          <w:szCs w:val="24"/>
        </w:rPr>
        <w:t>ներից բաղկացած համակարգի տեսքով</w:t>
      </w:r>
    </w:p>
    <w:p w14:paraId="476C4D98"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հեռուստացույց՝</w:t>
      </w:r>
      <w:r w:rsidRPr="00CA27E3">
        <w:rPr>
          <w:rFonts w:ascii="Sylfaen" w:hAnsi="Sylfaen"/>
          <w:sz w:val="24"/>
          <w:szCs w:val="24"/>
        </w:rPr>
        <w:t xml:space="preserve"> հեռուստատեսային ընդո</w:t>
      </w:r>
      <w:r w:rsidR="00F606E4">
        <w:rPr>
          <w:rFonts w:ascii="Sylfaen" w:hAnsi="Sylfaen"/>
          <w:sz w:val="24"/>
          <w:szCs w:val="24"/>
        </w:rPr>
        <w:t>ւնիչ կամ հեռուստացույցի մոնիտոր</w:t>
      </w:r>
    </w:p>
    <w:p w14:paraId="20E9AC0B" w14:textId="77777777" w:rsidR="00CA27E3" w:rsidRPr="00F606E4"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տեղեկացման կամ վիճակի արտացոլման ֆունկցիա՝</w:t>
      </w:r>
      <w:r w:rsidRPr="00CA27E3">
        <w:rPr>
          <w:rFonts w:ascii="Sylfaen" w:hAnsi="Sylfaen"/>
          <w:sz w:val="24"/>
          <w:szCs w:val="24"/>
        </w:rPr>
        <w:t xml:space="preserve"> ֆունկցիա, որն ապահովում է տեղեկատվության տրամադրումը կամ հեռուստացույցի վիճակի արտացոլումը՝ դրա էկրանի վրա, </w:t>
      </w:r>
      <w:r w:rsidR="00F606E4">
        <w:rPr>
          <w:rFonts w:ascii="Sylfaen" w:hAnsi="Sylfaen"/>
          <w:sz w:val="24"/>
          <w:szCs w:val="24"/>
        </w:rPr>
        <w:t>այդ թվում՝ ժամանակի ցուցանշումը</w:t>
      </w:r>
    </w:p>
    <w:p w14:paraId="3F79E415"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F606E4">
        <w:rPr>
          <w:rFonts w:ascii="Sylfaen" w:hAnsi="Sylfaen"/>
          <w:b/>
          <w:sz w:val="24"/>
          <w:szCs w:val="24"/>
        </w:rPr>
        <w:t>վերաակտիվացման ֆունկցիա՝</w:t>
      </w:r>
      <w:r w:rsidRPr="00CA27E3">
        <w:rPr>
          <w:rFonts w:ascii="Sylfaen" w:hAnsi="Sylfaen"/>
          <w:sz w:val="24"/>
          <w:szCs w:val="24"/>
        </w:rPr>
        <w:t xml:space="preserve"> ֆունկցիա, որը հեռահար կառավարման սարքվածքների, թայմերների միջոցով ապահովում է սպասման ռեժիմից աշխատանքի ռեժիմի անցնելու ունակությունը, որի ժամանակ տեղի է ունենում լրացուցիչ ֆունկցիաների կատարման ակտիվացում։</w:t>
      </w:r>
    </w:p>
    <w:p w14:paraId="422FDB69" w14:textId="77777777" w:rsidR="00250D3E" w:rsidRDefault="00250D3E">
      <w:pPr>
        <w:rPr>
          <w:rFonts w:ascii="Sylfaen" w:eastAsia="Times New Roman" w:hAnsi="Sylfaen" w:cs="Times New Roman"/>
        </w:rPr>
      </w:pPr>
      <w:r>
        <w:rPr>
          <w:rFonts w:ascii="Sylfaen" w:hAnsi="Sylfaen"/>
        </w:rPr>
        <w:br w:type="page"/>
      </w:r>
    </w:p>
    <w:p w14:paraId="4101268F" w14:textId="77777777" w:rsidR="00CA27E3" w:rsidRPr="00CA27E3" w:rsidRDefault="00CA27E3" w:rsidP="00F606E4">
      <w:pPr>
        <w:pStyle w:val="BodyText1"/>
        <w:shd w:val="clear" w:color="auto" w:fill="auto"/>
        <w:spacing w:after="160"/>
        <w:ind w:left="567" w:right="566" w:firstLine="0"/>
        <w:jc w:val="center"/>
        <w:rPr>
          <w:rFonts w:ascii="Sylfaen" w:hAnsi="Sylfaen"/>
          <w:sz w:val="24"/>
          <w:szCs w:val="24"/>
        </w:rPr>
      </w:pPr>
      <w:r w:rsidRPr="00CA27E3">
        <w:rPr>
          <w:rFonts w:ascii="Sylfaen" w:hAnsi="Sylfaen"/>
          <w:sz w:val="24"/>
          <w:szCs w:val="24"/>
        </w:rPr>
        <w:lastRenderedPageBreak/>
        <w:t xml:space="preserve">III. Հեռուստացույցների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սահմանման առանձնահատկությունները</w:t>
      </w:r>
    </w:p>
    <w:p w14:paraId="64310680" w14:textId="77777777" w:rsidR="00CA27E3" w:rsidRPr="00CA27E3" w:rsidRDefault="00CA27E3" w:rsidP="00F606E4">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3.</w:t>
      </w:r>
      <w:r w:rsidR="00F606E4" w:rsidRPr="00F606E4">
        <w:rPr>
          <w:rFonts w:ascii="Sylfaen" w:hAnsi="Sylfaen"/>
          <w:sz w:val="24"/>
          <w:szCs w:val="24"/>
        </w:rPr>
        <w:tab/>
      </w:r>
      <w:r w:rsidRPr="00CA27E3">
        <w:rPr>
          <w:rFonts w:ascii="Sylfaen" w:hAnsi="Sylfaen"/>
          <w:sz w:val="24"/>
          <w:szCs w:val="24"/>
        </w:rPr>
        <w:t>Հեռուստացույցը պետք է ունենա էլեկտրասնուցման ռեժիմի կառավարման՝ հետ</w:t>
      </w:r>
      <w:r>
        <w:rPr>
          <w:rFonts w:ascii="Sylfaen" w:hAnsi="Sylfaen"/>
          <w:sz w:val="24"/>
          <w:szCs w:val="24"/>
        </w:rPr>
        <w:t>եւ</w:t>
      </w:r>
      <w:r w:rsidRPr="00CA27E3">
        <w:rPr>
          <w:rFonts w:ascii="Sylfaen" w:hAnsi="Sylfaen"/>
          <w:sz w:val="24"/>
          <w:szCs w:val="24"/>
        </w:rPr>
        <w:t>յալ առնվազն մեկ տեսակի սարքվածք (սարքվածքներ)՝</w:t>
      </w:r>
    </w:p>
    <w:p w14:paraId="47D35270" w14:textId="77777777" w:rsidR="00CA27E3" w:rsidRPr="00F606E4" w:rsidRDefault="00CA27E3" w:rsidP="00F606E4">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F606E4" w:rsidRPr="00F606E4">
        <w:rPr>
          <w:rFonts w:ascii="Sylfaen" w:hAnsi="Sylfaen"/>
          <w:sz w:val="24"/>
          <w:szCs w:val="24"/>
        </w:rPr>
        <w:tab/>
      </w:r>
      <w:r w:rsidRPr="00CA27E3">
        <w:rPr>
          <w:rFonts w:ascii="Sylfaen" w:hAnsi="Sylfaen"/>
          <w:sz w:val="24"/>
          <w:szCs w:val="24"/>
        </w:rPr>
        <w:t xml:space="preserve">ավտոմատ կառավարման սարքվածք, որն օգտագործողի վերջին գործողություններին (օրինակ՝ ալիքների փոխարկումը </w:t>
      </w:r>
      <w:r>
        <w:rPr>
          <w:rFonts w:ascii="Sylfaen" w:hAnsi="Sylfaen"/>
          <w:sz w:val="24"/>
          <w:szCs w:val="24"/>
        </w:rPr>
        <w:t>եւ</w:t>
      </w:r>
      <w:r w:rsidR="00F606E4">
        <w:rPr>
          <w:rFonts w:ascii="Sylfaen" w:hAnsi="Sylfaen"/>
          <w:sz w:val="24"/>
          <w:szCs w:val="24"/>
        </w:rPr>
        <w:t xml:space="preserve"> նմ</w:t>
      </w:r>
      <w:r w:rsidRPr="00CA27E3">
        <w:rPr>
          <w:rFonts w:ascii="Sylfaen" w:hAnsi="Sylfaen"/>
          <w:sz w:val="24"/>
          <w:szCs w:val="24"/>
        </w:rPr>
        <w:t>) հաջորդող՝ առավելագույնը 4 ժամվա ընթացքում ցանցին միացված հեռուստացույցը բերում է սպասման ռեժիմի կամ անջատման ռեժիմի կամ ցանկացած այլ ռեժիմի, որի դեպքում օգտագործվող թույլատրելի հզորությունը չի գերազանցում սպասման ռեժիմի կամ անջատման ռեժիմի համար սահմանված արժե</w:t>
      </w:r>
      <w:r w:rsidR="00F606E4">
        <w:rPr>
          <w:rFonts w:ascii="Sylfaen" w:hAnsi="Sylfaen"/>
          <w:sz w:val="24"/>
          <w:szCs w:val="24"/>
        </w:rPr>
        <w:t>քները</w:t>
      </w:r>
    </w:p>
    <w:p w14:paraId="110E68C9" w14:textId="77777777" w:rsidR="00CA27E3" w:rsidRPr="00CA27E3" w:rsidRDefault="00CA27E3" w:rsidP="00F606E4">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F606E4" w:rsidRPr="00F606E4">
        <w:rPr>
          <w:rFonts w:ascii="Sylfaen" w:hAnsi="Sylfaen"/>
          <w:sz w:val="24"/>
          <w:szCs w:val="24"/>
        </w:rPr>
        <w:tab/>
      </w:r>
      <w:r w:rsidRPr="00CA27E3">
        <w:rPr>
          <w:rFonts w:ascii="Sylfaen" w:hAnsi="Sylfaen"/>
          <w:sz w:val="24"/>
          <w:szCs w:val="24"/>
        </w:rPr>
        <w:t>ավտոմատ կառավարման սարքվածք (եթե առկա է լավ տեսանելի մեխանիկական անջատիչ, որը հեռուստացույցը փոխարկում է առավելագույնը 0,01 Վտ սպառվող հզորության ռեժիմի), որը տեղակայված է ցանցին միացված հեռուստացույցի առջ</w:t>
      </w:r>
      <w:r>
        <w:rPr>
          <w:rFonts w:ascii="Sylfaen" w:hAnsi="Sylfaen"/>
          <w:sz w:val="24"/>
          <w:szCs w:val="24"/>
        </w:rPr>
        <w:t>եւ</w:t>
      </w:r>
      <w:r w:rsidRPr="00CA27E3">
        <w:rPr>
          <w:rFonts w:ascii="Sylfaen" w:hAnsi="Sylfaen"/>
          <w:sz w:val="24"/>
          <w:szCs w:val="24"/>
        </w:rPr>
        <w:t xml:space="preserve">ի վահանակի վրա կամ հեռուստացույցի վրա տեսանելի ու հեշտ հասանելի մեկ այլ տեղում, </w:t>
      </w:r>
      <w:r>
        <w:rPr>
          <w:rFonts w:ascii="Sylfaen" w:hAnsi="Sylfaen"/>
          <w:sz w:val="24"/>
          <w:szCs w:val="24"/>
        </w:rPr>
        <w:t>եւ</w:t>
      </w:r>
      <w:r w:rsidRPr="00CA27E3">
        <w:rPr>
          <w:rFonts w:ascii="Sylfaen" w:hAnsi="Sylfaen"/>
          <w:sz w:val="24"/>
          <w:szCs w:val="24"/>
        </w:rPr>
        <w:t xml:space="preserve"> որի միջոցով հեռուստացույցը փոխարկվում է սույն կետի «ա» ենթակետում նշված ռեժիմներից որ</w:t>
      </w:r>
      <w:r>
        <w:rPr>
          <w:rFonts w:ascii="Sylfaen" w:hAnsi="Sylfaen"/>
          <w:sz w:val="24"/>
          <w:szCs w:val="24"/>
        </w:rPr>
        <w:t>եւ</w:t>
      </w:r>
      <w:r w:rsidRPr="00CA27E3">
        <w:rPr>
          <w:rFonts w:ascii="Sylfaen" w:hAnsi="Sylfaen"/>
          <w:sz w:val="24"/>
          <w:szCs w:val="24"/>
        </w:rPr>
        <w:t>է մեկին։</w:t>
      </w:r>
    </w:p>
    <w:p w14:paraId="70D68F2E" w14:textId="77777777" w:rsidR="00CA27E3" w:rsidRPr="00F606E4" w:rsidRDefault="00CA27E3" w:rsidP="00F606E4">
      <w:pPr>
        <w:pStyle w:val="BodyText1"/>
        <w:shd w:val="clear" w:color="auto" w:fill="auto"/>
        <w:tabs>
          <w:tab w:val="left" w:pos="1134"/>
        </w:tabs>
        <w:spacing w:after="160"/>
        <w:ind w:firstLine="567"/>
        <w:jc w:val="both"/>
        <w:rPr>
          <w:rFonts w:ascii="Sylfaen" w:hAnsi="Sylfaen"/>
          <w:spacing w:val="-6"/>
          <w:sz w:val="24"/>
          <w:szCs w:val="24"/>
        </w:rPr>
      </w:pPr>
      <w:r w:rsidRPr="00CA27E3">
        <w:rPr>
          <w:rFonts w:ascii="Sylfaen" w:hAnsi="Sylfaen"/>
          <w:sz w:val="24"/>
          <w:szCs w:val="24"/>
        </w:rPr>
        <w:t>4.</w:t>
      </w:r>
      <w:r w:rsidR="00F606E4" w:rsidRPr="00F606E4">
        <w:rPr>
          <w:rFonts w:ascii="Sylfaen" w:hAnsi="Sylfaen"/>
          <w:sz w:val="24"/>
          <w:szCs w:val="24"/>
        </w:rPr>
        <w:tab/>
      </w:r>
      <w:r w:rsidRPr="00CA27E3">
        <w:rPr>
          <w:rFonts w:ascii="Sylfaen" w:hAnsi="Sylfaen"/>
          <w:sz w:val="24"/>
          <w:szCs w:val="24"/>
        </w:rPr>
        <w:t xml:space="preserve">Նախքան հեռուստացույցի՝ ավտոմատ կառավարման սարքվածքի </w:t>
      </w:r>
      <w:r w:rsidRPr="00F606E4">
        <w:rPr>
          <w:rFonts w:ascii="Sylfaen" w:hAnsi="Sylfaen"/>
          <w:spacing w:val="-6"/>
          <w:sz w:val="24"/>
          <w:szCs w:val="24"/>
        </w:rPr>
        <w:t>միջոցով աշխատանքի ռեժիմից մեկ այլ ռեժիմի փոխարկվելը, դրա էկրանին պետք է արտացոլվի այդ մասին նախազգուշացնող հաղորդում։</w:t>
      </w:r>
    </w:p>
    <w:p w14:paraId="723FBF56" w14:textId="77777777" w:rsidR="00CA27E3" w:rsidRPr="00CA27E3" w:rsidRDefault="00CA27E3" w:rsidP="00F606E4">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5.</w:t>
      </w:r>
      <w:r w:rsidR="00F606E4" w:rsidRPr="00F606E4">
        <w:rPr>
          <w:rFonts w:ascii="Sylfaen" w:hAnsi="Sylfaen"/>
          <w:sz w:val="24"/>
          <w:szCs w:val="24"/>
        </w:rPr>
        <w:tab/>
      </w:r>
      <w:r w:rsidRPr="00CA27E3">
        <w:rPr>
          <w:rFonts w:ascii="Sylfaen" w:hAnsi="Sylfaen"/>
          <w:sz w:val="24"/>
          <w:szCs w:val="24"/>
        </w:rPr>
        <w:t>Աշխատանքի ռեժիմում հեռուստացույցի սպառվող հզորությունը դրա էկրանի հնարավոր առավելագույն պայծառության առնվազն 65 %-ի դեպքում չպետք է գերազանցի 1-ին աղյուսակում նշված արժեքները։</w:t>
      </w:r>
    </w:p>
    <w:p w14:paraId="129C282D" w14:textId="77777777" w:rsidR="00054AD2" w:rsidRPr="003D2C38" w:rsidRDefault="00054AD2">
      <w:pPr>
        <w:rPr>
          <w:rFonts w:ascii="Sylfaen" w:eastAsia="Times New Roman" w:hAnsi="Sylfaen" w:cs="Times New Roman"/>
        </w:rPr>
      </w:pPr>
      <w:r w:rsidRPr="003D2C38">
        <w:rPr>
          <w:rFonts w:ascii="Sylfaen" w:hAnsi="Sylfaen"/>
        </w:rPr>
        <w:br w:type="page"/>
      </w:r>
    </w:p>
    <w:p w14:paraId="0BBE0969" w14:textId="77777777" w:rsidR="00C764C7" w:rsidRDefault="00CA27E3" w:rsidP="00C764C7">
      <w:pPr>
        <w:pStyle w:val="BodyText1"/>
        <w:shd w:val="clear" w:color="auto" w:fill="auto"/>
        <w:spacing w:after="160"/>
        <w:ind w:firstLine="0"/>
        <w:jc w:val="right"/>
        <w:rPr>
          <w:rFonts w:ascii="Sylfaen" w:hAnsi="Sylfaen"/>
          <w:sz w:val="24"/>
          <w:szCs w:val="24"/>
        </w:rPr>
      </w:pPr>
      <w:r w:rsidRPr="00CA27E3">
        <w:rPr>
          <w:rFonts w:ascii="Sylfaen" w:hAnsi="Sylfaen"/>
          <w:sz w:val="24"/>
          <w:szCs w:val="24"/>
        </w:rPr>
        <w:lastRenderedPageBreak/>
        <w:t>Աղյուսա</w:t>
      </w:r>
      <w:r w:rsidR="00C764C7">
        <w:rPr>
          <w:rFonts w:ascii="Sylfaen" w:hAnsi="Sylfaen"/>
          <w:sz w:val="24"/>
          <w:szCs w:val="24"/>
        </w:rPr>
        <w:t>կ</w:t>
      </w:r>
      <w:r>
        <w:rPr>
          <w:rFonts w:ascii="Sylfaen" w:hAnsi="Sylfaen"/>
          <w:sz w:val="24"/>
          <w:szCs w:val="24"/>
        </w:rPr>
        <w:t xml:space="preserve"> </w:t>
      </w:r>
      <w:r w:rsidRPr="00CA27E3">
        <w:rPr>
          <w:rFonts w:ascii="Sylfaen" w:hAnsi="Sylfaen"/>
          <w:sz w:val="24"/>
          <w:szCs w:val="24"/>
        </w:rPr>
        <w:t>1</w:t>
      </w:r>
      <w:r>
        <w:rPr>
          <w:rFonts w:ascii="Sylfaen" w:hAnsi="Sylfaen"/>
          <w:sz w:val="24"/>
          <w:szCs w:val="24"/>
        </w:rPr>
        <w:t xml:space="preserve"> </w:t>
      </w:r>
    </w:p>
    <w:p w14:paraId="147BCA6D" w14:textId="77777777" w:rsidR="00CA27E3" w:rsidRPr="00CA27E3" w:rsidRDefault="00CA27E3" w:rsidP="00C764C7">
      <w:pPr>
        <w:pStyle w:val="BodyText1"/>
        <w:shd w:val="clear" w:color="auto" w:fill="auto"/>
        <w:spacing w:after="160"/>
        <w:ind w:firstLine="0"/>
        <w:jc w:val="center"/>
        <w:rPr>
          <w:rFonts w:ascii="Sylfaen" w:hAnsi="Sylfaen"/>
          <w:sz w:val="24"/>
          <w:szCs w:val="24"/>
        </w:rPr>
      </w:pPr>
      <w:r w:rsidRPr="00CA27E3">
        <w:rPr>
          <w:rFonts w:ascii="Sylfaen" w:hAnsi="Sylfaen"/>
          <w:sz w:val="24"/>
          <w:szCs w:val="24"/>
        </w:rPr>
        <w:t>Աշխատանքի ռեժիմում հեռուստացույցի սպառվող հզորությունը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3830"/>
        <w:gridCol w:w="3269"/>
      </w:tblGrid>
      <w:tr w:rsidR="00CA27E3" w:rsidRPr="00066F60" w14:paraId="73338DF5" w14:textId="77777777" w:rsidTr="00CA27E3">
        <w:trPr>
          <w:jc w:val="center"/>
        </w:trPr>
        <w:tc>
          <w:tcPr>
            <w:tcW w:w="2131" w:type="dxa"/>
            <w:tcBorders>
              <w:top w:val="single" w:sz="4" w:space="0" w:color="auto"/>
              <w:left w:val="single" w:sz="4" w:space="0" w:color="auto"/>
            </w:tcBorders>
            <w:shd w:val="clear" w:color="auto" w:fill="FFFFFF"/>
            <w:vAlign w:val="center"/>
          </w:tcPr>
          <w:p w14:paraId="6C1183C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Հեռուստացույցի տեսակը</w:t>
            </w:r>
          </w:p>
        </w:tc>
        <w:tc>
          <w:tcPr>
            <w:tcW w:w="3830" w:type="dxa"/>
            <w:tcBorders>
              <w:top w:val="single" w:sz="4" w:space="0" w:color="auto"/>
              <w:left w:val="single" w:sz="4" w:space="0" w:color="auto"/>
            </w:tcBorders>
            <w:shd w:val="clear" w:color="auto" w:fill="FFFFFF"/>
            <w:vAlign w:val="bottom"/>
          </w:tcPr>
          <w:p w14:paraId="76FA1EE5" w14:textId="77777777" w:rsidR="00CA27E3" w:rsidRPr="00066F60" w:rsidRDefault="00CA27E3" w:rsidP="00054AD2">
            <w:pPr>
              <w:pStyle w:val="Other0"/>
              <w:shd w:val="clear" w:color="auto" w:fill="auto"/>
              <w:spacing w:after="120"/>
              <w:rPr>
                <w:rFonts w:ascii="Sylfaen" w:hAnsi="Sylfaen"/>
                <w:sz w:val="20"/>
                <w:szCs w:val="20"/>
              </w:rPr>
            </w:pPr>
            <w:r w:rsidRPr="00066F60">
              <w:rPr>
                <w:rFonts w:ascii="Sylfaen" w:hAnsi="Sylfaen"/>
                <w:sz w:val="20"/>
                <w:szCs w:val="20"/>
              </w:rPr>
              <w:t>Հեռուստացույցներ՝ ամբողջական HD</w:t>
            </w:r>
            <w:r w:rsidR="00054AD2">
              <w:rPr>
                <w:rFonts w:ascii="Sylfaen" w:hAnsi="Sylfaen"/>
                <w:sz w:val="20"/>
                <w:szCs w:val="20"/>
                <w:lang w:val="en-US"/>
              </w:rPr>
              <w:t> </w:t>
            </w:r>
            <w:r w:rsidRPr="00066F60">
              <w:rPr>
                <w:rFonts w:ascii="Sylfaen" w:hAnsi="Sylfaen"/>
                <w:sz w:val="20"/>
                <w:szCs w:val="20"/>
              </w:rPr>
              <w:t>լուծաչափով</w:t>
            </w:r>
          </w:p>
        </w:tc>
        <w:tc>
          <w:tcPr>
            <w:tcW w:w="3269" w:type="dxa"/>
            <w:tcBorders>
              <w:top w:val="single" w:sz="4" w:space="0" w:color="auto"/>
              <w:left w:val="single" w:sz="4" w:space="0" w:color="auto"/>
              <w:right w:val="single" w:sz="4" w:space="0" w:color="auto"/>
            </w:tcBorders>
            <w:shd w:val="clear" w:color="auto" w:fill="FFFFFF"/>
            <w:vAlign w:val="bottom"/>
          </w:tcPr>
          <w:p w14:paraId="748025B5" w14:textId="77777777" w:rsidR="00CA27E3" w:rsidRPr="00066F60" w:rsidRDefault="00CA27E3" w:rsidP="00BF26A1">
            <w:pPr>
              <w:pStyle w:val="Other0"/>
              <w:shd w:val="clear" w:color="auto" w:fill="auto"/>
              <w:spacing w:after="120"/>
              <w:ind w:right="111"/>
              <w:rPr>
                <w:rFonts w:ascii="Sylfaen" w:hAnsi="Sylfaen"/>
                <w:sz w:val="20"/>
                <w:szCs w:val="20"/>
              </w:rPr>
            </w:pPr>
            <w:r w:rsidRPr="00066F60">
              <w:rPr>
                <w:rFonts w:ascii="Sylfaen" w:hAnsi="Sylfaen"/>
                <w:sz w:val="20"/>
                <w:szCs w:val="20"/>
              </w:rPr>
              <w:t>Այլ հեռուստացույցներ (ներառյալ</w:t>
            </w:r>
            <w:r w:rsidR="00BF26A1">
              <w:rPr>
                <w:rFonts w:ascii="Sylfaen" w:hAnsi="Sylfaen"/>
                <w:sz w:val="20"/>
                <w:szCs w:val="20"/>
                <w:lang w:val="en-US"/>
              </w:rPr>
              <w:t> </w:t>
            </w:r>
            <w:r w:rsidRPr="00066F60">
              <w:rPr>
                <w:rFonts w:ascii="Sylfaen" w:hAnsi="Sylfaen"/>
                <w:sz w:val="20"/>
                <w:szCs w:val="20"/>
              </w:rPr>
              <w:t>կինեսկոպային)</w:t>
            </w:r>
          </w:p>
        </w:tc>
      </w:tr>
      <w:tr w:rsidR="00CA27E3" w:rsidRPr="00066F60" w14:paraId="1023928F" w14:textId="77777777" w:rsidTr="00CA27E3">
        <w:trPr>
          <w:jc w:val="center"/>
        </w:trPr>
        <w:tc>
          <w:tcPr>
            <w:tcW w:w="9230" w:type="dxa"/>
            <w:gridSpan w:val="3"/>
            <w:tcBorders>
              <w:top w:val="single" w:sz="4" w:space="0" w:color="auto"/>
              <w:left w:val="single" w:sz="4" w:space="0" w:color="auto"/>
              <w:right w:val="single" w:sz="4" w:space="0" w:color="auto"/>
            </w:tcBorders>
            <w:shd w:val="clear" w:color="auto" w:fill="FFFFFF"/>
            <w:vAlign w:val="center"/>
          </w:tcPr>
          <w:p w14:paraId="1BD9DDED"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2020 թվականի սեպտեմբերի 1-ից</w:t>
            </w:r>
          </w:p>
        </w:tc>
      </w:tr>
      <w:tr w:rsidR="00CA27E3" w:rsidRPr="00066F60" w14:paraId="70B55444" w14:textId="77777777" w:rsidTr="00CA27E3">
        <w:trPr>
          <w:jc w:val="center"/>
        </w:trPr>
        <w:tc>
          <w:tcPr>
            <w:tcW w:w="2131" w:type="dxa"/>
            <w:tcBorders>
              <w:top w:val="single" w:sz="4" w:space="0" w:color="auto"/>
              <w:left w:val="single" w:sz="4" w:space="0" w:color="auto"/>
            </w:tcBorders>
            <w:shd w:val="clear" w:color="auto" w:fill="FFFFFF"/>
            <w:vAlign w:val="bottom"/>
          </w:tcPr>
          <w:p w14:paraId="3FBA3A09" w14:textId="77777777" w:rsidR="00CA27E3" w:rsidRPr="00066F60" w:rsidRDefault="00CA27E3" w:rsidP="00C764C7">
            <w:pPr>
              <w:pStyle w:val="Other0"/>
              <w:shd w:val="clear" w:color="auto" w:fill="auto"/>
              <w:spacing w:after="120"/>
              <w:ind w:left="56"/>
              <w:jc w:val="left"/>
              <w:rPr>
                <w:rFonts w:ascii="Sylfaen" w:hAnsi="Sylfaen"/>
                <w:sz w:val="20"/>
                <w:szCs w:val="20"/>
              </w:rPr>
            </w:pPr>
            <w:r w:rsidRPr="00066F60">
              <w:rPr>
                <w:rFonts w:ascii="Sylfaen" w:hAnsi="Sylfaen"/>
                <w:sz w:val="20"/>
                <w:szCs w:val="20"/>
              </w:rPr>
              <w:t>Հեռուստատեսային</w:t>
            </w:r>
            <w:r w:rsidR="00C764C7">
              <w:rPr>
                <w:rFonts w:ascii="Sylfaen" w:hAnsi="Sylfaen"/>
                <w:sz w:val="20"/>
                <w:szCs w:val="20"/>
              </w:rPr>
              <w:t xml:space="preserve"> </w:t>
            </w:r>
            <w:r w:rsidRPr="00066F60">
              <w:rPr>
                <w:rFonts w:ascii="Sylfaen" w:hAnsi="Sylfaen"/>
                <w:sz w:val="20"/>
                <w:szCs w:val="20"/>
              </w:rPr>
              <w:t>ընդունիչ</w:t>
            </w:r>
          </w:p>
        </w:tc>
        <w:tc>
          <w:tcPr>
            <w:tcW w:w="3830" w:type="dxa"/>
            <w:tcBorders>
              <w:top w:val="single" w:sz="4" w:space="0" w:color="auto"/>
              <w:left w:val="single" w:sz="4" w:space="0" w:color="auto"/>
            </w:tcBorders>
            <w:shd w:val="clear" w:color="auto" w:fill="FFFFFF"/>
            <w:vAlign w:val="center"/>
          </w:tcPr>
          <w:p w14:paraId="66514D0D"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 Վտ + А х 1,12 х 4,3224 Վտ/դմ</w:t>
            </w:r>
            <w:r w:rsidRPr="00066F60">
              <w:rPr>
                <w:rFonts w:ascii="Sylfaen" w:hAnsi="Sylfaen"/>
                <w:sz w:val="20"/>
                <w:szCs w:val="20"/>
                <w:vertAlign w:val="superscript"/>
              </w:rPr>
              <w:t>2</w:t>
            </w:r>
          </w:p>
        </w:tc>
        <w:tc>
          <w:tcPr>
            <w:tcW w:w="3269" w:type="dxa"/>
            <w:tcBorders>
              <w:top w:val="single" w:sz="4" w:space="0" w:color="auto"/>
              <w:left w:val="single" w:sz="4" w:space="0" w:color="auto"/>
              <w:right w:val="single" w:sz="4" w:space="0" w:color="auto"/>
            </w:tcBorders>
            <w:shd w:val="clear" w:color="auto" w:fill="FFFFFF"/>
            <w:vAlign w:val="center"/>
          </w:tcPr>
          <w:p w14:paraId="5805C722"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 Վտ + А х 4,3224 Վտ/դմ</w:t>
            </w:r>
            <w:r w:rsidRPr="00066F60">
              <w:rPr>
                <w:rFonts w:ascii="Sylfaen" w:hAnsi="Sylfaen"/>
                <w:sz w:val="20"/>
                <w:szCs w:val="20"/>
                <w:vertAlign w:val="superscript"/>
              </w:rPr>
              <w:t>2</w:t>
            </w:r>
          </w:p>
        </w:tc>
      </w:tr>
      <w:tr w:rsidR="00CA27E3" w:rsidRPr="00066F60" w14:paraId="3C9CCC14" w14:textId="77777777" w:rsidTr="00CA27E3">
        <w:trPr>
          <w:jc w:val="center"/>
        </w:trPr>
        <w:tc>
          <w:tcPr>
            <w:tcW w:w="2131" w:type="dxa"/>
            <w:tcBorders>
              <w:top w:val="single" w:sz="4" w:space="0" w:color="auto"/>
              <w:left w:val="single" w:sz="4" w:space="0" w:color="auto"/>
            </w:tcBorders>
            <w:shd w:val="clear" w:color="auto" w:fill="FFFFFF"/>
            <w:vAlign w:val="bottom"/>
          </w:tcPr>
          <w:p w14:paraId="776EAAA3" w14:textId="77777777" w:rsidR="00CA27E3" w:rsidRPr="00066F60" w:rsidRDefault="00CA27E3" w:rsidP="00C764C7">
            <w:pPr>
              <w:pStyle w:val="Other0"/>
              <w:shd w:val="clear" w:color="auto" w:fill="auto"/>
              <w:spacing w:after="120"/>
              <w:ind w:left="56"/>
              <w:jc w:val="left"/>
              <w:rPr>
                <w:rFonts w:ascii="Sylfaen" w:hAnsi="Sylfaen"/>
                <w:sz w:val="20"/>
                <w:szCs w:val="20"/>
              </w:rPr>
            </w:pPr>
            <w:r w:rsidRPr="00066F60">
              <w:rPr>
                <w:rFonts w:ascii="Sylfaen" w:hAnsi="Sylfaen"/>
                <w:sz w:val="20"/>
                <w:szCs w:val="20"/>
              </w:rPr>
              <w:t>Հեռուստացույցի մոնիտոր</w:t>
            </w:r>
          </w:p>
        </w:tc>
        <w:tc>
          <w:tcPr>
            <w:tcW w:w="3830" w:type="dxa"/>
            <w:tcBorders>
              <w:top w:val="single" w:sz="4" w:space="0" w:color="auto"/>
              <w:left w:val="single" w:sz="4" w:space="0" w:color="auto"/>
            </w:tcBorders>
            <w:shd w:val="clear" w:color="auto" w:fill="FFFFFF"/>
            <w:vAlign w:val="center"/>
          </w:tcPr>
          <w:p w14:paraId="6B952BD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15 Վտ + А х 1,12 х 4,3224 Վտ/դմ</w:t>
            </w:r>
            <w:r w:rsidRPr="00066F60">
              <w:rPr>
                <w:rFonts w:ascii="Sylfaen" w:hAnsi="Sylfaen"/>
                <w:sz w:val="20"/>
                <w:szCs w:val="20"/>
                <w:vertAlign w:val="superscript"/>
              </w:rPr>
              <w:t>2</w:t>
            </w:r>
          </w:p>
        </w:tc>
        <w:tc>
          <w:tcPr>
            <w:tcW w:w="3269" w:type="dxa"/>
            <w:tcBorders>
              <w:top w:val="single" w:sz="4" w:space="0" w:color="auto"/>
              <w:left w:val="single" w:sz="4" w:space="0" w:color="auto"/>
              <w:right w:val="single" w:sz="4" w:space="0" w:color="auto"/>
            </w:tcBorders>
            <w:shd w:val="clear" w:color="auto" w:fill="FFFFFF"/>
            <w:vAlign w:val="center"/>
          </w:tcPr>
          <w:p w14:paraId="54BEF3D3"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15 Վտ + А х 4,3224 Վտ/դմ</w:t>
            </w:r>
            <w:r w:rsidRPr="00066F60">
              <w:rPr>
                <w:rFonts w:ascii="Sylfaen" w:hAnsi="Sylfaen"/>
                <w:sz w:val="20"/>
                <w:szCs w:val="20"/>
                <w:vertAlign w:val="superscript"/>
              </w:rPr>
              <w:t>2</w:t>
            </w:r>
          </w:p>
        </w:tc>
      </w:tr>
      <w:tr w:rsidR="00CA27E3" w:rsidRPr="00066F60" w14:paraId="597E6A6F" w14:textId="77777777" w:rsidTr="00CA27E3">
        <w:trPr>
          <w:jc w:val="center"/>
        </w:trPr>
        <w:tc>
          <w:tcPr>
            <w:tcW w:w="9230" w:type="dxa"/>
            <w:gridSpan w:val="3"/>
            <w:tcBorders>
              <w:top w:val="single" w:sz="4" w:space="0" w:color="auto"/>
              <w:left w:val="single" w:sz="4" w:space="0" w:color="auto"/>
              <w:right w:val="single" w:sz="4" w:space="0" w:color="auto"/>
            </w:tcBorders>
            <w:shd w:val="clear" w:color="auto" w:fill="FFFFFF"/>
            <w:vAlign w:val="center"/>
          </w:tcPr>
          <w:p w14:paraId="664E00B7" w14:textId="77777777" w:rsidR="00CA27E3" w:rsidRPr="00066F60" w:rsidRDefault="00CA27E3" w:rsidP="00C764C7">
            <w:pPr>
              <w:pStyle w:val="Other0"/>
              <w:shd w:val="clear" w:color="auto" w:fill="auto"/>
              <w:spacing w:after="120"/>
              <w:ind w:left="56"/>
              <w:rPr>
                <w:rFonts w:ascii="Sylfaen" w:hAnsi="Sylfaen"/>
                <w:sz w:val="20"/>
                <w:szCs w:val="20"/>
              </w:rPr>
            </w:pPr>
            <w:r w:rsidRPr="00066F60">
              <w:rPr>
                <w:rFonts w:ascii="Sylfaen" w:hAnsi="Sylfaen"/>
                <w:sz w:val="20"/>
                <w:szCs w:val="20"/>
              </w:rPr>
              <w:t>2021 թվականի սեպտեմբերի 1-ից</w:t>
            </w:r>
          </w:p>
        </w:tc>
      </w:tr>
      <w:tr w:rsidR="00CA27E3" w:rsidRPr="00066F60" w14:paraId="3FD9ACEF" w14:textId="77777777" w:rsidTr="00CA27E3">
        <w:trPr>
          <w:jc w:val="center"/>
        </w:trPr>
        <w:tc>
          <w:tcPr>
            <w:tcW w:w="2131" w:type="dxa"/>
            <w:tcBorders>
              <w:top w:val="single" w:sz="4" w:space="0" w:color="auto"/>
              <w:left w:val="single" w:sz="4" w:space="0" w:color="auto"/>
            </w:tcBorders>
            <w:shd w:val="clear" w:color="auto" w:fill="FFFFFF"/>
            <w:vAlign w:val="bottom"/>
          </w:tcPr>
          <w:p w14:paraId="61C60B20" w14:textId="77777777" w:rsidR="00CA27E3" w:rsidRPr="00066F60" w:rsidRDefault="00CA27E3" w:rsidP="00C764C7">
            <w:pPr>
              <w:pStyle w:val="Other0"/>
              <w:shd w:val="clear" w:color="auto" w:fill="auto"/>
              <w:spacing w:after="120"/>
              <w:ind w:left="56"/>
              <w:jc w:val="left"/>
              <w:rPr>
                <w:rFonts w:ascii="Sylfaen" w:hAnsi="Sylfaen"/>
                <w:sz w:val="20"/>
                <w:szCs w:val="20"/>
              </w:rPr>
            </w:pPr>
            <w:r w:rsidRPr="00066F60">
              <w:rPr>
                <w:rFonts w:ascii="Sylfaen" w:hAnsi="Sylfaen"/>
                <w:sz w:val="20"/>
                <w:szCs w:val="20"/>
              </w:rPr>
              <w:t>Հեռուստատեսային</w:t>
            </w:r>
            <w:r w:rsidR="00C764C7">
              <w:rPr>
                <w:rFonts w:ascii="Sylfaen" w:hAnsi="Sylfaen"/>
                <w:sz w:val="20"/>
                <w:szCs w:val="20"/>
              </w:rPr>
              <w:t xml:space="preserve"> </w:t>
            </w:r>
            <w:r w:rsidRPr="00066F60">
              <w:rPr>
                <w:rFonts w:ascii="Sylfaen" w:hAnsi="Sylfaen"/>
                <w:sz w:val="20"/>
                <w:szCs w:val="20"/>
              </w:rPr>
              <w:t>ընդունիչ</w:t>
            </w:r>
          </w:p>
        </w:tc>
        <w:tc>
          <w:tcPr>
            <w:tcW w:w="7099" w:type="dxa"/>
            <w:gridSpan w:val="2"/>
            <w:tcBorders>
              <w:top w:val="single" w:sz="4" w:space="0" w:color="auto"/>
              <w:left w:val="single" w:sz="4" w:space="0" w:color="auto"/>
              <w:right w:val="single" w:sz="4" w:space="0" w:color="auto"/>
            </w:tcBorders>
            <w:shd w:val="clear" w:color="auto" w:fill="FFFFFF"/>
            <w:vAlign w:val="center"/>
          </w:tcPr>
          <w:p w14:paraId="05A5AC8F"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16 Վտ + А х 3,4579 Վտ/դմ</w:t>
            </w:r>
            <w:r w:rsidRPr="00066F60">
              <w:rPr>
                <w:rFonts w:ascii="Sylfaen" w:hAnsi="Sylfaen"/>
                <w:sz w:val="20"/>
                <w:szCs w:val="20"/>
                <w:vertAlign w:val="superscript"/>
              </w:rPr>
              <w:t>2</w:t>
            </w:r>
          </w:p>
        </w:tc>
      </w:tr>
      <w:tr w:rsidR="00CA27E3" w:rsidRPr="00066F60" w14:paraId="1FF650B4" w14:textId="77777777" w:rsidTr="00CA27E3">
        <w:trPr>
          <w:jc w:val="center"/>
        </w:trPr>
        <w:tc>
          <w:tcPr>
            <w:tcW w:w="2131" w:type="dxa"/>
            <w:tcBorders>
              <w:top w:val="single" w:sz="4" w:space="0" w:color="auto"/>
              <w:left w:val="single" w:sz="4" w:space="0" w:color="auto"/>
              <w:bottom w:val="single" w:sz="4" w:space="0" w:color="auto"/>
            </w:tcBorders>
            <w:shd w:val="clear" w:color="auto" w:fill="FFFFFF"/>
            <w:vAlign w:val="bottom"/>
          </w:tcPr>
          <w:p w14:paraId="1CCC3580" w14:textId="77777777" w:rsidR="00CA27E3" w:rsidRPr="00066F60" w:rsidRDefault="00CA27E3" w:rsidP="00C764C7">
            <w:pPr>
              <w:pStyle w:val="Other0"/>
              <w:shd w:val="clear" w:color="auto" w:fill="auto"/>
              <w:spacing w:after="120"/>
              <w:ind w:left="56"/>
              <w:jc w:val="left"/>
              <w:rPr>
                <w:rFonts w:ascii="Sylfaen" w:hAnsi="Sylfaen"/>
                <w:sz w:val="20"/>
                <w:szCs w:val="20"/>
              </w:rPr>
            </w:pPr>
            <w:r w:rsidRPr="00066F60">
              <w:rPr>
                <w:rFonts w:ascii="Sylfaen" w:hAnsi="Sylfaen"/>
                <w:sz w:val="20"/>
                <w:szCs w:val="20"/>
              </w:rPr>
              <w:t>Հեռուստացույցի մոնիտոր</w:t>
            </w:r>
          </w:p>
        </w:tc>
        <w:tc>
          <w:tcPr>
            <w:tcW w:w="709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D3FD2"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12 Վտ + А х 3,4579 Վտ/դմ</w:t>
            </w:r>
            <w:r w:rsidRPr="00066F60">
              <w:rPr>
                <w:rFonts w:ascii="Sylfaen" w:hAnsi="Sylfaen"/>
                <w:sz w:val="20"/>
                <w:szCs w:val="20"/>
                <w:vertAlign w:val="superscript"/>
              </w:rPr>
              <w:t>2</w:t>
            </w:r>
          </w:p>
        </w:tc>
      </w:tr>
    </w:tbl>
    <w:p w14:paraId="4782D511" w14:textId="77777777" w:rsidR="00CA27E3" w:rsidRPr="00C764C7" w:rsidRDefault="00CA27E3" w:rsidP="00054AD2">
      <w:pPr>
        <w:pStyle w:val="Tablecaption0"/>
        <w:shd w:val="clear" w:color="auto" w:fill="auto"/>
        <w:spacing w:after="160" w:line="360" w:lineRule="auto"/>
        <w:ind w:left="51"/>
        <w:jc w:val="both"/>
        <w:rPr>
          <w:rFonts w:ascii="Sylfaen" w:hAnsi="Sylfaen"/>
          <w:sz w:val="20"/>
          <w:szCs w:val="20"/>
        </w:rPr>
      </w:pPr>
      <w:r w:rsidRPr="00C764C7">
        <w:rPr>
          <w:rFonts w:ascii="Sylfaen" w:hAnsi="Sylfaen"/>
          <w:sz w:val="20"/>
          <w:szCs w:val="20"/>
        </w:rPr>
        <w:t>Ծանոթագրություն. А-ն՝ էկրանի վրա պատկերի տեսանելի տիրույթի մակերեսը (քառ. դմ-ով)։</w:t>
      </w:r>
    </w:p>
    <w:p w14:paraId="0134D88D" w14:textId="77777777" w:rsidR="00CA27E3" w:rsidRPr="00CA27E3" w:rsidRDefault="00CA27E3" w:rsidP="00CA27E3">
      <w:pPr>
        <w:pStyle w:val="BodyText1"/>
        <w:shd w:val="clear" w:color="auto" w:fill="auto"/>
        <w:spacing w:after="160"/>
        <w:ind w:firstLine="720"/>
        <w:rPr>
          <w:rFonts w:ascii="Sylfaen" w:hAnsi="Sylfaen"/>
          <w:sz w:val="24"/>
          <w:szCs w:val="24"/>
        </w:rPr>
      </w:pPr>
    </w:p>
    <w:p w14:paraId="636457DC" w14:textId="77777777" w:rsid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6.</w:t>
      </w:r>
      <w:r w:rsidR="00C764C7">
        <w:rPr>
          <w:rFonts w:ascii="Sylfaen" w:hAnsi="Sylfaen"/>
          <w:sz w:val="24"/>
          <w:szCs w:val="24"/>
        </w:rPr>
        <w:tab/>
      </w:r>
      <w:r w:rsidRPr="00CA27E3">
        <w:rPr>
          <w:rFonts w:ascii="Sylfaen" w:hAnsi="Sylfaen"/>
          <w:sz w:val="24"/>
          <w:szCs w:val="24"/>
        </w:rPr>
        <w:t>Սպասման ռեժիմում հեռուստացույցի սպառվող հզորությունը չպետք է գերազանցի 2-րդ աղյուսակում նշված արժեքները։</w:t>
      </w:r>
    </w:p>
    <w:p w14:paraId="1B8B8D6F" w14:textId="77777777" w:rsidR="00C764C7" w:rsidRPr="00CA27E3" w:rsidRDefault="00C764C7" w:rsidP="00C764C7">
      <w:pPr>
        <w:pStyle w:val="BodyText1"/>
        <w:shd w:val="clear" w:color="auto" w:fill="auto"/>
        <w:tabs>
          <w:tab w:val="left" w:pos="1134"/>
        </w:tabs>
        <w:spacing w:after="160"/>
        <w:ind w:firstLine="567"/>
        <w:jc w:val="both"/>
        <w:rPr>
          <w:rFonts w:ascii="Sylfaen" w:hAnsi="Sylfaen"/>
          <w:sz w:val="24"/>
          <w:szCs w:val="24"/>
        </w:rPr>
      </w:pPr>
    </w:p>
    <w:p w14:paraId="53BD9997" w14:textId="77777777" w:rsidR="00CA27E3" w:rsidRPr="00CA27E3" w:rsidRDefault="00CA27E3" w:rsidP="00CA27E3">
      <w:pPr>
        <w:pStyle w:val="BodyText1"/>
        <w:shd w:val="clear" w:color="auto" w:fill="auto"/>
        <w:spacing w:after="160"/>
        <w:ind w:firstLine="0"/>
        <w:jc w:val="right"/>
        <w:rPr>
          <w:rFonts w:ascii="Sylfaen" w:hAnsi="Sylfaen"/>
          <w:sz w:val="24"/>
          <w:szCs w:val="24"/>
        </w:rPr>
      </w:pPr>
      <w:r w:rsidRPr="00CA27E3">
        <w:rPr>
          <w:rFonts w:ascii="Sylfaen" w:hAnsi="Sylfaen"/>
          <w:sz w:val="24"/>
          <w:szCs w:val="24"/>
        </w:rPr>
        <w:t>Աղյուսակ 2</w:t>
      </w:r>
    </w:p>
    <w:p w14:paraId="2BBA0D86" w14:textId="77777777" w:rsidR="00CA27E3" w:rsidRPr="00CA27E3" w:rsidRDefault="00CA27E3" w:rsidP="00CA27E3">
      <w:pPr>
        <w:pStyle w:val="BodyText1"/>
        <w:shd w:val="clear" w:color="auto" w:fill="auto"/>
        <w:spacing w:after="160"/>
        <w:ind w:firstLine="0"/>
        <w:jc w:val="center"/>
        <w:rPr>
          <w:rFonts w:ascii="Sylfaen" w:hAnsi="Sylfaen"/>
          <w:sz w:val="24"/>
          <w:szCs w:val="24"/>
        </w:rPr>
      </w:pPr>
      <w:r w:rsidRPr="00CA27E3">
        <w:rPr>
          <w:rFonts w:ascii="Sylfaen" w:hAnsi="Sylfaen"/>
          <w:sz w:val="24"/>
          <w:szCs w:val="24"/>
        </w:rPr>
        <w:t>Սպասման ռեժիմում հեռուստացույցի սպառվող հզորությունը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818"/>
        <w:gridCol w:w="3413"/>
      </w:tblGrid>
      <w:tr w:rsidR="00CA27E3" w:rsidRPr="00066F60" w14:paraId="75238432" w14:textId="77777777" w:rsidTr="00CA27E3">
        <w:trPr>
          <w:jc w:val="center"/>
        </w:trPr>
        <w:tc>
          <w:tcPr>
            <w:tcW w:w="5818" w:type="dxa"/>
            <w:tcBorders>
              <w:top w:val="single" w:sz="4" w:space="0" w:color="auto"/>
              <w:left w:val="single" w:sz="4" w:space="0" w:color="auto"/>
            </w:tcBorders>
            <w:shd w:val="clear" w:color="auto" w:fill="FFFFFF"/>
            <w:vAlign w:val="center"/>
          </w:tcPr>
          <w:p w14:paraId="1BA5951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Սպասման ռեժիմում կատարվող ֆունկցիաներ</w:t>
            </w:r>
          </w:p>
        </w:tc>
        <w:tc>
          <w:tcPr>
            <w:tcW w:w="3413" w:type="dxa"/>
            <w:tcBorders>
              <w:top w:val="single" w:sz="4" w:space="0" w:color="auto"/>
              <w:left w:val="single" w:sz="4" w:space="0" w:color="auto"/>
              <w:right w:val="single" w:sz="4" w:space="0" w:color="auto"/>
            </w:tcBorders>
            <w:shd w:val="clear" w:color="auto" w:fill="FFFFFF"/>
            <w:vAlign w:val="center"/>
          </w:tcPr>
          <w:p w14:paraId="3A554ACE" w14:textId="77777777" w:rsidR="00CA27E3" w:rsidRPr="00066F60" w:rsidRDefault="00CA27E3" w:rsidP="00C764C7">
            <w:pPr>
              <w:pStyle w:val="Other0"/>
              <w:shd w:val="clear" w:color="auto" w:fill="auto"/>
              <w:spacing w:after="120"/>
              <w:rPr>
                <w:rFonts w:ascii="Sylfaen" w:hAnsi="Sylfaen"/>
                <w:sz w:val="20"/>
                <w:szCs w:val="20"/>
              </w:rPr>
            </w:pPr>
            <w:r w:rsidRPr="00066F60">
              <w:rPr>
                <w:rFonts w:ascii="Sylfaen" w:hAnsi="Sylfaen"/>
                <w:sz w:val="20"/>
                <w:szCs w:val="20"/>
              </w:rPr>
              <w:t>Սպառվող հզորություն, (Վտ), ոչ</w:t>
            </w:r>
            <w:r w:rsidR="00C764C7">
              <w:rPr>
                <w:rFonts w:ascii="Sylfaen" w:hAnsi="Sylfaen"/>
                <w:sz w:val="20"/>
                <w:szCs w:val="20"/>
              </w:rPr>
              <w:t> </w:t>
            </w:r>
            <w:r w:rsidRPr="00066F60">
              <w:rPr>
                <w:rFonts w:ascii="Sylfaen" w:hAnsi="Sylfaen"/>
                <w:sz w:val="20"/>
                <w:szCs w:val="20"/>
              </w:rPr>
              <w:t>ավելի</w:t>
            </w:r>
          </w:p>
        </w:tc>
      </w:tr>
      <w:tr w:rsidR="00CA27E3" w:rsidRPr="00066F60" w14:paraId="2589A0A9" w14:textId="77777777" w:rsidTr="00CA27E3">
        <w:trPr>
          <w:jc w:val="center"/>
        </w:trPr>
        <w:tc>
          <w:tcPr>
            <w:tcW w:w="9231" w:type="dxa"/>
            <w:gridSpan w:val="2"/>
            <w:tcBorders>
              <w:top w:val="single" w:sz="4" w:space="0" w:color="auto"/>
              <w:left w:val="single" w:sz="4" w:space="0" w:color="auto"/>
              <w:right w:val="single" w:sz="4" w:space="0" w:color="auto"/>
            </w:tcBorders>
            <w:shd w:val="clear" w:color="auto" w:fill="FFFFFF"/>
            <w:vAlign w:val="center"/>
          </w:tcPr>
          <w:p w14:paraId="6E93575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2020 թվականի սեպտեմբերի 1-ից</w:t>
            </w:r>
          </w:p>
        </w:tc>
      </w:tr>
      <w:tr w:rsidR="00CA27E3" w:rsidRPr="00066F60" w14:paraId="2087D588" w14:textId="77777777" w:rsidTr="00CA27E3">
        <w:trPr>
          <w:jc w:val="center"/>
        </w:trPr>
        <w:tc>
          <w:tcPr>
            <w:tcW w:w="5818" w:type="dxa"/>
            <w:tcBorders>
              <w:top w:val="single" w:sz="4" w:space="0" w:color="auto"/>
              <w:left w:val="single" w:sz="4" w:space="0" w:color="auto"/>
            </w:tcBorders>
            <w:shd w:val="clear" w:color="auto" w:fill="FFFFFF"/>
            <w:vAlign w:val="center"/>
          </w:tcPr>
          <w:p w14:paraId="2BE52BF8" w14:textId="77777777" w:rsidR="00CA27E3" w:rsidRPr="00066F60" w:rsidRDefault="00CA27E3" w:rsidP="00C764C7">
            <w:pPr>
              <w:pStyle w:val="Other0"/>
              <w:shd w:val="clear" w:color="auto" w:fill="auto"/>
              <w:spacing w:after="120"/>
              <w:ind w:right="17"/>
              <w:jc w:val="left"/>
              <w:rPr>
                <w:rFonts w:ascii="Sylfaen" w:hAnsi="Sylfaen"/>
                <w:sz w:val="20"/>
                <w:szCs w:val="20"/>
              </w:rPr>
            </w:pPr>
            <w:r w:rsidRPr="00066F60">
              <w:rPr>
                <w:rFonts w:ascii="Sylfaen" w:hAnsi="Sylfaen"/>
                <w:sz w:val="20"/>
                <w:szCs w:val="20"/>
              </w:rPr>
              <w:t>Վերաակտիվացման ֆունկցիա (այդ թվում՝ վերաակտիվացման (պատրաստության) ունակության ցուցանշմամբ)</w:t>
            </w:r>
          </w:p>
        </w:tc>
        <w:tc>
          <w:tcPr>
            <w:tcW w:w="3413" w:type="dxa"/>
            <w:tcBorders>
              <w:top w:val="single" w:sz="4" w:space="0" w:color="auto"/>
              <w:left w:val="single" w:sz="4" w:space="0" w:color="auto"/>
              <w:right w:val="single" w:sz="4" w:space="0" w:color="auto"/>
            </w:tcBorders>
            <w:shd w:val="clear" w:color="auto" w:fill="FFFFFF"/>
            <w:vAlign w:val="center"/>
          </w:tcPr>
          <w:p w14:paraId="11D481E4"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1,00</w:t>
            </w:r>
          </w:p>
        </w:tc>
      </w:tr>
      <w:tr w:rsidR="00CA27E3" w:rsidRPr="00066F60" w14:paraId="0EC87B18" w14:textId="77777777" w:rsidTr="00CA27E3">
        <w:trPr>
          <w:jc w:val="center"/>
        </w:trPr>
        <w:tc>
          <w:tcPr>
            <w:tcW w:w="5818" w:type="dxa"/>
            <w:tcBorders>
              <w:top w:val="single" w:sz="4" w:space="0" w:color="auto"/>
              <w:left w:val="single" w:sz="4" w:space="0" w:color="auto"/>
            </w:tcBorders>
            <w:shd w:val="clear" w:color="auto" w:fill="FFFFFF"/>
            <w:vAlign w:val="center"/>
          </w:tcPr>
          <w:p w14:paraId="161783BF" w14:textId="77777777" w:rsidR="00CA27E3" w:rsidRPr="00066F60" w:rsidRDefault="00CA27E3" w:rsidP="00C764C7">
            <w:pPr>
              <w:pStyle w:val="Other0"/>
              <w:shd w:val="clear" w:color="auto" w:fill="auto"/>
              <w:spacing w:after="120"/>
              <w:ind w:right="17"/>
              <w:jc w:val="left"/>
              <w:rPr>
                <w:rFonts w:ascii="Sylfaen" w:hAnsi="Sylfaen"/>
                <w:sz w:val="20"/>
                <w:szCs w:val="20"/>
              </w:rPr>
            </w:pPr>
            <w:r w:rsidRPr="00066F60">
              <w:rPr>
                <w:rFonts w:ascii="Sylfaen" w:hAnsi="Sylfaen"/>
                <w:sz w:val="20"/>
                <w:szCs w:val="20"/>
              </w:rPr>
              <w:t>Վերաակտիվացման ֆունկցիա եւ տեղեկացման կամ վիճակի արտացոլման ֆունկցիա</w:t>
            </w:r>
          </w:p>
        </w:tc>
        <w:tc>
          <w:tcPr>
            <w:tcW w:w="3413" w:type="dxa"/>
            <w:tcBorders>
              <w:top w:val="single" w:sz="4" w:space="0" w:color="auto"/>
              <w:left w:val="single" w:sz="4" w:space="0" w:color="auto"/>
              <w:right w:val="single" w:sz="4" w:space="0" w:color="auto"/>
            </w:tcBorders>
            <w:shd w:val="clear" w:color="auto" w:fill="FFFFFF"/>
            <w:vAlign w:val="center"/>
          </w:tcPr>
          <w:p w14:paraId="1F25F8DA"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2,00</w:t>
            </w:r>
          </w:p>
        </w:tc>
      </w:tr>
      <w:tr w:rsidR="00CA27E3" w:rsidRPr="00066F60" w14:paraId="41651D78" w14:textId="77777777" w:rsidTr="00CA27E3">
        <w:trPr>
          <w:jc w:val="center"/>
        </w:trPr>
        <w:tc>
          <w:tcPr>
            <w:tcW w:w="9231" w:type="dxa"/>
            <w:gridSpan w:val="2"/>
            <w:tcBorders>
              <w:top w:val="single" w:sz="4" w:space="0" w:color="auto"/>
              <w:left w:val="single" w:sz="4" w:space="0" w:color="auto"/>
              <w:right w:val="single" w:sz="4" w:space="0" w:color="auto"/>
            </w:tcBorders>
            <w:shd w:val="clear" w:color="auto" w:fill="FFFFFF"/>
            <w:vAlign w:val="center"/>
          </w:tcPr>
          <w:p w14:paraId="3C270E87" w14:textId="77777777" w:rsidR="00CA27E3" w:rsidRPr="00066F60" w:rsidRDefault="00CA27E3" w:rsidP="00C764C7">
            <w:pPr>
              <w:pStyle w:val="Other0"/>
              <w:shd w:val="clear" w:color="auto" w:fill="auto"/>
              <w:spacing w:after="120"/>
              <w:rPr>
                <w:rFonts w:ascii="Sylfaen" w:hAnsi="Sylfaen"/>
                <w:sz w:val="20"/>
                <w:szCs w:val="20"/>
              </w:rPr>
            </w:pPr>
            <w:r w:rsidRPr="00066F60">
              <w:rPr>
                <w:rFonts w:ascii="Sylfaen" w:hAnsi="Sylfaen"/>
                <w:sz w:val="20"/>
                <w:szCs w:val="20"/>
              </w:rPr>
              <w:t>2021 թվականի սեպտեմբերի 1-ից</w:t>
            </w:r>
          </w:p>
        </w:tc>
      </w:tr>
      <w:tr w:rsidR="00CA27E3" w:rsidRPr="00066F60" w14:paraId="48918DB8" w14:textId="77777777" w:rsidTr="00CA27E3">
        <w:trPr>
          <w:jc w:val="center"/>
        </w:trPr>
        <w:tc>
          <w:tcPr>
            <w:tcW w:w="5818" w:type="dxa"/>
            <w:tcBorders>
              <w:top w:val="single" w:sz="4" w:space="0" w:color="auto"/>
              <w:left w:val="single" w:sz="4" w:space="0" w:color="auto"/>
            </w:tcBorders>
            <w:shd w:val="clear" w:color="auto" w:fill="FFFFFF"/>
            <w:vAlign w:val="bottom"/>
          </w:tcPr>
          <w:p w14:paraId="5F2868EC" w14:textId="77777777" w:rsidR="00CA27E3" w:rsidRPr="00066F60" w:rsidRDefault="00CA27E3" w:rsidP="00C764C7">
            <w:pPr>
              <w:pStyle w:val="Other0"/>
              <w:shd w:val="clear" w:color="auto" w:fill="auto"/>
              <w:spacing w:after="120"/>
              <w:ind w:right="86"/>
              <w:jc w:val="left"/>
              <w:rPr>
                <w:rFonts w:ascii="Sylfaen" w:hAnsi="Sylfaen"/>
                <w:sz w:val="20"/>
                <w:szCs w:val="20"/>
              </w:rPr>
            </w:pPr>
            <w:r w:rsidRPr="00066F60">
              <w:rPr>
                <w:rFonts w:ascii="Sylfaen" w:hAnsi="Sylfaen"/>
                <w:sz w:val="20"/>
                <w:szCs w:val="20"/>
              </w:rPr>
              <w:t>Վերաակտիվացման ֆունկցիա (այդ թվում՝ վերաակտիվացման (պատրաստության) ունակության ցուցանշմամբ)</w:t>
            </w:r>
          </w:p>
        </w:tc>
        <w:tc>
          <w:tcPr>
            <w:tcW w:w="3413" w:type="dxa"/>
            <w:tcBorders>
              <w:top w:val="single" w:sz="4" w:space="0" w:color="auto"/>
              <w:left w:val="single" w:sz="4" w:space="0" w:color="auto"/>
              <w:right w:val="single" w:sz="4" w:space="0" w:color="auto"/>
            </w:tcBorders>
            <w:shd w:val="clear" w:color="auto" w:fill="FFFFFF"/>
            <w:vAlign w:val="center"/>
          </w:tcPr>
          <w:p w14:paraId="2C4E07E4"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0,50</w:t>
            </w:r>
          </w:p>
        </w:tc>
      </w:tr>
      <w:tr w:rsidR="00CA27E3" w:rsidRPr="00066F60" w14:paraId="11737CAC" w14:textId="77777777" w:rsidTr="00CA27E3">
        <w:trPr>
          <w:jc w:val="center"/>
        </w:trPr>
        <w:tc>
          <w:tcPr>
            <w:tcW w:w="5818" w:type="dxa"/>
            <w:tcBorders>
              <w:top w:val="single" w:sz="4" w:space="0" w:color="auto"/>
              <w:left w:val="single" w:sz="4" w:space="0" w:color="auto"/>
              <w:bottom w:val="single" w:sz="4" w:space="0" w:color="auto"/>
            </w:tcBorders>
            <w:shd w:val="clear" w:color="auto" w:fill="FFFFFF"/>
            <w:vAlign w:val="center"/>
          </w:tcPr>
          <w:p w14:paraId="12F6A829" w14:textId="77777777" w:rsidR="00CA27E3" w:rsidRPr="00066F60" w:rsidRDefault="00CA27E3" w:rsidP="00C764C7">
            <w:pPr>
              <w:pStyle w:val="Other0"/>
              <w:shd w:val="clear" w:color="auto" w:fill="auto"/>
              <w:spacing w:after="120"/>
              <w:ind w:right="86"/>
              <w:jc w:val="left"/>
              <w:rPr>
                <w:rFonts w:ascii="Sylfaen" w:hAnsi="Sylfaen"/>
                <w:sz w:val="20"/>
                <w:szCs w:val="20"/>
              </w:rPr>
            </w:pPr>
            <w:r w:rsidRPr="00066F60">
              <w:rPr>
                <w:rFonts w:ascii="Sylfaen" w:hAnsi="Sylfaen"/>
                <w:sz w:val="20"/>
                <w:szCs w:val="20"/>
              </w:rPr>
              <w:t>Վերաակտիվացման ֆունկցիա եւ տեղեկացման կամ վիճակի արտացոլման ֆունկցիա</w:t>
            </w:r>
          </w:p>
        </w:tc>
        <w:tc>
          <w:tcPr>
            <w:tcW w:w="3413" w:type="dxa"/>
            <w:tcBorders>
              <w:top w:val="single" w:sz="4" w:space="0" w:color="auto"/>
              <w:left w:val="single" w:sz="4" w:space="0" w:color="auto"/>
              <w:bottom w:val="single" w:sz="4" w:space="0" w:color="auto"/>
              <w:right w:val="single" w:sz="4" w:space="0" w:color="auto"/>
            </w:tcBorders>
            <w:shd w:val="clear" w:color="auto" w:fill="FFFFFF"/>
            <w:vAlign w:val="center"/>
          </w:tcPr>
          <w:p w14:paraId="1B9DD7F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1,00</w:t>
            </w:r>
          </w:p>
        </w:tc>
      </w:tr>
    </w:tbl>
    <w:p w14:paraId="168286B6" w14:textId="77777777" w:rsid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7.</w:t>
      </w:r>
      <w:r w:rsidR="00C764C7">
        <w:rPr>
          <w:rFonts w:ascii="Sylfaen" w:hAnsi="Sylfaen"/>
          <w:sz w:val="24"/>
          <w:szCs w:val="24"/>
        </w:rPr>
        <w:tab/>
      </w:r>
      <w:r w:rsidRPr="00CA27E3">
        <w:rPr>
          <w:rFonts w:ascii="Sylfaen" w:hAnsi="Sylfaen"/>
          <w:sz w:val="24"/>
          <w:szCs w:val="24"/>
        </w:rPr>
        <w:t>Անջատման ռեժիմում հեռուստացույցի սպառվող հզորությունը չպետք է գերազանցի 3-րդ աղյուսակում նշված արժեքները։</w:t>
      </w:r>
    </w:p>
    <w:p w14:paraId="2876BEBF" w14:textId="77777777" w:rsidR="00C764C7" w:rsidRPr="00CA27E3" w:rsidRDefault="00C764C7" w:rsidP="00C764C7">
      <w:pPr>
        <w:pStyle w:val="BodyText1"/>
        <w:shd w:val="clear" w:color="auto" w:fill="auto"/>
        <w:tabs>
          <w:tab w:val="left" w:pos="1134"/>
        </w:tabs>
        <w:spacing w:after="160"/>
        <w:ind w:firstLine="567"/>
        <w:jc w:val="both"/>
        <w:rPr>
          <w:rFonts w:ascii="Sylfaen" w:hAnsi="Sylfaen"/>
          <w:sz w:val="24"/>
          <w:szCs w:val="24"/>
        </w:rPr>
      </w:pPr>
    </w:p>
    <w:p w14:paraId="6E807BED" w14:textId="77777777" w:rsidR="00CA27E3" w:rsidRPr="00CA27E3" w:rsidRDefault="00CA27E3" w:rsidP="00CA27E3">
      <w:pPr>
        <w:pStyle w:val="BodyText1"/>
        <w:shd w:val="clear" w:color="auto" w:fill="auto"/>
        <w:spacing w:after="160"/>
        <w:ind w:firstLine="0"/>
        <w:jc w:val="right"/>
        <w:rPr>
          <w:rFonts w:ascii="Sylfaen" w:hAnsi="Sylfaen"/>
          <w:sz w:val="24"/>
          <w:szCs w:val="24"/>
        </w:rPr>
      </w:pPr>
      <w:r w:rsidRPr="00CA27E3">
        <w:rPr>
          <w:rFonts w:ascii="Sylfaen" w:hAnsi="Sylfaen"/>
          <w:sz w:val="24"/>
          <w:szCs w:val="24"/>
        </w:rPr>
        <w:t>Աղյուսակ 3</w:t>
      </w:r>
    </w:p>
    <w:p w14:paraId="521F2B6F" w14:textId="77777777" w:rsidR="00CA27E3" w:rsidRPr="00CA27E3" w:rsidRDefault="00CA27E3" w:rsidP="00CA27E3">
      <w:pPr>
        <w:pStyle w:val="BodyText1"/>
        <w:shd w:val="clear" w:color="auto" w:fill="auto"/>
        <w:spacing w:after="160"/>
        <w:ind w:firstLine="0"/>
        <w:jc w:val="center"/>
        <w:rPr>
          <w:rFonts w:ascii="Sylfaen" w:hAnsi="Sylfaen"/>
          <w:sz w:val="24"/>
          <w:szCs w:val="24"/>
        </w:rPr>
      </w:pPr>
      <w:r w:rsidRPr="00CA27E3">
        <w:rPr>
          <w:rFonts w:ascii="Sylfaen" w:hAnsi="Sylfaen"/>
          <w:sz w:val="24"/>
          <w:szCs w:val="24"/>
        </w:rPr>
        <w:t>Անջատման ռեժիմում հեռուստացույցի սպառվող հզորություն</w:t>
      </w:r>
    </w:p>
    <w:tbl>
      <w:tblPr>
        <w:tblOverlap w:val="never"/>
        <w:tblW w:w="9230" w:type="dxa"/>
        <w:jc w:val="center"/>
        <w:tblLayout w:type="fixed"/>
        <w:tblCellMar>
          <w:left w:w="10" w:type="dxa"/>
          <w:right w:w="10" w:type="dxa"/>
        </w:tblCellMar>
        <w:tblLook w:val="0000" w:firstRow="0" w:lastRow="0" w:firstColumn="0" w:lastColumn="0" w:noHBand="0" w:noVBand="0"/>
      </w:tblPr>
      <w:tblGrid>
        <w:gridCol w:w="5042"/>
        <w:gridCol w:w="4188"/>
      </w:tblGrid>
      <w:tr w:rsidR="00CA27E3" w:rsidRPr="00066F60" w14:paraId="37945299" w14:textId="77777777" w:rsidTr="00054AD2">
        <w:trPr>
          <w:jc w:val="center"/>
        </w:trPr>
        <w:tc>
          <w:tcPr>
            <w:tcW w:w="5042" w:type="dxa"/>
            <w:tcBorders>
              <w:top w:val="single" w:sz="4" w:space="0" w:color="auto"/>
              <w:left w:val="single" w:sz="4" w:space="0" w:color="auto"/>
            </w:tcBorders>
            <w:shd w:val="clear" w:color="auto" w:fill="FFFFFF"/>
            <w:vAlign w:val="center"/>
          </w:tcPr>
          <w:p w14:paraId="10D21060" w14:textId="77777777" w:rsidR="00CA27E3" w:rsidRPr="00066F60" w:rsidRDefault="00CA27E3" w:rsidP="00C764C7">
            <w:pPr>
              <w:pStyle w:val="Other0"/>
              <w:shd w:val="clear" w:color="auto" w:fill="auto"/>
              <w:spacing w:after="120"/>
              <w:ind w:right="199"/>
              <w:rPr>
                <w:rFonts w:ascii="Sylfaen" w:hAnsi="Sylfaen"/>
                <w:sz w:val="20"/>
                <w:szCs w:val="20"/>
              </w:rPr>
            </w:pPr>
            <w:r w:rsidRPr="00066F60">
              <w:rPr>
                <w:rFonts w:ascii="Sylfaen" w:hAnsi="Sylfaen"/>
                <w:sz w:val="20"/>
                <w:szCs w:val="20"/>
              </w:rPr>
              <w:t>Էլեկտրասնուցման ռեժիմի կառավարման սարքվածքի տիպ</w:t>
            </w:r>
          </w:p>
        </w:tc>
        <w:tc>
          <w:tcPr>
            <w:tcW w:w="4188" w:type="dxa"/>
            <w:tcBorders>
              <w:top w:val="single" w:sz="4" w:space="0" w:color="auto"/>
              <w:left w:val="single" w:sz="4" w:space="0" w:color="auto"/>
              <w:right w:val="single" w:sz="4" w:space="0" w:color="auto"/>
            </w:tcBorders>
            <w:shd w:val="clear" w:color="auto" w:fill="FFFFFF"/>
            <w:vAlign w:val="center"/>
          </w:tcPr>
          <w:p w14:paraId="65CAFE8D" w14:textId="77777777" w:rsidR="00CA27E3" w:rsidRPr="00066F60" w:rsidRDefault="00CA27E3" w:rsidP="00C764C7">
            <w:pPr>
              <w:pStyle w:val="Other0"/>
              <w:shd w:val="clear" w:color="auto" w:fill="auto"/>
              <w:spacing w:after="120"/>
              <w:rPr>
                <w:rFonts w:ascii="Sylfaen" w:hAnsi="Sylfaen"/>
                <w:sz w:val="20"/>
                <w:szCs w:val="20"/>
              </w:rPr>
            </w:pPr>
            <w:r w:rsidRPr="00066F60">
              <w:rPr>
                <w:rFonts w:ascii="Sylfaen" w:hAnsi="Sylfaen"/>
                <w:sz w:val="20"/>
                <w:szCs w:val="20"/>
              </w:rPr>
              <w:t>Սպառվող հզորություն, (Վտ), ոչ ավելի</w:t>
            </w:r>
          </w:p>
        </w:tc>
      </w:tr>
      <w:tr w:rsidR="00CA27E3" w:rsidRPr="00066F60" w14:paraId="14913CDB" w14:textId="77777777" w:rsidTr="00054AD2">
        <w:trPr>
          <w:jc w:val="center"/>
        </w:trPr>
        <w:tc>
          <w:tcPr>
            <w:tcW w:w="9230" w:type="dxa"/>
            <w:gridSpan w:val="2"/>
            <w:tcBorders>
              <w:top w:val="single" w:sz="4" w:space="0" w:color="auto"/>
              <w:left w:val="single" w:sz="4" w:space="0" w:color="auto"/>
              <w:right w:val="single" w:sz="4" w:space="0" w:color="auto"/>
            </w:tcBorders>
            <w:shd w:val="clear" w:color="auto" w:fill="FFFFFF"/>
            <w:vAlign w:val="center"/>
          </w:tcPr>
          <w:p w14:paraId="50317639"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2020 թվականի սեպտեմբերի 1-ից</w:t>
            </w:r>
          </w:p>
        </w:tc>
      </w:tr>
      <w:tr w:rsidR="00CA27E3" w:rsidRPr="00066F60" w14:paraId="27BD18ED" w14:textId="77777777" w:rsidTr="00054AD2">
        <w:trPr>
          <w:jc w:val="center"/>
        </w:trPr>
        <w:tc>
          <w:tcPr>
            <w:tcW w:w="5042" w:type="dxa"/>
            <w:tcBorders>
              <w:top w:val="single" w:sz="4" w:space="0" w:color="auto"/>
              <w:left w:val="single" w:sz="4" w:space="0" w:color="auto"/>
            </w:tcBorders>
            <w:shd w:val="clear" w:color="auto" w:fill="FFFFFF"/>
            <w:vAlign w:val="center"/>
          </w:tcPr>
          <w:p w14:paraId="22D8505D" w14:textId="77777777" w:rsidR="00CA27E3" w:rsidRPr="00066F60" w:rsidRDefault="00CA27E3" w:rsidP="00C764C7">
            <w:pPr>
              <w:pStyle w:val="Other0"/>
              <w:shd w:val="clear" w:color="auto" w:fill="auto"/>
              <w:spacing w:after="120"/>
              <w:jc w:val="left"/>
              <w:rPr>
                <w:rFonts w:ascii="Sylfaen" w:hAnsi="Sylfaen"/>
                <w:sz w:val="20"/>
                <w:szCs w:val="20"/>
              </w:rPr>
            </w:pPr>
            <w:r w:rsidRPr="00066F60">
              <w:rPr>
                <w:rFonts w:ascii="Sylfaen" w:hAnsi="Sylfaen"/>
                <w:sz w:val="20"/>
                <w:szCs w:val="20"/>
              </w:rPr>
              <w:t>Ավտոմատ կառավարման սարքվածք</w:t>
            </w:r>
          </w:p>
        </w:tc>
        <w:tc>
          <w:tcPr>
            <w:tcW w:w="4188" w:type="dxa"/>
            <w:tcBorders>
              <w:top w:val="single" w:sz="4" w:space="0" w:color="auto"/>
              <w:left w:val="single" w:sz="4" w:space="0" w:color="auto"/>
              <w:right w:val="single" w:sz="4" w:space="0" w:color="auto"/>
            </w:tcBorders>
            <w:shd w:val="clear" w:color="auto" w:fill="FFFFFF"/>
            <w:vAlign w:val="bottom"/>
          </w:tcPr>
          <w:p w14:paraId="5F8FB91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1,00</w:t>
            </w:r>
          </w:p>
        </w:tc>
      </w:tr>
      <w:tr w:rsidR="00CA27E3" w:rsidRPr="00066F60" w14:paraId="5D8183B9" w14:textId="77777777" w:rsidTr="00054AD2">
        <w:trPr>
          <w:jc w:val="center"/>
        </w:trPr>
        <w:tc>
          <w:tcPr>
            <w:tcW w:w="9230" w:type="dxa"/>
            <w:gridSpan w:val="2"/>
            <w:tcBorders>
              <w:top w:val="single" w:sz="4" w:space="0" w:color="auto"/>
              <w:left w:val="single" w:sz="4" w:space="0" w:color="auto"/>
              <w:right w:val="single" w:sz="4" w:space="0" w:color="auto"/>
            </w:tcBorders>
            <w:shd w:val="clear" w:color="auto" w:fill="FFFFFF"/>
            <w:vAlign w:val="center"/>
          </w:tcPr>
          <w:p w14:paraId="1C7206F4"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2021 թվականի սեպտեմբերի 1-ից</w:t>
            </w:r>
          </w:p>
        </w:tc>
      </w:tr>
      <w:tr w:rsidR="00CA27E3" w:rsidRPr="00066F60" w14:paraId="48A385D6" w14:textId="77777777" w:rsidTr="00054AD2">
        <w:trPr>
          <w:jc w:val="center"/>
        </w:trPr>
        <w:tc>
          <w:tcPr>
            <w:tcW w:w="5042" w:type="dxa"/>
            <w:tcBorders>
              <w:top w:val="single" w:sz="4" w:space="0" w:color="auto"/>
              <w:left w:val="single" w:sz="4" w:space="0" w:color="auto"/>
            </w:tcBorders>
            <w:shd w:val="clear" w:color="auto" w:fill="FFFFFF"/>
            <w:vAlign w:val="bottom"/>
          </w:tcPr>
          <w:p w14:paraId="4CA73C2E" w14:textId="77777777" w:rsidR="00CA27E3" w:rsidRPr="00066F60" w:rsidRDefault="00CA27E3" w:rsidP="00C764C7">
            <w:pPr>
              <w:pStyle w:val="Other0"/>
              <w:shd w:val="clear" w:color="auto" w:fill="auto"/>
              <w:spacing w:after="120"/>
              <w:jc w:val="left"/>
              <w:rPr>
                <w:rFonts w:ascii="Sylfaen" w:hAnsi="Sylfaen"/>
                <w:sz w:val="20"/>
                <w:szCs w:val="20"/>
              </w:rPr>
            </w:pPr>
            <w:r w:rsidRPr="00066F60">
              <w:rPr>
                <w:rFonts w:ascii="Sylfaen" w:hAnsi="Sylfaen"/>
                <w:sz w:val="20"/>
                <w:szCs w:val="20"/>
              </w:rPr>
              <w:t>Ավտոմատ կառավարման սարքվածք</w:t>
            </w:r>
          </w:p>
        </w:tc>
        <w:tc>
          <w:tcPr>
            <w:tcW w:w="4188" w:type="dxa"/>
            <w:tcBorders>
              <w:top w:val="single" w:sz="4" w:space="0" w:color="auto"/>
              <w:left w:val="single" w:sz="4" w:space="0" w:color="auto"/>
              <w:right w:val="single" w:sz="4" w:space="0" w:color="auto"/>
            </w:tcBorders>
            <w:shd w:val="clear" w:color="auto" w:fill="FFFFFF"/>
            <w:vAlign w:val="bottom"/>
          </w:tcPr>
          <w:p w14:paraId="46BC80B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0,30</w:t>
            </w:r>
          </w:p>
        </w:tc>
      </w:tr>
      <w:tr w:rsidR="00CA27E3" w:rsidRPr="00066F60" w14:paraId="27D1F179" w14:textId="77777777" w:rsidTr="00054AD2">
        <w:trPr>
          <w:jc w:val="center"/>
        </w:trPr>
        <w:tc>
          <w:tcPr>
            <w:tcW w:w="5042" w:type="dxa"/>
            <w:tcBorders>
              <w:top w:val="single" w:sz="4" w:space="0" w:color="auto"/>
              <w:left w:val="single" w:sz="4" w:space="0" w:color="auto"/>
              <w:bottom w:val="single" w:sz="4" w:space="0" w:color="auto"/>
            </w:tcBorders>
            <w:shd w:val="clear" w:color="auto" w:fill="FFFFFF"/>
            <w:vAlign w:val="bottom"/>
          </w:tcPr>
          <w:p w14:paraId="44523EE7" w14:textId="77777777" w:rsidR="00CA27E3" w:rsidRPr="00066F60" w:rsidRDefault="00CA27E3" w:rsidP="00054AD2">
            <w:pPr>
              <w:pStyle w:val="Other0"/>
              <w:shd w:val="clear" w:color="auto" w:fill="auto"/>
              <w:spacing w:after="120"/>
              <w:ind w:right="132"/>
              <w:jc w:val="left"/>
              <w:rPr>
                <w:rFonts w:ascii="Sylfaen" w:hAnsi="Sylfaen"/>
                <w:sz w:val="20"/>
                <w:szCs w:val="20"/>
              </w:rPr>
            </w:pPr>
            <w:r w:rsidRPr="00066F60">
              <w:rPr>
                <w:rFonts w:ascii="Sylfaen" w:hAnsi="Sylfaen"/>
                <w:sz w:val="20"/>
                <w:szCs w:val="20"/>
              </w:rPr>
              <w:t>Ավտոմատ կառավարման սարքվածք, եթե առկա է լավ տեսանելի մեխանիկական անջատիչ, որը հեռուստացույցը փոխարկում է առավելագույնը 0,01</w:t>
            </w:r>
            <w:r w:rsidR="00054AD2" w:rsidRPr="00054AD2">
              <w:rPr>
                <w:rFonts w:ascii="Sylfaen" w:hAnsi="Sylfaen"/>
                <w:sz w:val="20"/>
                <w:szCs w:val="20"/>
              </w:rPr>
              <w:t> </w:t>
            </w:r>
            <w:r w:rsidRPr="00066F60">
              <w:rPr>
                <w:rFonts w:ascii="Sylfaen" w:hAnsi="Sylfaen"/>
                <w:sz w:val="20"/>
                <w:szCs w:val="20"/>
              </w:rPr>
              <w:t>Վտ սպառվող հզորության ռեժիմի</w:t>
            </w:r>
          </w:p>
        </w:tc>
        <w:tc>
          <w:tcPr>
            <w:tcW w:w="4188" w:type="dxa"/>
            <w:tcBorders>
              <w:top w:val="single" w:sz="4" w:space="0" w:color="auto"/>
              <w:left w:val="single" w:sz="4" w:space="0" w:color="auto"/>
              <w:bottom w:val="single" w:sz="4" w:space="0" w:color="auto"/>
              <w:right w:val="single" w:sz="4" w:space="0" w:color="auto"/>
            </w:tcBorders>
            <w:shd w:val="clear" w:color="auto" w:fill="FFFFFF"/>
            <w:vAlign w:val="center"/>
          </w:tcPr>
          <w:p w14:paraId="22440DC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0,50</w:t>
            </w:r>
          </w:p>
        </w:tc>
      </w:tr>
    </w:tbl>
    <w:p w14:paraId="3C2988CC" w14:textId="77777777" w:rsidR="00CA27E3" w:rsidRPr="00CA27E3" w:rsidRDefault="00CA27E3" w:rsidP="00CA27E3">
      <w:pPr>
        <w:spacing w:after="160" w:line="360" w:lineRule="auto"/>
        <w:rPr>
          <w:rFonts w:ascii="Sylfaen" w:hAnsi="Sylfaen"/>
        </w:rPr>
      </w:pPr>
    </w:p>
    <w:p w14:paraId="2071CBC9"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8.</w:t>
      </w:r>
      <w:r w:rsidR="00C764C7">
        <w:rPr>
          <w:rFonts w:ascii="Sylfaen" w:hAnsi="Sylfaen"/>
          <w:sz w:val="24"/>
          <w:szCs w:val="24"/>
        </w:rPr>
        <w:tab/>
      </w:r>
      <w:r w:rsidRPr="00CA27E3">
        <w:rPr>
          <w:rFonts w:ascii="Sylfaen" w:hAnsi="Sylfaen"/>
          <w:sz w:val="24"/>
          <w:szCs w:val="24"/>
        </w:rPr>
        <w:t xml:space="preserve">Հեռուստացույցի մոնիտորները </w:t>
      </w:r>
      <w:r>
        <w:rPr>
          <w:rFonts w:ascii="Sylfaen" w:hAnsi="Sylfaen"/>
          <w:sz w:val="24"/>
          <w:szCs w:val="24"/>
        </w:rPr>
        <w:t>եւ</w:t>
      </w:r>
      <w:r w:rsidRPr="00CA27E3">
        <w:rPr>
          <w:rFonts w:ascii="Sylfaen" w:hAnsi="Sylfaen"/>
          <w:sz w:val="24"/>
          <w:szCs w:val="24"/>
        </w:rPr>
        <w:t xml:space="preserve"> հեռուստատեսային ընդունիչների՝ առանձին մատակարարվող լրացուցիչ ապարատները պետք է համապատասխանեն սույն պահանջների 6-րդ </w:t>
      </w:r>
      <w:r>
        <w:rPr>
          <w:rFonts w:ascii="Sylfaen" w:hAnsi="Sylfaen"/>
          <w:sz w:val="24"/>
          <w:szCs w:val="24"/>
        </w:rPr>
        <w:t>եւ</w:t>
      </w:r>
      <w:r w:rsidRPr="00CA27E3">
        <w:rPr>
          <w:rFonts w:ascii="Sylfaen" w:hAnsi="Sylfaen"/>
          <w:sz w:val="24"/>
          <w:szCs w:val="24"/>
        </w:rPr>
        <w:t xml:space="preserve"> 7-դ կետերում նշված՝ սպառվող հզորությանը ներկայացվող պահանջներին։</w:t>
      </w:r>
    </w:p>
    <w:p w14:paraId="48A3910C"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9.</w:t>
      </w:r>
      <w:r w:rsidR="00C764C7">
        <w:rPr>
          <w:rFonts w:ascii="Sylfaen" w:hAnsi="Sylfaen"/>
          <w:sz w:val="24"/>
          <w:szCs w:val="24"/>
        </w:rPr>
        <w:tab/>
      </w:r>
      <w:r w:rsidRPr="00CA27E3">
        <w:rPr>
          <w:rFonts w:ascii="Sylfaen" w:hAnsi="Sylfaen"/>
          <w:sz w:val="24"/>
          <w:szCs w:val="24"/>
        </w:rPr>
        <w:t>Պատկերման ռեժիմների նախադրված համալարումներով մենյու ունեցող հեռուստացույցները սկզբնական ակտիվացման դեպքում պետք է ապահովեն աշխատանքը տնային ռեժիմում, որը պետք է լինի սկզբնադրված։</w:t>
      </w:r>
    </w:p>
    <w:p w14:paraId="46004796"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Եթե օգտագործողն ընտրում է տնային ռեժիմից տարբեր ռեժիմ, ապա պետք է նախատեսված լինի ռեժիմը հաստատելու հնարավորություն։</w:t>
      </w:r>
    </w:p>
    <w:p w14:paraId="13C7113F"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10.</w:t>
      </w:r>
      <w:r w:rsidR="00C764C7">
        <w:rPr>
          <w:rFonts w:ascii="Sylfaen" w:hAnsi="Sylfaen"/>
          <w:sz w:val="24"/>
          <w:szCs w:val="24"/>
        </w:rPr>
        <w:tab/>
      </w:r>
      <w:r w:rsidRPr="00CA27E3">
        <w:rPr>
          <w:rFonts w:ascii="Sylfaen" w:hAnsi="Sylfaen"/>
          <w:sz w:val="24"/>
          <w:szCs w:val="24"/>
        </w:rPr>
        <w:t>Աշխատանքի ռեժիմում հեռուստացույցների սպառվող հզորության չափումն իրականացվում է հետ</w:t>
      </w:r>
      <w:r>
        <w:rPr>
          <w:rFonts w:ascii="Sylfaen" w:hAnsi="Sylfaen"/>
          <w:sz w:val="24"/>
          <w:szCs w:val="24"/>
        </w:rPr>
        <w:t>եւ</w:t>
      </w:r>
      <w:r w:rsidRPr="00CA27E3">
        <w:rPr>
          <w:rFonts w:ascii="Sylfaen" w:hAnsi="Sylfaen"/>
          <w:sz w:val="24"/>
          <w:szCs w:val="24"/>
        </w:rPr>
        <w:t>յալ պայմանների պահպանմամբ՝</w:t>
      </w:r>
    </w:p>
    <w:p w14:paraId="56ED69DD"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C764C7">
        <w:rPr>
          <w:rFonts w:ascii="Sylfaen" w:hAnsi="Sylfaen"/>
          <w:sz w:val="24"/>
          <w:szCs w:val="24"/>
        </w:rPr>
        <w:tab/>
      </w:r>
      <w:r w:rsidRPr="00CA27E3">
        <w:rPr>
          <w:rFonts w:ascii="Sylfaen" w:hAnsi="Sylfaen"/>
          <w:sz w:val="24"/>
          <w:szCs w:val="24"/>
        </w:rPr>
        <w:t xml:space="preserve">պատկերման ռեժիմների նախադրված համալարումներով մենյու չունեցող հեռուստացույցների համար պայծառության </w:t>
      </w:r>
      <w:r>
        <w:rPr>
          <w:rFonts w:ascii="Sylfaen" w:hAnsi="Sylfaen"/>
          <w:sz w:val="24"/>
          <w:szCs w:val="24"/>
        </w:rPr>
        <w:t>եւ</w:t>
      </w:r>
      <w:r w:rsidRPr="00CA27E3">
        <w:rPr>
          <w:rFonts w:ascii="Sylfaen" w:hAnsi="Sylfaen"/>
          <w:sz w:val="24"/>
          <w:szCs w:val="24"/>
        </w:rPr>
        <w:t xml:space="preserve"> ցայտունության </w:t>
      </w:r>
      <w:r w:rsidRPr="00CA27E3">
        <w:rPr>
          <w:rFonts w:ascii="Sylfaen" w:hAnsi="Sylfaen"/>
          <w:sz w:val="24"/>
          <w:szCs w:val="24"/>
        </w:rPr>
        <w:lastRenderedPageBreak/>
        <w:t xml:space="preserve">կարգավորիչները սահմանվում են սույն պահանջների 12-րդ </w:t>
      </w:r>
      <w:r w:rsidR="00C764C7">
        <w:rPr>
          <w:rFonts w:ascii="Sylfaen" w:hAnsi="Sylfaen"/>
          <w:sz w:val="24"/>
          <w:szCs w:val="24"/>
        </w:rPr>
        <w:t>կետի «գ» ենթակետին համապատասխան</w:t>
      </w:r>
    </w:p>
    <w:p w14:paraId="6D03242A"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C764C7">
        <w:rPr>
          <w:rFonts w:ascii="Sylfaen" w:hAnsi="Sylfaen"/>
          <w:sz w:val="24"/>
          <w:szCs w:val="24"/>
        </w:rPr>
        <w:tab/>
      </w:r>
      <w:r w:rsidRPr="00CA27E3">
        <w:rPr>
          <w:rFonts w:ascii="Sylfaen" w:hAnsi="Sylfaen"/>
          <w:sz w:val="24"/>
          <w:szCs w:val="24"/>
        </w:rPr>
        <w:t xml:space="preserve">պատկերման ռեժիմների նախադրված համալարումներով մենյու ունեցող հեռուստացույցների համար սահմանվում է չափման ռեժիմ՝ սույն փաստաթղթի 12-րդ </w:t>
      </w:r>
      <w:r w:rsidR="00C764C7">
        <w:rPr>
          <w:rFonts w:ascii="Sylfaen" w:hAnsi="Sylfaen"/>
          <w:sz w:val="24"/>
          <w:szCs w:val="24"/>
        </w:rPr>
        <w:t>կետի «բ» ենթակետին համապատասխան</w:t>
      </w:r>
    </w:p>
    <w:p w14:paraId="2C8F5A24"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C764C7">
        <w:rPr>
          <w:rFonts w:ascii="Sylfaen" w:hAnsi="Sylfaen"/>
          <w:sz w:val="24"/>
          <w:szCs w:val="24"/>
        </w:rPr>
        <w:tab/>
      </w:r>
      <w:r w:rsidRPr="00CA27E3">
        <w:rPr>
          <w:rFonts w:ascii="Sylfaen" w:hAnsi="Sylfaen"/>
          <w:sz w:val="24"/>
          <w:szCs w:val="24"/>
        </w:rPr>
        <w:t>հեռուստացույցի մոնիտորը պետք է միացված լինի համապատասխան թյուներին, որի սպառվող հզորությունը չպետք է հեռուստացույցի մոնիտորի սպառվող հզորությունը չափելիս հաշվի առնվի.</w:t>
      </w:r>
    </w:p>
    <w:p w14:paraId="1281ECB9"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դ)</w:t>
      </w:r>
      <w:r w:rsidR="00C764C7">
        <w:rPr>
          <w:rFonts w:ascii="Sylfaen" w:hAnsi="Sylfaen"/>
          <w:sz w:val="24"/>
          <w:szCs w:val="24"/>
        </w:rPr>
        <w:tab/>
      </w:r>
      <w:r w:rsidRPr="00CA27E3">
        <w:rPr>
          <w:rFonts w:ascii="Sylfaen" w:hAnsi="Sylfaen"/>
          <w:sz w:val="24"/>
          <w:szCs w:val="24"/>
        </w:rPr>
        <w:t xml:space="preserve">հեռուստատեսային ընդունիչի մուտքի վրա մատուցվում է հեռուստատեսային լրիվ ազդանշան, որը մոդուլացվում է «սպիտակ դաշտ» տեսաազդանշանով </w:t>
      </w:r>
      <w:r>
        <w:rPr>
          <w:rFonts w:ascii="Sylfaen" w:hAnsi="Sylfaen"/>
          <w:sz w:val="24"/>
          <w:szCs w:val="24"/>
        </w:rPr>
        <w:t>եւ</w:t>
      </w:r>
      <w:r w:rsidRPr="00CA27E3">
        <w:rPr>
          <w:rFonts w:ascii="Sylfaen" w:hAnsi="Sylfaen"/>
          <w:sz w:val="24"/>
          <w:szCs w:val="24"/>
        </w:rPr>
        <w:t xml:space="preserve"> ±27 կՀց շեղմամբ 1000 Հց ձայնային հաճախականության ազդանշանով։ Բարձրախոսների սեղմակների վրա հեռուստատեսային ընդունիչի բարձրության կարգավորիչով սահմանվում է 50 մՎտ հզ</w:t>
      </w:r>
      <w:r w:rsidR="00C764C7">
        <w:rPr>
          <w:rFonts w:ascii="Sylfaen" w:hAnsi="Sylfaen"/>
          <w:sz w:val="24"/>
          <w:szCs w:val="24"/>
        </w:rPr>
        <w:t>որությանը համապատասխանող լարում</w:t>
      </w:r>
    </w:p>
    <w:p w14:paraId="1D63404A"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ե)</w:t>
      </w:r>
      <w:r w:rsidR="00C764C7">
        <w:rPr>
          <w:rFonts w:ascii="Sylfaen" w:hAnsi="Sylfaen"/>
          <w:sz w:val="24"/>
          <w:szCs w:val="24"/>
        </w:rPr>
        <w:tab/>
      </w:r>
      <w:r w:rsidRPr="00CA27E3">
        <w:rPr>
          <w:rFonts w:ascii="Sylfaen" w:hAnsi="Sylfaen"/>
          <w:sz w:val="24"/>
          <w:szCs w:val="24"/>
        </w:rPr>
        <w:t>հեռուստացույցի մոնիտորի աուդիոմուտքի վրա տրվում է 0,5 Վ լարմամբ՝ 1000 Հց ձայնային հաճախականության ազդանշան։ Բարձրախոսների սեղմակների վրա հեռուստացույցի մոնիտորի բարձրության կարգավորիչով սահմանվում է 50 մՎտ հզորությանը համապատասխանող լարում․</w:t>
      </w:r>
    </w:p>
    <w:p w14:paraId="03A60A83"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զ)</w:t>
      </w:r>
      <w:r w:rsidR="00C764C7">
        <w:rPr>
          <w:rFonts w:ascii="Sylfaen" w:hAnsi="Sylfaen"/>
          <w:sz w:val="24"/>
          <w:szCs w:val="24"/>
        </w:rPr>
        <w:tab/>
      </w:r>
      <w:r w:rsidRPr="00CA27E3">
        <w:rPr>
          <w:rFonts w:ascii="Sylfaen" w:hAnsi="Sylfaen"/>
          <w:sz w:val="24"/>
          <w:szCs w:val="24"/>
        </w:rPr>
        <w:t>սպառվող հզորությունը չափելու ժամանակ հեռուստացույցի բարձրության կարգավորի</w:t>
      </w:r>
      <w:r w:rsidR="00C764C7">
        <w:rPr>
          <w:rFonts w:ascii="Sylfaen" w:hAnsi="Sylfaen"/>
          <w:sz w:val="24"/>
          <w:szCs w:val="24"/>
        </w:rPr>
        <w:t>չը պետք է լինի սահմանված դիրքով</w:t>
      </w:r>
    </w:p>
    <w:p w14:paraId="13EDFCD7"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է)</w:t>
      </w:r>
      <w:r w:rsidR="00C764C7">
        <w:rPr>
          <w:rFonts w:ascii="Sylfaen" w:hAnsi="Sylfaen"/>
          <w:sz w:val="24"/>
          <w:szCs w:val="24"/>
        </w:rPr>
        <w:tab/>
      </w:r>
      <w:r w:rsidRPr="00CA27E3">
        <w:rPr>
          <w:rFonts w:ascii="Sylfaen" w:hAnsi="Sylfaen"/>
          <w:sz w:val="24"/>
          <w:szCs w:val="24"/>
        </w:rPr>
        <w:t>չափումները պետք է անցկացվեն՝</w:t>
      </w:r>
    </w:p>
    <w:p w14:paraId="2C096EE4"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շրջակա միջավայրի 23 ± 5 °C ջերմաստիճանում,</w:t>
      </w:r>
    </w:p>
    <w:p w14:paraId="00EFEFCF"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հեռուստացույցի մուտքի վրա հեռարձակող հեռուստատեսության դինամիկական հեռուստատեսային ազդանշանի մատուցման դեպքում,</w:t>
      </w:r>
    </w:p>
    <w:p w14:paraId="0FCF768C"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հեռուստացույցի պայծառության, ցայտունության, բարձրության կարգավորիչների դիրքերի դեպքու</w:t>
      </w:r>
      <w:r w:rsidR="00C764C7">
        <w:rPr>
          <w:rFonts w:ascii="Sylfaen" w:hAnsi="Sylfaen"/>
          <w:sz w:val="24"/>
          <w:szCs w:val="24"/>
        </w:rPr>
        <w:t>մ՝ սույն կետի «ա», «բ», «դ»-«զ»</w:t>
      </w:r>
    </w:p>
    <w:p w14:paraId="2503A1FE"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ը)</w:t>
      </w:r>
      <w:r w:rsidR="00C764C7">
        <w:rPr>
          <w:rFonts w:ascii="Sylfaen" w:hAnsi="Sylfaen"/>
          <w:sz w:val="24"/>
          <w:szCs w:val="24"/>
        </w:rPr>
        <w:tab/>
      </w:r>
      <w:r w:rsidRPr="00CA27E3">
        <w:rPr>
          <w:rFonts w:ascii="Sylfaen" w:hAnsi="Sylfaen"/>
          <w:sz w:val="24"/>
          <w:szCs w:val="24"/>
        </w:rPr>
        <w:t>սպառվող միջին հզորությունը պետք է չափվի 10 րոպեի ընթացքում,</w:t>
      </w:r>
    </w:p>
    <w:p w14:paraId="176A570B" w14:textId="77777777" w:rsidR="00CA27E3" w:rsidRPr="00C764C7" w:rsidRDefault="00CA27E3" w:rsidP="00CA27E3">
      <w:pPr>
        <w:pStyle w:val="BodyText1"/>
        <w:shd w:val="clear" w:color="auto" w:fill="auto"/>
        <w:spacing w:after="160"/>
        <w:ind w:firstLine="567"/>
        <w:jc w:val="both"/>
        <w:rPr>
          <w:rFonts w:ascii="Sylfaen" w:hAnsi="Sylfaen"/>
          <w:spacing w:val="-4"/>
          <w:sz w:val="24"/>
          <w:szCs w:val="24"/>
        </w:rPr>
      </w:pPr>
      <w:r w:rsidRPr="00CA27E3">
        <w:rPr>
          <w:rFonts w:ascii="Sylfaen" w:hAnsi="Sylfaen"/>
          <w:sz w:val="24"/>
          <w:szCs w:val="24"/>
        </w:rPr>
        <w:t xml:space="preserve">այն բանից հետո, երբ հեռուստացույցն առնվազն 1 ժամ գտնվել է սպասման </w:t>
      </w:r>
      <w:r w:rsidRPr="00C764C7">
        <w:rPr>
          <w:rFonts w:ascii="Sylfaen" w:hAnsi="Sylfaen"/>
          <w:spacing w:val="-6"/>
          <w:sz w:val="24"/>
          <w:szCs w:val="24"/>
        </w:rPr>
        <w:t>ռեժիմում, իսկ հետո՝ առնվազն 1 ժամ՝ աշխատանքի ռեժիմում։ Չափումները պետք է անցկացվեն նախքան հեռուստացույցի՝ աշխատանքի ռեժիմում առավելագույնը 3</w:t>
      </w:r>
      <w:r w:rsidRPr="00CA27E3">
        <w:rPr>
          <w:rFonts w:ascii="Sylfaen" w:hAnsi="Sylfaen"/>
          <w:sz w:val="24"/>
          <w:szCs w:val="24"/>
        </w:rPr>
        <w:t xml:space="preserve"> ժամ գտնվելու պահը։ Հեռուստացույցի՝ աշխատանքի ռեժիմում գտնվելու ժամանակ էկրանին պետք է արտացոլվի մատուցվող հեռուստատեսային ազդանշանը։ Այն</w:t>
      </w:r>
      <w:r w:rsidR="00C764C7">
        <w:rPr>
          <w:rFonts w:ascii="Sylfaen" w:hAnsi="Sylfaen"/>
          <w:sz w:val="24"/>
          <w:szCs w:val="24"/>
        </w:rPr>
        <w:t> </w:t>
      </w:r>
      <w:r w:rsidRPr="00CA27E3">
        <w:rPr>
          <w:rFonts w:ascii="Sylfaen" w:hAnsi="Sylfaen"/>
          <w:sz w:val="24"/>
          <w:szCs w:val="24"/>
        </w:rPr>
        <w:t xml:space="preserve">հեռուստացույցների համար, որոնց կայունացման ժամանակը 1 ժամից </w:t>
      </w:r>
      <w:r w:rsidRPr="00C764C7">
        <w:rPr>
          <w:rFonts w:ascii="Sylfaen" w:hAnsi="Sylfaen"/>
          <w:spacing w:val="-4"/>
          <w:sz w:val="24"/>
          <w:szCs w:val="24"/>
        </w:rPr>
        <w:t>պակաս է, սպառվող հզորության չափման տեւողությունը կարող է կրճատվել, եթե չափումների արդյունքների ստացված արժեքները նշված մեթոդիկայի համաձայն ստացված չափումների արդյունքների արժեքներից չտարբերվեն ավելի, քան</w:t>
      </w:r>
      <w:r w:rsidR="00C764C7" w:rsidRPr="00C764C7">
        <w:rPr>
          <w:rFonts w:ascii="Sylfaen" w:hAnsi="Sylfaen"/>
          <w:spacing w:val="-4"/>
          <w:sz w:val="24"/>
          <w:szCs w:val="24"/>
        </w:rPr>
        <w:t xml:space="preserve"> 2 %-ով</w:t>
      </w:r>
    </w:p>
    <w:p w14:paraId="659A00F2"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 xml:space="preserve">առանց պայծառության ավտոմատ կարգավորման ֆունկցիան </w:t>
      </w:r>
      <w:r w:rsidRPr="00C764C7">
        <w:rPr>
          <w:rFonts w:ascii="Sylfaen" w:hAnsi="Sylfaen"/>
          <w:spacing w:val="-4"/>
          <w:sz w:val="24"/>
          <w:szCs w:val="24"/>
        </w:rPr>
        <w:t>ակտիվացնելու (դրա առկայության դեպքում)։ Եթե նման ֆունկցիա նախատեսված է եւ այն</w:t>
      </w:r>
      <w:r w:rsidRPr="00CA27E3">
        <w:rPr>
          <w:rFonts w:ascii="Sylfaen" w:hAnsi="Sylfaen"/>
          <w:sz w:val="24"/>
          <w:szCs w:val="24"/>
        </w:rPr>
        <w:t xml:space="preserve"> չի կարող անջատվել, չափումներն անցկացվում են լույսի միացված արտաքին աղբյուրի առկայությամբ, որն անմիջապես արտաքին լուսավորվածության տվիչի վրա ստեղծում է առնվազն 300 լք լուսավորվածության մակարդակ։ Սպառվող հզորության միջին արժեքը չպետք է գերազանցի սույն պահանջների 5-րդ կետով սահմանված արժեքները՝ հաշվի առնելով սույն կետի «է» ենթակետում նշված թույլատրելի շեղումը։</w:t>
      </w:r>
    </w:p>
    <w:p w14:paraId="60233218"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11.</w:t>
      </w:r>
      <w:r w:rsidR="00C764C7">
        <w:rPr>
          <w:rFonts w:ascii="Sylfaen" w:hAnsi="Sylfaen"/>
          <w:sz w:val="24"/>
          <w:szCs w:val="24"/>
        </w:rPr>
        <w:tab/>
      </w:r>
      <w:r w:rsidRPr="00CA27E3">
        <w:rPr>
          <w:rFonts w:ascii="Sylfaen" w:hAnsi="Sylfaen"/>
          <w:sz w:val="24"/>
          <w:szCs w:val="24"/>
        </w:rPr>
        <w:t xml:space="preserve">Սպասման ռեժիմում </w:t>
      </w:r>
      <w:r>
        <w:rPr>
          <w:rFonts w:ascii="Sylfaen" w:hAnsi="Sylfaen"/>
          <w:sz w:val="24"/>
          <w:szCs w:val="24"/>
        </w:rPr>
        <w:t>եւ</w:t>
      </w:r>
      <w:r w:rsidRPr="00CA27E3">
        <w:rPr>
          <w:rFonts w:ascii="Sylfaen" w:hAnsi="Sylfaen"/>
          <w:sz w:val="24"/>
          <w:szCs w:val="24"/>
        </w:rPr>
        <w:t xml:space="preserve"> անջատման ռեժիմում հեռուստացույցի սպառվող հզորության չափումները պետք է իրականացվեն հետ</w:t>
      </w:r>
      <w:r>
        <w:rPr>
          <w:rFonts w:ascii="Sylfaen" w:hAnsi="Sylfaen"/>
          <w:sz w:val="24"/>
          <w:szCs w:val="24"/>
        </w:rPr>
        <w:t>եւ</w:t>
      </w:r>
      <w:r w:rsidRPr="00CA27E3">
        <w:rPr>
          <w:rFonts w:ascii="Sylfaen" w:hAnsi="Sylfaen"/>
          <w:sz w:val="24"/>
          <w:szCs w:val="24"/>
        </w:rPr>
        <w:t>յալ պայմանների պահպանմամբ՝</w:t>
      </w:r>
    </w:p>
    <w:p w14:paraId="4145B3B6"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C764C7">
        <w:rPr>
          <w:rFonts w:ascii="Sylfaen" w:hAnsi="Sylfaen"/>
          <w:sz w:val="24"/>
          <w:szCs w:val="24"/>
        </w:rPr>
        <w:tab/>
      </w:r>
      <w:r w:rsidRPr="00CA27E3">
        <w:rPr>
          <w:rFonts w:ascii="Sylfaen" w:hAnsi="Sylfaen"/>
          <w:sz w:val="24"/>
          <w:szCs w:val="24"/>
        </w:rPr>
        <w:t xml:space="preserve">0,50 Վտ </w:t>
      </w:r>
      <w:r>
        <w:rPr>
          <w:rFonts w:ascii="Sylfaen" w:hAnsi="Sylfaen"/>
          <w:sz w:val="24"/>
          <w:szCs w:val="24"/>
        </w:rPr>
        <w:t>եւ</w:t>
      </w:r>
      <w:r w:rsidRPr="00CA27E3">
        <w:rPr>
          <w:rFonts w:ascii="Sylfaen" w:hAnsi="Sylfaen"/>
          <w:sz w:val="24"/>
          <w:szCs w:val="24"/>
        </w:rPr>
        <w:t xml:space="preserve"> ավելի հզորության դեպքում չափումները կատարվում են 2 % կամ դրանից պակաս անորոշությամբ՝ 95 % վստահության մակարդակի պարագայո</w:t>
      </w:r>
      <w:r w:rsidR="00C764C7">
        <w:rPr>
          <w:rFonts w:ascii="Sylfaen" w:hAnsi="Sylfaen"/>
          <w:sz w:val="24"/>
          <w:szCs w:val="24"/>
        </w:rPr>
        <w:t>ւմ</w:t>
      </w:r>
    </w:p>
    <w:p w14:paraId="2A0C23A9"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C764C7">
        <w:rPr>
          <w:rFonts w:ascii="Sylfaen" w:hAnsi="Sylfaen"/>
          <w:sz w:val="24"/>
          <w:szCs w:val="24"/>
        </w:rPr>
        <w:tab/>
      </w:r>
      <w:r w:rsidRPr="00CA27E3">
        <w:rPr>
          <w:rFonts w:ascii="Sylfaen" w:hAnsi="Sylfaen"/>
          <w:sz w:val="24"/>
          <w:szCs w:val="24"/>
        </w:rPr>
        <w:t>0,50 Վտ-ից պակաս հզորության դեպքում չափումները կատարվում են 0,01 Վտ կամ դրանից պակաս անորոշությամբ՝ 95 % վ</w:t>
      </w:r>
      <w:r w:rsidR="00C764C7">
        <w:rPr>
          <w:rFonts w:ascii="Sylfaen" w:hAnsi="Sylfaen"/>
          <w:sz w:val="24"/>
          <w:szCs w:val="24"/>
        </w:rPr>
        <w:t>ստահության մակարդակի պարագայում</w:t>
      </w:r>
    </w:p>
    <w:p w14:paraId="2EC0DC5E"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գ)</w:t>
      </w:r>
      <w:r w:rsidR="00C764C7">
        <w:rPr>
          <w:rFonts w:ascii="Sylfaen" w:hAnsi="Sylfaen"/>
          <w:sz w:val="24"/>
          <w:szCs w:val="24"/>
        </w:rPr>
        <w:tab/>
      </w:r>
      <w:r w:rsidRPr="00CA27E3">
        <w:rPr>
          <w:rFonts w:ascii="Sylfaen" w:hAnsi="Sylfaen"/>
          <w:sz w:val="24"/>
          <w:szCs w:val="24"/>
        </w:rPr>
        <w:t xml:space="preserve">սպառվող հզորության չափված արժեքները պետք է համապատասխանեն սույն պահանջների 2-րդ </w:t>
      </w:r>
      <w:r>
        <w:rPr>
          <w:rFonts w:ascii="Sylfaen" w:hAnsi="Sylfaen"/>
          <w:sz w:val="24"/>
          <w:szCs w:val="24"/>
        </w:rPr>
        <w:t>եւ</w:t>
      </w:r>
      <w:r w:rsidRPr="00CA27E3">
        <w:rPr>
          <w:rFonts w:ascii="Sylfaen" w:hAnsi="Sylfaen"/>
          <w:sz w:val="24"/>
          <w:szCs w:val="24"/>
        </w:rPr>
        <w:t xml:space="preserve"> 3-րդ աղյուսակներում նշված արժեքներին՝ հաշվի առնելով սույն պահանջների 10-րդ կետի «ը» ենթակետում նշված թույլատրելի շեղումը։</w:t>
      </w:r>
    </w:p>
    <w:p w14:paraId="37D2D10C"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12.</w:t>
      </w:r>
      <w:r w:rsidR="00C764C7">
        <w:rPr>
          <w:rFonts w:ascii="Sylfaen" w:hAnsi="Sylfaen"/>
          <w:sz w:val="24"/>
          <w:szCs w:val="24"/>
        </w:rPr>
        <w:tab/>
      </w:r>
      <w:r w:rsidRPr="00CA27E3">
        <w:rPr>
          <w:rFonts w:ascii="Sylfaen" w:hAnsi="Sylfaen"/>
          <w:sz w:val="24"/>
          <w:szCs w:val="24"/>
        </w:rPr>
        <w:t>Առավելագույն պայծառության չափումը պետք է իրականացվի հետ</w:t>
      </w:r>
      <w:r>
        <w:rPr>
          <w:rFonts w:ascii="Sylfaen" w:hAnsi="Sylfaen"/>
          <w:sz w:val="24"/>
          <w:szCs w:val="24"/>
        </w:rPr>
        <w:t>եւ</w:t>
      </w:r>
      <w:r w:rsidRPr="00CA27E3">
        <w:rPr>
          <w:rFonts w:ascii="Sylfaen" w:hAnsi="Sylfaen"/>
          <w:sz w:val="24"/>
          <w:szCs w:val="24"/>
        </w:rPr>
        <w:t>յալ պայմանների պահպանմամբ՝</w:t>
      </w:r>
    </w:p>
    <w:p w14:paraId="2DAA9D77"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C764C7">
        <w:rPr>
          <w:rFonts w:ascii="Sylfaen" w:hAnsi="Sylfaen"/>
          <w:sz w:val="24"/>
          <w:szCs w:val="24"/>
        </w:rPr>
        <w:tab/>
      </w:r>
      <w:r w:rsidRPr="00CA27E3">
        <w:rPr>
          <w:rFonts w:ascii="Sylfaen" w:hAnsi="Sylfaen"/>
          <w:sz w:val="24"/>
          <w:szCs w:val="24"/>
        </w:rPr>
        <w:t xml:space="preserve">«Օգտագործող» ռեժիմում առավելագույն պայծառության արժեքը որոշելու համար հեռուստացույցի մուտքի վրա մատուցվում է «սպիտակ դաշտ» ազդանշանը։ Հեռուստացույցի ցայտունության </w:t>
      </w:r>
      <w:r>
        <w:rPr>
          <w:rFonts w:ascii="Sylfaen" w:hAnsi="Sylfaen"/>
          <w:sz w:val="24"/>
          <w:szCs w:val="24"/>
        </w:rPr>
        <w:t>եւ</w:t>
      </w:r>
      <w:r w:rsidRPr="00CA27E3">
        <w:rPr>
          <w:rFonts w:ascii="Sylfaen" w:hAnsi="Sylfaen"/>
          <w:sz w:val="24"/>
          <w:szCs w:val="24"/>
        </w:rPr>
        <w:t xml:space="preserve"> պայծառության կարգավորիչները սահմանվում են առավելագույն դիրքի վրա։ Պայծառաչափով չափվում է պայծառությունը՝ հեռուստացույցի էկրանի կենտրոնում։ Այս կերպ չափված արժեքն էլ կլինի հեռուստացու</w:t>
      </w:r>
      <w:r w:rsidR="00C764C7">
        <w:rPr>
          <w:rFonts w:ascii="Sylfaen" w:hAnsi="Sylfaen"/>
          <w:sz w:val="24"/>
          <w:szCs w:val="24"/>
        </w:rPr>
        <w:t>յցի առավելագույն պայծառությունը</w:t>
      </w:r>
    </w:p>
    <w:p w14:paraId="0567AB7C"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C764C7">
        <w:rPr>
          <w:rFonts w:ascii="Sylfaen" w:hAnsi="Sylfaen"/>
          <w:sz w:val="24"/>
          <w:szCs w:val="24"/>
        </w:rPr>
        <w:tab/>
      </w:r>
      <w:r w:rsidRPr="00CA27E3">
        <w:rPr>
          <w:rFonts w:ascii="Sylfaen" w:hAnsi="Sylfaen"/>
          <w:sz w:val="24"/>
          <w:szCs w:val="24"/>
        </w:rPr>
        <w:t>պատկերման ռեժիմների նախադրված համալարումներով մենյու ունեցող հեռուստացույցների համար պետք է ընտրվի այնպիսի ռեժիմ, որի դեպքում հեռուստացույցի էկրանի կենտրոնում պայծառությունը կկազմի առավելագույն պայծառության առնվազն 65 %-ը։ Այդ ռեժիմը պետք է սահման</w:t>
      </w:r>
      <w:r w:rsidR="00C764C7">
        <w:rPr>
          <w:rFonts w:ascii="Sylfaen" w:hAnsi="Sylfaen"/>
          <w:sz w:val="24"/>
          <w:szCs w:val="24"/>
        </w:rPr>
        <w:t>վի սպառվող հզորությունը չափելիս</w:t>
      </w:r>
    </w:p>
    <w:p w14:paraId="752A71EF"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C764C7">
        <w:rPr>
          <w:rFonts w:ascii="Sylfaen" w:hAnsi="Sylfaen"/>
          <w:sz w:val="24"/>
          <w:szCs w:val="24"/>
        </w:rPr>
        <w:tab/>
      </w:r>
      <w:r w:rsidRPr="00CA27E3">
        <w:rPr>
          <w:rFonts w:ascii="Sylfaen" w:hAnsi="Sylfaen"/>
          <w:sz w:val="24"/>
          <w:szCs w:val="24"/>
        </w:rPr>
        <w:t xml:space="preserve">պատկերման ռեժիմների նախադրված համալարումներով մենյու չունեցող հեռուստացույցների համար դրանց էկրանների կենտրոնում պայծառության </w:t>
      </w:r>
      <w:r>
        <w:rPr>
          <w:rFonts w:ascii="Sylfaen" w:hAnsi="Sylfaen"/>
          <w:sz w:val="24"/>
          <w:szCs w:val="24"/>
        </w:rPr>
        <w:t>եւ</w:t>
      </w:r>
      <w:r w:rsidRPr="00CA27E3">
        <w:rPr>
          <w:rFonts w:ascii="Sylfaen" w:hAnsi="Sylfaen"/>
          <w:sz w:val="24"/>
          <w:szCs w:val="24"/>
        </w:rPr>
        <w:t xml:space="preserve"> ցայտունության կարգավորիչներով սահմանվում է պայծառություն՝ առավելագույն պայծառության առնվազն 65 %-ը։</w:t>
      </w:r>
    </w:p>
    <w:p w14:paraId="7861DF5F" w14:textId="77777777" w:rsidR="00CA27E3" w:rsidRPr="00CA27E3" w:rsidRDefault="00CA27E3" w:rsidP="00C764C7">
      <w:pPr>
        <w:pStyle w:val="BodyText1"/>
        <w:shd w:val="clear" w:color="auto" w:fill="auto"/>
        <w:tabs>
          <w:tab w:val="left" w:pos="1134"/>
          <w:tab w:val="left" w:pos="7655"/>
        </w:tabs>
        <w:spacing w:after="160"/>
        <w:ind w:firstLine="567"/>
        <w:jc w:val="both"/>
        <w:rPr>
          <w:rFonts w:ascii="Sylfaen" w:hAnsi="Sylfaen"/>
          <w:sz w:val="24"/>
          <w:szCs w:val="24"/>
        </w:rPr>
      </w:pPr>
      <w:r w:rsidRPr="00C764C7">
        <w:rPr>
          <w:rFonts w:ascii="Sylfaen" w:hAnsi="Sylfaen"/>
          <w:spacing w:val="-6"/>
          <w:sz w:val="24"/>
          <w:szCs w:val="24"/>
        </w:rPr>
        <w:t>13.</w:t>
      </w:r>
      <w:r w:rsidR="00C764C7" w:rsidRPr="00C764C7">
        <w:rPr>
          <w:rFonts w:ascii="Sylfaen" w:hAnsi="Sylfaen"/>
          <w:spacing w:val="-6"/>
          <w:sz w:val="24"/>
          <w:szCs w:val="24"/>
        </w:rPr>
        <w:tab/>
      </w:r>
      <w:r w:rsidRPr="00C764C7">
        <w:rPr>
          <w:rFonts w:ascii="Sylfaen" w:hAnsi="Sylfaen"/>
          <w:spacing w:val="-6"/>
          <w:sz w:val="24"/>
          <w:szCs w:val="24"/>
        </w:rPr>
        <w:t>Հեռուստացույցներին կցվող՝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C764C7" w:rsidRPr="00C764C7">
        <w:rPr>
          <w:rFonts w:ascii="Sylfaen" w:hAnsi="Sylfaen"/>
          <w:spacing w:val="-6"/>
          <w:sz w:val="24"/>
          <w:szCs w:val="24"/>
        </w:rPr>
        <w:tab/>
      </w:r>
      <w:r w:rsidRPr="00C764C7">
        <w:rPr>
          <w:rFonts w:ascii="Sylfaen" w:hAnsi="Sylfaen"/>
          <w:spacing w:val="-6"/>
          <w:sz w:val="24"/>
          <w:szCs w:val="24"/>
        </w:rPr>
        <w:t>/20</w:t>
      </w:r>
      <w:r w:rsidR="00C764C7">
        <w:rPr>
          <w:rFonts w:ascii="Sylfaen" w:hAnsi="Sylfaen"/>
          <w:spacing w:val="-6"/>
          <w:sz w:val="24"/>
          <w:szCs w:val="24"/>
        </w:rPr>
        <w:tab/>
      </w:r>
      <w:r w:rsidRPr="00C764C7">
        <w:rPr>
          <w:rFonts w:ascii="Sylfaen" w:hAnsi="Sylfaen"/>
          <w:spacing w:val="-6"/>
          <w:sz w:val="24"/>
          <w:szCs w:val="24"/>
        </w:rPr>
        <w:t>) (այսուհետ՝ տեխնիկական կանոնակարգ) 13-րդ կետով նախատեսված շահագործման փաստաթղթերը պետք է պարունակեն դրանց բնութագրերի եւ պարամետրերի մասին հետեւյալ տեղեկությունները</w:t>
      </w:r>
      <w:r w:rsidRPr="00CA27E3">
        <w:rPr>
          <w:rFonts w:ascii="Sylfaen" w:hAnsi="Sylfaen"/>
          <w:sz w:val="24"/>
          <w:szCs w:val="24"/>
        </w:rPr>
        <w:t>՝</w:t>
      </w:r>
    </w:p>
    <w:p w14:paraId="5DC341F6"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ա)</w:t>
      </w:r>
      <w:r w:rsidR="00C764C7">
        <w:rPr>
          <w:rFonts w:ascii="Sylfaen" w:hAnsi="Sylfaen"/>
          <w:sz w:val="24"/>
          <w:szCs w:val="24"/>
        </w:rPr>
        <w:tab/>
      </w:r>
      <w:r w:rsidRPr="00CA27E3">
        <w:rPr>
          <w:rFonts w:ascii="Sylfaen" w:hAnsi="Sylfaen"/>
          <w:sz w:val="24"/>
          <w:szCs w:val="24"/>
        </w:rPr>
        <w:t xml:space="preserve">սպառվող հզորությունը </w:t>
      </w:r>
      <w:r>
        <w:rPr>
          <w:rFonts w:ascii="Sylfaen" w:hAnsi="Sylfaen"/>
          <w:sz w:val="24"/>
          <w:szCs w:val="24"/>
        </w:rPr>
        <w:t>եւ</w:t>
      </w:r>
      <w:r w:rsidRPr="00CA27E3">
        <w:rPr>
          <w:rFonts w:ascii="Sylfaen" w:hAnsi="Sylfaen"/>
          <w:sz w:val="24"/>
          <w:szCs w:val="24"/>
        </w:rPr>
        <w:t xml:space="preserve"> տնային ռեժիմում հեռուստացույցի հզորությունը (Վտ-ով), որոնց արժեքները ներկայացվում են մինչ</w:t>
      </w:r>
      <w:r>
        <w:rPr>
          <w:rFonts w:ascii="Sylfaen" w:hAnsi="Sylfaen"/>
          <w:sz w:val="24"/>
          <w:szCs w:val="24"/>
        </w:rPr>
        <w:t>եւ</w:t>
      </w:r>
      <w:r w:rsidRPr="00CA27E3">
        <w:rPr>
          <w:rFonts w:ascii="Sylfaen" w:hAnsi="Sylfaen"/>
          <w:sz w:val="24"/>
          <w:szCs w:val="24"/>
        </w:rPr>
        <w:t xml:space="preserve"> 1</w:t>
      </w:r>
      <w:r w:rsidR="00C764C7">
        <w:rPr>
          <w:rFonts w:ascii="Sylfaen" w:hAnsi="Sylfaen"/>
          <w:sz w:val="24"/>
          <w:szCs w:val="24"/>
        </w:rPr>
        <w:t> </w:t>
      </w:r>
      <w:r w:rsidRPr="00CA27E3">
        <w:rPr>
          <w:rFonts w:ascii="Sylfaen" w:hAnsi="Sylfaen"/>
          <w:sz w:val="24"/>
          <w:szCs w:val="24"/>
        </w:rPr>
        <w:t>տասնորդական նիշ (100 Վտ չգերազանցող հզորության համար) կամ մինչ</w:t>
      </w:r>
      <w:r>
        <w:rPr>
          <w:rFonts w:ascii="Sylfaen" w:hAnsi="Sylfaen"/>
          <w:sz w:val="24"/>
          <w:szCs w:val="24"/>
        </w:rPr>
        <w:t>եւ</w:t>
      </w:r>
      <w:r w:rsidRPr="00CA27E3">
        <w:rPr>
          <w:rFonts w:ascii="Sylfaen" w:hAnsi="Sylfaen"/>
          <w:sz w:val="24"/>
          <w:szCs w:val="24"/>
        </w:rPr>
        <w:t xml:space="preserve"> ամբողջ թիվ (100 Վտ գերազանց</w:t>
      </w:r>
      <w:r w:rsidR="00C764C7">
        <w:rPr>
          <w:rFonts w:ascii="Sylfaen" w:hAnsi="Sylfaen"/>
          <w:sz w:val="24"/>
          <w:szCs w:val="24"/>
        </w:rPr>
        <w:t>ող հզորության համար) կլորացմամբ</w:t>
      </w:r>
    </w:p>
    <w:p w14:paraId="26C65D59"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C764C7">
        <w:rPr>
          <w:rFonts w:ascii="Sylfaen" w:hAnsi="Sylfaen"/>
          <w:sz w:val="24"/>
          <w:szCs w:val="24"/>
        </w:rPr>
        <w:tab/>
      </w:r>
      <w:r w:rsidRPr="00CA27E3">
        <w:rPr>
          <w:rFonts w:ascii="Sylfaen" w:hAnsi="Sylfaen"/>
          <w:sz w:val="24"/>
          <w:szCs w:val="24"/>
        </w:rPr>
        <w:t xml:space="preserve">սպասման ռեժիմում </w:t>
      </w:r>
      <w:r>
        <w:rPr>
          <w:rFonts w:ascii="Sylfaen" w:hAnsi="Sylfaen"/>
          <w:sz w:val="24"/>
          <w:szCs w:val="24"/>
        </w:rPr>
        <w:t>եւ</w:t>
      </w:r>
      <w:r w:rsidRPr="00CA27E3">
        <w:rPr>
          <w:rFonts w:ascii="Sylfaen" w:hAnsi="Sylfaen"/>
          <w:sz w:val="24"/>
          <w:szCs w:val="24"/>
        </w:rPr>
        <w:t xml:space="preserve"> անջատման ռեժիմում պարամետրերի մասին տեղեկությունները՝</w:t>
      </w:r>
    </w:p>
    <w:p w14:paraId="22F7F726"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սպառվող հզորությունը (Վտ-ով), որի արժեքը ներկայացվում է մինչ</w:t>
      </w:r>
      <w:r>
        <w:rPr>
          <w:rFonts w:ascii="Sylfaen" w:hAnsi="Sylfaen"/>
          <w:sz w:val="24"/>
          <w:szCs w:val="24"/>
        </w:rPr>
        <w:t>եւ</w:t>
      </w:r>
      <w:r w:rsidRPr="00CA27E3">
        <w:rPr>
          <w:rFonts w:ascii="Sylfaen" w:hAnsi="Sylfaen"/>
          <w:sz w:val="24"/>
          <w:szCs w:val="24"/>
        </w:rPr>
        <w:t xml:space="preserve"> 2</w:t>
      </w:r>
      <w:r w:rsidR="00C764C7">
        <w:rPr>
          <w:rFonts w:ascii="Sylfaen" w:hAnsi="Sylfaen"/>
          <w:sz w:val="24"/>
          <w:szCs w:val="24"/>
        </w:rPr>
        <w:t> </w:t>
      </w:r>
      <w:r w:rsidRPr="00CA27E3">
        <w:rPr>
          <w:rFonts w:ascii="Sylfaen" w:hAnsi="Sylfaen"/>
          <w:sz w:val="24"/>
          <w:szCs w:val="24"/>
        </w:rPr>
        <w:t>տասնորդական նիշ կլորացմամբ․</w:t>
      </w:r>
    </w:p>
    <w:p w14:paraId="1DD14227"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հեռուստացույցի աշխատանքի ռեժիմի ընտրության կամ ծրագրավորման եղանակի նկարագրությունը,</w:t>
      </w:r>
    </w:p>
    <w:p w14:paraId="7FE3815F" w14:textId="77777777" w:rsidR="00CA27E3" w:rsidRPr="00CA27E3" w:rsidRDefault="00CA27E3" w:rsidP="00CA27E3">
      <w:pPr>
        <w:pStyle w:val="BodyText1"/>
        <w:shd w:val="clear" w:color="auto" w:fill="auto"/>
        <w:spacing w:after="160"/>
        <w:ind w:firstLine="567"/>
        <w:jc w:val="both"/>
        <w:rPr>
          <w:rFonts w:ascii="Sylfaen" w:hAnsi="Sylfaen"/>
          <w:sz w:val="24"/>
          <w:szCs w:val="24"/>
        </w:rPr>
      </w:pPr>
      <w:r w:rsidRPr="00CA27E3">
        <w:rPr>
          <w:rFonts w:ascii="Sylfaen" w:hAnsi="Sylfaen"/>
          <w:sz w:val="24"/>
          <w:szCs w:val="24"/>
        </w:rPr>
        <w:t>այն ռեժիմի ապահովման համար գործողությունների հաջորդականությունը, որի դեպքում հեռուստացույցն ավտոմատ փոխում է աշխա</w:t>
      </w:r>
      <w:r w:rsidR="00C764C7">
        <w:rPr>
          <w:rFonts w:ascii="Sylfaen" w:hAnsi="Sylfaen"/>
          <w:sz w:val="24"/>
          <w:szCs w:val="24"/>
        </w:rPr>
        <w:t>տանքային ռեժիմը</w:t>
      </w:r>
    </w:p>
    <w:p w14:paraId="55E703FC"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C764C7">
        <w:rPr>
          <w:rFonts w:ascii="Sylfaen" w:hAnsi="Sylfaen"/>
          <w:sz w:val="24"/>
          <w:szCs w:val="24"/>
        </w:rPr>
        <w:tab/>
      </w:r>
      <w:r w:rsidRPr="00CA27E3">
        <w:rPr>
          <w:rFonts w:ascii="Sylfaen" w:hAnsi="Sylfaen"/>
          <w:sz w:val="24"/>
          <w:szCs w:val="24"/>
        </w:rPr>
        <w:t xml:space="preserve">սնդիկի պարունակության (մգ-ով) </w:t>
      </w:r>
      <w:r>
        <w:rPr>
          <w:rFonts w:ascii="Sylfaen" w:hAnsi="Sylfaen"/>
          <w:sz w:val="24"/>
          <w:szCs w:val="24"/>
        </w:rPr>
        <w:t>եւ</w:t>
      </w:r>
      <w:r w:rsidRPr="00CA27E3">
        <w:rPr>
          <w:rFonts w:ascii="Sylfaen" w:hAnsi="Sylfaen"/>
          <w:sz w:val="24"/>
          <w:szCs w:val="24"/>
        </w:rPr>
        <w:t xml:space="preserve"> կապարի առկայության մասին տեղեկություններ (այդ վտանգավոր նյութերի առկայության դեպքում):</w:t>
      </w:r>
    </w:p>
    <w:p w14:paraId="1A90B8BC" w14:textId="77777777" w:rsidR="00CA27E3" w:rsidRPr="00CA27E3" w:rsidRDefault="00CA27E3" w:rsidP="00C764C7">
      <w:pPr>
        <w:pStyle w:val="BodyText1"/>
        <w:shd w:val="clear" w:color="auto" w:fill="auto"/>
        <w:tabs>
          <w:tab w:val="left" w:pos="1134"/>
        </w:tabs>
        <w:spacing w:after="160"/>
        <w:ind w:firstLine="567"/>
        <w:jc w:val="both"/>
        <w:rPr>
          <w:rFonts w:ascii="Sylfaen" w:hAnsi="Sylfaen"/>
          <w:sz w:val="24"/>
          <w:szCs w:val="24"/>
        </w:rPr>
      </w:pPr>
      <w:r w:rsidRPr="00C764C7">
        <w:rPr>
          <w:rFonts w:ascii="Sylfaen" w:hAnsi="Sylfaen"/>
          <w:spacing w:val="-4"/>
          <w:sz w:val="24"/>
          <w:szCs w:val="24"/>
        </w:rPr>
        <w:t>14.</w:t>
      </w:r>
      <w:r w:rsidR="00C764C7" w:rsidRPr="00C764C7">
        <w:rPr>
          <w:rFonts w:ascii="Sylfaen" w:hAnsi="Sylfaen"/>
          <w:spacing w:val="-4"/>
          <w:sz w:val="24"/>
          <w:szCs w:val="24"/>
        </w:rPr>
        <w:tab/>
      </w:r>
      <w:r w:rsidRPr="00C764C7">
        <w:rPr>
          <w:rFonts w:ascii="Sylfaen" w:hAnsi="Sylfaen"/>
          <w:spacing w:val="-4"/>
          <w:sz w:val="24"/>
          <w:szCs w:val="24"/>
        </w:rPr>
        <w:t>Տեխնիկական կանոնակարգի 23-րդ կետի «ա» ենթակետում նշված փաստաթղթերի լրակազմի մեջ հեռուստացույցների համար լրացուցիչ ներառվում է տեղեկատվություն</w:t>
      </w:r>
      <w:r w:rsidRPr="00CA27E3">
        <w:rPr>
          <w:rFonts w:ascii="Sylfaen" w:hAnsi="Sylfaen"/>
          <w:sz w:val="24"/>
          <w:szCs w:val="24"/>
        </w:rPr>
        <w:t>՝ հետ</w:t>
      </w:r>
      <w:r>
        <w:rPr>
          <w:rFonts w:ascii="Sylfaen" w:hAnsi="Sylfaen"/>
          <w:sz w:val="24"/>
          <w:szCs w:val="24"/>
        </w:rPr>
        <w:t>եւ</w:t>
      </w:r>
      <w:r w:rsidRPr="00CA27E3">
        <w:rPr>
          <w:rFonts w:ascii="Sylfaen" w:hAnsi="Sylfaen"/>
          <w:sz w:val="24"/>
          <w:szCs w:val="24"/>
        </w:rPr>
        <w:t>յալի մասին՝</w:t>
      </w:r>
    </w:p>
    <w:p w14:paraId="3D0BC423" w14:textId="77777777" w:rsidR="00CA27E3" w:rsidRPr="00CA27E3" w:rsidRDefault="00CA27E3" w:rsidP="00C764C7">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14.</w:t>
      </w:r>
      <w:r w:rsidR="00C764C7">
        <w:rPr>
          <w:rFonts w:ascii="Sylfaen" w:hAnsi="Sylfaen"/>
          <w:sz w:val="24"/>
          <w:szCs w:val="24"/>
        </w:rPr>
        <w:tab/>
      </w:r>
      <w:r w:rsidRPr="00CA27E3">
        <w:rPr>
          <w:rFonts w:ascii="Sylfaen" w:hAnsi="Sylfaen"/>
          <w:sz w:val="24"/>
          <w:szCs w:val="24"/>
        </w:rPr>
        <w:t>Տեխնիկական կանոնակարգի 23-րդ կետի «ա» ենթակետում նշված փաստաթղթերի լրակազմում հեռուստացույցների համար լրացուցիչ ներառվում է տեղեկատվություն՝</w:t>
      </w:r>
    </w:p>
    <w:p w14:paraId="07704344" w14:textId="77777777" w:rsidR="00CA27E3" w:rsidRPr="00CA27E3" w:rsidRDefault="00CA27E3" w:rsidP="00C764C7">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C764C7">
        <w:rPr>
          <w:rFonts w:ascii="Sylfaen" w:hAnsi="Sylfaen"/>
          <w:sz w:val="24"/>
          <w:szCs w:val="24"/>
        </w:rPr>
        <w:tab/>
      </w:r>
      <w:r w:rsidRPr="00CA27E3">
        <w:rPr>
          <w:rFonts w:ascii="Sylfaen" w:hAnsi="Sylfaen"/>
          <w:sz w:val="24"/>
          <w:szCs w:val="24"/>
        </w:rPr>
        <w:t>փորձարկումների (չափումների) ժամանակ վերահսկվող հետ</w:t>
      </w:r>
      <w:r>
        <w:rPr>
          <w:rFonts w:ascii="Sylfaen" w:hAnsi="Sylfaen"/>
          <w:sz w:val="24"/>
          <w:szCs w:val="24"/>
        </w:rPr>
        <w:t>եւ</w:t>
      </w:r>
      <w:r w:rsidRPr="00CA27E3">
        <w:rPr>
          <w:rFonts w:ascii="Sylfaen" w:hAnsi="Sylfaen"/>
          <w:sz w:val="24"/>
          <w:szCs w:val="24"/>
        </w:rPr>
        <w:t>յալ պարամետրերի մասին՝</w:t>
      </w:r>
    </w:p>
    <w:p w14:paraId="78D1454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շրջակա միջավայրի ջերմաստիճանը (°C-ով).</w:t>
      </w:r>
    </w:p>
    <w:p w14:paraId="0F5C33E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փորձարկման լարումը (Վ-ով) </w:t>
      </w:r>
      <w:r>
        <w:rPr>
          <w:rFonts w:ascii="Sylfaen" w:hAnsi="Sylfaen"/>
          <w:sz w:val="24"/>
          <w:szCs w:val="24"/>
        </w:rPr>
        <w:t>եւ</w:t>
      </w:r>
      <w:r w:rsidRPr="00CA27E3">
        <w:rPr>
          <w:rFonts w:ascii="Sylfaen" w:hAnsi="Sylfaen"/>
          <w:sz w:val="24"/>
          <w:szCs w:val="24"/>
        </w:rPr>
        <w:t xml:space="preserve"> հաճախականությունը (Հց-ով).</w:t>
      </w:r>
    </w:p>
    <w:p w14:paraId="5F40D14E"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լարման կորի սինուսոիդության աղավաղման գործակիցը.</w:t>
      </w:r>
    </w:p>
    <w:p w14:paraId="54AA7EBE"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 xml:space="preserve">փորձարկման ձայնա- </w:t>
      </w:r>
      <w:r>
        <w:rPr>
          <w:rFonts w:ascii="Sylfaen" w:hAnsi="Sylfaen"/>
          <w:sz w:val="24"/>
          <w:szCs w:val="24"/>
        </w:rPr>
        <w:t>եւ</w:t>
      </w:r>
      <w:r w:rsidRPr="00CA27E3">
        <w:rPr>
          <w:rFonts w:ascii="Sylfaen" w:hAnsi="Sylfaen"/>
          <w:sz w:val="24"/>
          <w:szCs w:val="24"/>
        </w:rPr>
        <w:t xml:space="preserve"> տեսաազդանշանների աղբյուրների միացման պայմանները.</w:t>
      </w:r>
    </w:p>
    <w:p w14:paraId="2BCD1DF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փորձարկումների (չափումների) ժամանակ օգտագործվող սարքավորման մասին տեղեկատվության (փաստաթղթերի) առկայությունը, փորձարկումների (չափումների) կատարման մասին </w:t>
      </w:r>
      <w:r>
        <w:rPr>
          <w:rFonts w:ascii="Sylfaen" w:hAnsi="Sylfaen"/>
          <w:sz w:val="24"/>
          <w:szCs w:val="24"/>
        </w:rPr>
        <w:t>եւ</w:t>
      </w:r>
      <w:r w:rsidRPr="00CA27E3">
        <w:rPr>
          <w:rFonts w:ascii="Sylfaen" w:hAnsi="Sylfaen"/>
          <w:sz w:val="24"/>
          <w:szCs w:val="24"/>
        </w:rPr>
        <w:t xml:space="preserve"> չափումների կատարման ժամանակ միացումների սխեմայի մասին տեղեկությունները.</w:t>
      </w:r>
    </w:p>
    <w:p w14:paraId="77031F29" w14:textId="77777777" w:rsidR="00CA27E3" w:rsidRPr="00CA27E3" w:rsidRDefault="00CA27E3" w:rsidP="00C764C7">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C764C7">
        <w:rPr>
          <w:rFonts w:ascii="Sylfaen" w:hAnsi="Sylfaen"/>
          <w:sz w:val="24"/>
          <w:szCs w:val="24"/>
        </w:rPr>
        <w:tab/>
      </w:r>
      <w:r w:rsidRPr="00CA27E3">
        <w:rPr>
          <w:rFonts w:ascii="Sylfaen" w:hAnsi="Sylfaen"/>
          <w:sz w:val="24"/>
          <w:szCs w:val="24"/>
        </w:rPr>
        <w:t>աշխատանքի ռեժիմում հեռուստացույցի հետ</w:t>
      </w:r>
      <w:r>
        <w:rPr>
          <w:rFonts w:ascii="Sylfaen" w:hAnsi="Sylfaen"/>
          <w:sz w:val="24"/>
          <w:szCs w:val="24"/>
        </w:rPr>
        <w:t>եւ</w:t>
      </w:r>
      <w:r w:rsidRPr="00CA27E3">
        <w:rPr>
          <w:rFonts w:ascii="Sylfaen" w:hAnsi="Sylfaen"/>
          <w:sz w:val="24"/>
          <w:szCs w:val="24"/>
        </w:rPr>
        <w:t>յալ պարամետրերի մասին՝</w:t>
      </w:r>
    </w:p>
    <w:p w14:paraId="4DCF5BF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հեռարձակող հեռուստատեսության դինամիկ հեռուստատեսային ազդանշանի բնութագրերը.</w:t>
      </w:r>
    </w:p>
    <w:p w14:paraId="2707ADC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օգտագործվող հզորության նկատմամբ կայուն վիճակի ապահովման համար գործողությունների հաջորդականությունը.</w:t>
      </w:r>
    </w:p>
    <w:p w14:paraId="6CA29B1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պատկերի ռեժիմների նախադրված սարքաբերումներով ընտրացանկ ունեցող հեռուստացույցների համար՝ տնային ռեժիմում էկրանի պայծառության</w:t>
      </w:r>
      <w:r w:rsidRPr="00CA27E3">
        <w:rPr>
          <w:rFonts w:ascii="Sylfaen" w:hAnsi="Sylfaen"/>
          <w:sz w:val="24"/>
          <w:szCs w:val="24"/>
          <w:highlight w:val="yellow"/>
        </w:rPr>
        <w:t xml:space="preserve"> </w:t>
      </w:r>
      <w:r w:rsidRPr="00CA27E3">
        <w:rPr>
          <w:rFonts w:ascii="Sylfaen" w:hAnsi="Sylfaen"/>
          <w:sz w:val="24"/>
          <w:szCs w:val="24"/>
        </w:rPr>
        <w:t>հարաբերությունը դրա առավելագույն պայծառության նկատմամբ (%-ով).</w:t>
      </w:r>
    </w:p>
    <w:p w14:paraId="3524752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հեռուստատեսային մոնիտորների համար՝ փորձարկումների (չափումների) կատարման ժամանակ օգտագործվող կարգավորչի համապատասխան բնութագրերի նկարագրությունը.</w:t>
      </w:r>
    </w:p>
    <w:p w14:paraId="52AE609C" w14:textId="77777777" w:rsidR="00CA27E3" w:rsidRPr="00CA27E3" w:rsidRDefault="00CA27E3" w:rsidP="00C764C7">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C764C7">
        <w:rPr>
          <w:rFonts w:ascii="Sylfaen" w:hAnsi="Sylfaen"/>
          <w:sz w:val="24"/>
          <w:szCs w:val="24"/>
        </w:rPr>
        <w:tab/>
      </w:r>
      <w:r w:rsidRPr="00CA27E3">
        <w:rPr>
          <w:rFonts w:ascii="Sylfaen" w:hAnsi="Sylfaen"/>
          <w:sz w:val="24"/>
          <w:szCs w:val="24"/>
        </w:rPr>
        <w:t xml:space="preserve">սպասման ռեժիմում </w:t>
      </w:r>
      <w:r>
        <w:rPr>
          <w:rFonts w:ascii="Sylfaen" w:hAnsi="Sylfaen"/>
          <w:sz w:val="24"/>
          <w:szCs w:val="24"/>
        </w:rPr>
        <w:t>եւ</w:t>
      </w:r>
      <w:r w:rsidRPr="00CA27E3">
        <w:rPr>
          <w:rFonts w:ascii="Sylfaen" w:hAnsi="Sylfaen"/>
          <w:sz w:val="24"/>
          <w:szCs w:val="24"/>
        </w:rPr>
        <w:t xml:space="preserve"> անջատման ռեժիմում հեռուստացույցի հետ</w:t>
      </w:r>
      <w:r>
        <w:rPr>
          <w:rFonts w:ascii="Sylfaen" w:hAnsi="Sylfaen"/>
          <w:sz w:val="24"/>
          <w:szCs w:val="24"/>
        </w:rPr>
        <w:t>եւ</w:t>
      </w:r>
      <w:r w:rsidRPr="00CA27E3">
        <w:rPr>
          <w:rFonts w:ascii="Sylfaen" w:hAnsi="Sylfaen"/>
          <w:sz w:val="24"/>
          <w:szCs w:val="24"/>
        </w:rPr>
        <w:t>յալ պարամետրերի մասին՝</w:t>
      </w:r>
    </w:p>
    <w:p w14:paraId="06BD108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չափման կիրառվող մեթոդը.</w:t>
      </w:r>
    </w:p>
    <w:p w14:paraId="1E30967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աշխատանքի ռեժիմի տ</w:t>
      </w:r>
      <w:r>
        <w:rPr>
          <w:rFonts w:ascii="Sylfaen" w:hAnsi="Sylfaen"/>
          <w:sz w:val="24"/>
          <w:szCs w:val="24"/>
        </w:rPr>
        <w:t>եւ</w:t>
      </w:r>
      <w:r w:rsidRPr="00CA27E3">
        <w:rPr>
          <w:rFonts w:ascii="Sylfaen" w:hAnsi="Sylfaen"/>
          <w:sz w:val="24"/>
          <w:szCs w:val="24"/>
        </w:rPr>
        <w:t>ողությունը օգտագործողի վերջին գործողությունից հետո՝ մինչ հեռուստացույցն ավտոմատ կերպով անցնում է սպասման ռեժիմի կամ անջատման ռեժիմի կամ էլ մեկ այլ ռեժիմի, որի ժամանակ էներգասպառումը չի</w:t>
      </w:r>
      <w:r w:rsidR="00C764C7">
        <w:rPr>
          <w:rFonts w:ascii="Sylfaen" w:hAnsi="Sylfaen"/>
          <w:sz w:val="24"/>
          <w:szCs w:val="24"/>
        </w:rPr>
        <w:t> </w:t>
      </w:r>
      <w:r w:rsidRPr="00CA27E3">
        <w:rPr>
          <w:rFonts w:ascii="Sylfaen" w:hAnsi="Sylfaen"/>
          <w:sz w:val="24"/>
          <w:szCs w:val="24"/>
        </w:rPr>
        <w:t xml:space="preserve">գերազանցում սպասման ռեժիմի </w:t>
      </w:r>
      <w:r>
        <w:rPr>
          <w:rFonts w:ascii="Sylfaen" w:hAnsi="Sylfaen"/>
          <w:sz w:val="24"/>
          <w:szCs w:val="24"/>
        </w:rPr>
        <w:t>եւ</w:t>
      </w:r>
      <w:r w:rsidRPr="00CA27E3">
        <w:rPr>
          <w:rFonts w:ascii="Sylfaen" w:hAnsi="Sylfaen"/>
          <w:sz w:val="24"/>
          <w:szCs w:val="24"/>
        </w:rPr>
        <w:t xml:space="preserve"> (կամ) անջատման ռեժիմի համար սահմանված արժեքները:</w:t>
      </w:r>
    </w:p>
    <w:p w14:paraId="49091145" w14:textId="77777777" w:rsidR="00CA27E3" w:rsidRPr="00CA27E3" w:rsidRDefault="00CA27E3" w:rsidP="005F0644">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lastRenderedPageBreak/>
        <w:t xml:space="preserve">IV. Հեռուստացույցների էներգետիկ արդյունավետության պարամետրերի թույլատրելի շեղումները՝ դրանք շրջանառության մեջ դրվելուց հետո փորձարկումների (չափումների) կատարման ժամանակ </w:t>
      </w:r>
    </w:p>
    <w:p w14:paraId="7BE86D30"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15.</w:t>
      </w:r>
      <w:r w:rsidR="005F0644">
        <w:rPr>
          <w:rFonts w:ascii="Sylfaen" w:hAnsi="Sylfaen"/>
          <w:sz w:val="24"/>
          <w:szCs w:val="24"/>
        </w:rPr>
        <w:tab/>
      </w:r>
      <w:r w:rsidRPr="00CA27E3">
        <w:rPr>
          <w:rFonts w:ascii="Sylfaen" w:hAnsi="Sylfaen"/>
          <w:sz w:val="24"/>
          <w:szCs w:val="24"/>
        </w:rPr>
        <w:t>Միության մաքսային տարածքում հեռուստացույցները շրջանառության մեջ դրվելուց հետո կատարվում են հեռուստացույցի յուրաքանչյուր մոդելի մեկ նմուշի փորձարկումներ (չափումներ):</w:t>
      </w:r>
    </w:p>
    <w:p w14:paraId="1EB1C49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Հեռուստացույցի նմուշը համարվում է սույն պահանջներին համապատասխանող հետ</w:t>
      </w:r>
      <w:r>
        <w:rPr>
          <w:rFonts w:ascii="Sylfaen" w:hAnsi="Sylfaen"/>
          <w:sz w:val="24"/>
          <w:szCs w:val="24"/>
        </w:rPr>
        <w:t>եւ</w:t>
      </w:r>
      <w:r w:rsidRPr="00CA27E3">
        <w:rPr>
          <w:rFonts w:ascii="Sylfaen" w:hAnsi="Sylfaen"/>
          <w:sz w:val="24"/>
          <w:szCs w:val="24"/>
        </w:rPr>
        <w:t>յալ արդյունքներն ստանալու դեպքում՝</w:t>
      </w:r>
    </w:p>
    <w:p w14:paraId="24CEF1E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spacing w:val="-4"/>
          <w:sz w:val="24"/>
          <w:szCs w:val="24"/>
        </w:rPr>
        <w:t>աշխատանքի ռեժիմում հեռուստացույցի օգտագործվող հզորությունը չպետք է ավելի</w:t>
      </w:r>
      <w:r w:rsidRPr="00CA27E3">
        <w:rPr>
          <w:rFonts w:ascii="Sylfaen" w:hAnsi="Sylfaen"/>
          <w:sz w:val="24"/>
          <w:szCs w:val="24"/>
        </w:rPr>
        <w:t xml:space="preserve"> քան 7 %-ով գերազանցի սույն պահանջների 1-ին աղյուսակում նշված արժեքը.</w:t>
      </w:r>
    </w:p>
    <w:p w14:paraId="3221FA3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սպասման ռեժիմում </w:t>
      </w:r>
      <w:r>
        <w:rPr>
          <w:rFonts w:ascii="Sylfaen" w:hAnsi="Sylfaen"/>
          <w:sz w:val="24"/>
          <w:szCs w:val="24"/>
        </w:rPr>
        <w:t>եւ</w:t>
      </w:r>
      <w:r w:rsidRPr="00CA27E3">
        <w:rPr>
          <w:rFonts w:ascii="Sylfaen" w:hAnsi="Sylfaen"/>
          <w:sz w:val="24"/>
          <w:szCs w:val="24"/>
        </w:rPr>
        <w:t xml:space="preserve"> անջատման ռեժիմում հեռուստացույցի օգտագործվող հզորությունը չպետք է ավելի քան 0,10 Վտ-ով գերազանցի սույն պահանջների համապատասխանաբար 2-րդ </w:t>
      </w:r>
      <w:r>
        <w:rPr>
          <w:rFonts w:ascii="Sylfaen" w:hAnsi="Sylfaen"/>
          <w:sz w:val="24"/>
          <w:szCs w:val="24"/>
        </w:rPr>
        <w:t>եւ</w:t>
      </w:r>
      <w:r w:rsidRPr="00CA27E3">
        <w:rPr>
          <w:rFonts w:ascii="Sylfaen" w:hAnsi="Sylfaen"/>
          <w:sz w:val="24"/>
          <w:szCs w:val="24"/>
        </w:rPr>
        <w:t xml:space="preserve"> 3-րդ աղյուսակներում նշված արժեքները.</w:t>
      </w:r>
    </w:p>
    <w:p w14:paraId="5C89C42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պայծառությունը չպետք է լինի հեռուստացույցի առավելագույն պայծառության 60 %-ից պակաս:</w:t>
      </w:r>
    </w:p>
    <w:p w14:paraId="2C37361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Եթե ստացված արժեքները չեն համապատասխանում նշված արժեքներին, ապա փորձարկումները (չափումները) հարկ է կատարել հեռուստացույցի 3</w:t>
      </w:r>
      <w:r w:rsidR="00054AD2" w:rsidRPr="00054AD2">
        <w:rPr>
          <w:rFonts w:ascii="Sylfaen" w:hAnsi="Sylfaen"/>
          <w:sz w:val="24"/>
          <w:szCs w:val="24"/>
        </w:rPr>
        <w:t> </w:t>
      </w:r>
      <w:r w:rsidRPr="00CA27E3">
        <w:rPr>
          <w:rFonts w:ascii="Sylfaen" w:hAnsi="Sylfaen"/>
          <w:sz w:val="24"/>
          <w:szCs w:val="24"/>
        </w:rPr>
        <w:t>լրացուցիչ նմուշների նկատմամբ։</w:t>
      </w:r>
    </w:p>
    <w:p w14:paraId="5D23822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Հեռուստացույցի մոդելը համարվում է սույն պահանջների պահանջներին համապատասխանող, եթե հեռուստացույցի այդ մոդելի 3 լրացուցիչ նմուշների համար պարամետրերի միջին արժեքները համապատասխանում են սույն պահանջներին:</w:t>
      </w:r>
    </w:p>
    <w:p w14:paraId="3644CB9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Այլ դեպքերում հեռուստացույցի տվյալ մոդելը հարկ է դիտարկել որպես տեխնիկական կանոնակարգի պահանջներին չհամապատասխանող։</w:t>
      </w:r>
    </w:p>
    <w:p w14:paraId="08423266" w14:textId="77777777" w:rsidR="005F0644" w:rsidRDefault="005F0644" w:rsidP="005F0644">
      <w:pPr>
        <w:pStyle w:val="1"/>
        <w:shd w:val="clear" w:color="auto" w:fill="auto"/>
        <w:spacing w:after="160"/>
        <w:ind w:firstLine="0"/>
        <w:jc w:val="center"/>
        <w:rPr>
          <w:rFonts w:ascii="Sylfaen" w:hAnsi="Sylfaen"/>
          <w:sz w:val="24"/>
          <w:szCs w:val="24"/>
        </w:rPr>
      </w:pPr>
      <w:r>
        <w:rPr>
          <w:rFonts w:ascii="Sylfaen" w:hAnsi="Sylfaen"/>
          <w:sz w:val="24"/>
          <w:szCs w:val="24"/>
        </w:rPr>
        <w:t>———————</w:t>
      </w:r>
    </w:p>
    <w:p w14:paraId="6E9439C9" w14:textId="77777777" w:rsidR="005F0644" w:rsidRPr="003D2C38" w:rsidRDefault="005F0644" w:rsidP="005F0644">
      <w:pPr>
        <w:pStyle w:val="1"/>
        <w:shd w:val="clear" w:color="auto" w:fill="auto"/>
        <w:spacing w:after="160"/>
        <w:ind w:firstLine="0"/>
        <w:jc w:val="center"/>
        <w:rPr>
          <w:rFonts w:ascii="Sylfaen" w:hAnsi="Sylfaen"/>
          <w:sz w:val="24"/>
          <w:szCs w:val="24"/>
        </w:rPr>
        <w:sectPr w:rsidR="005F0644" w:rsidRPr="003D2C38" w:rsidSect="0027701C">
          <w:pgSz w:w="11907" w:h="16840" w:code="9"/>
          <w:pgMar w:top="1418" w:right="1418" w:bottom="1418" w:left="1418" w:header="0" w:footer="538" w:gutter="0"/>
          <w:pgNumType w:start="1"/>
          <w:cols w:space="720"/>
          <w:noEndnote/>
          <w:titlePg/>
          <w:docGrid w:linePitch="360"/>
        </w:sectPr>
      </w:pPr>
    </w:p>
    <w:p w14:paraId="4779BFD7" w14:textId="77777777" w:rsidR="00CA27E3" w:rsidRPr="00CA27E3" w:rsidRDefault="00CA27E3" w:rsidP="00054AD2">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lastRenderedPageBreak/>
        <w:t>ՀԱՎԵԼՎԱԾ ԹԻՎ 5</w:t>
      </w:r>
    </w:p>
    <w:p w14:paraId="24C183A2" w14:textId="77777777" w:rsidR="00CA27E3" w:rsidRDefault="00CA27E3" w:rsidP="00054AD2">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t>«Էներգասպառող սարքվածքների</w:t>
      </w:r>
      <w:r w:rsidRPr="00054AD2">
        <w:rPr>
          <w:rFonts w:ascii="Sylfaen" w:hAnsi="Sylfaen"/>
          <w:sz w:val="24"/>
          <w:szCs w:val="24"/>
        </w:rPr>
        <w:t xml:space="preserve"> </w:t>
      </w:r>
      <w:r w:rsidR="00054AD2" w:rsidRPr="00054AD2">
        <w:rPr>
          <w:rFonts w:ascii="Sylfaen" w:hAnsi="Sylfaen"/>
          <w:sz w:val="24"/>
          <w:szCs w:val="24"/>
        </w:rPr>
        <w:br/>
      </w:r>
      <w:r w:rsidRPr="00CA27E3">
        <w:rPr>
          <w:rFonts w:ascii="Sylfaen" w:hAnsi="Sylfaen"/>
          <w:sz w:val="24"/>
          <w:szCs w:val="24"/>
        </w:rPr>
        <w:t>էներգետիկ արդյունավետությանը ներկայացվող պահանջների մասին» Եվրասիական տնտեսական միության տեխնիկական կանոնակարգի</w:t>
      </w:r>
      <w:r w:rsidR="005F0644">
        <w:rPr>
          <w:rFonts w:ascii="Sylfaen" w:hAnsi="Sylfaen"/>
          <w:sz w:val="24"/>
          <w:szCs w:val="24"/>
        </w:rPr>
        <w:t xml:space="preserve"> </w:t>
      </w:r>
      <w:r w:rsidR="00054AD2" w:rsidRPr="00054AD2">
        <w:rPr>
          <w:rFonts w:ascii="Sylfaen" w:hAnsi="Sylfaen"/>
          <w:sz w:val="24"/>
          <w:szCs w:val="24"/>
        </w:rPr>
        <w:br/>
      </w:r>
      <w:r w:rsidRPr="00CA27E3">
        <w:rPr>
          <w:rFonts w:ascii="Sylfaen" w:hAnsi="Sylfaen"/>
          <w:sz w:val="24"/>
          <w:szCs w:val="24"/>
        </w:rPr>
        <w:t>(ԵԱՏՄ ՏԿ</w:t>
      </w:r>
      <w:r w:rsidR="005F0644">
        <w:rPr>
          <w:rFonts w:ascii="Sylfaen" w:hAnsi="Sylfaen"/>
          <w:sz w:val="24"/>
          <w:szCs w:val="24"/>
        </w:rPr>
        <w:tab/>
      </w:r>
      <w:r w:rsidRPr="00CA27E3">
        <w:rPr>
          <w:rFonts w:ascii="Sylfaen" w:hAnsi="Sylfaen"/>
          <w:sz w:val="24"/>
          <w:szCs w:val="24"/>
        </w:rPr>
        <w:t>/20</w:t>
      </w:r>
      <w:r w:rsidR="005F0644">
        <w:rPr>
          <w:rFonts w:ascii="Sylfaen" w:hAnsi="Sylfaen"/>
          <w:sz w:val="24"/>
          <w:szCs w:val="24"/>
        </w:rPr>
        <w:tab/>
      </w:r>
      <w:r w:rsidRPr="00CA27E3">
        <w:rPr>
          <w:rFonts w:ascii="Sylfaen" w:hAnsi="Sylfaen"/>
          <w:sz w:val="24"/>
          <w:szCs w:val="24"/>
        </w:rPr>
        <w:t>)</w:t>
      </w:r>
    </w:p>
    <w:p w14:paraId="2EE3A03D" w14:textId="77777777" w:rsidR="005F0644" w:rsidRPr="00CA27E3" w:rsidRDefault="005F0644" w:rsidP="005F0644">
      <w:pPr>
        <w:pStyle w:val="1"/>
        <w:shd w:val="clear" w:color="auto" w:fill="auto"/>
        <w:spacing w:after="160"/>
        <w:ind w:left="4253" w:firstLine="0"/>
        <w:jc w:val="center"/>
        <w:rPr>
          <w:rFonts w:ascii="Sylfaen" w:hAnsi="Sylfaen"/>
          <w:sz w:val="24"/>
          <w:szCs w:val="24"/>
        </w:rPr>
      </w:pPr>
    </w:p>
    <w:p w14:paraId="6D871B73" w14:textId="77777777" w:rsidR="00CA27E3" w:rsidRPr="00CA27E3" w:rsidRDefault="00CA27E3" w:rsidP="005F0644">
      <w:pPr>
        <w:pStyle w:val="Heading10"/>
        <w:shd w:val="clear" w:color="auto" w:fill="auto"/>
        <w:spacing w:after="160" w:line="360" w:lineRule="auto"/>
        <w:ind w:left="567" w:right="566"/>
        <w:outlineLvl w:val="9"/>
        <w:rPr>
          <w:rFonts w:ascii="Sylfaen" w:hAnsi="Sylfaen"/>
          <w:sz w:val="24"/>
          <w:szCs w:val="24"/>
        </w:rPr>
      </w:pPr>
      <w:r w:rsidRPr="00CA27E3">
        <w:rPr>
          <w:rFonts w:ascii="Sylfaen" w:hAnsi="Sylfaen"/>
          <w:b/>
          <w:sz w:val="24"/>
          <w:szCs w:val="24"/>
        </w:rPr>
        <w:t>ՊԱՀԱՆՋՆԵՐ</w:t>
      </w:r>
    </w:p>
    <w:p w14:paraId="7334FC11" w14:textId="77777777" w:rsidR="00CA27E3" w:rsidRPr="00CA27E3" w:rsidRDefault="00CA27E3" w:rsidP="005F0644">
      <w:pPr>
        <w:pStyle w:val="Heading10"/>
        <w:shd w:val="clear" w:color="auto" w:fill="auto"/>
        <w:spacing w:after="160" w:line="360" w:lineRule="auto"/>
        <w:ind w:left="567" w:right="566"/>
        <w:outlineLvl w:val="9"/>
        <w:rPr>
          <w:rFonts w:ascii="Sylfaen" w:hAnsi="Sylfaen"/>
          <w:sz w:val="24"/>
          <w:szCs w:val="24"/>
        </w:rPr>
      </w:pPr>
      <w:r w:rsidRPr="00CA27E3">
        <w:rPr>
          <w:rFonts w:ascii="Sylfaen" w:hAnsi="Sylfaen"/>
          <w:b/>
          <w:sz w:val="24"/>
          <w:szCs w:val="24"/>
        </w:rPr>
        <w:t xml:space="preserve">սպասման </w:t>
      </w:r>
      <w:r>
        <w:rPr>
          <w:rFonts w:ascii="Sylfaen" w:hAnsi="Sylfaen"/>
          <w:b/>
          <w:sz w:val="24"/>
          <w:szCs w:val="24"/>
        </w:rPr>
        <w:t>եւ</w:t>
      </w:r>
      <w:r w:rsidRPr="00CA27E3">
        <w:rPr>
          <w:rFonts w:ascii="Sylfaen" w:hAnsi="Sylfaen"/>
          <w:b/>
          <w:sz w:val="24"/>
          <w:szCs w:val="24"/>
        </w:rPr>
        <w:t xml:space="preserve"> վերաակտիվացման ռեժիմում կենցաղային </w:t>
      </w:r>
      <w:r>
        <w:rPr>
          <w:rFonts w:ascii="Sylfaen" w:hAnsi="Sylfaen"/>
          <w:b/>
          <w:sz w:val="24"/>
          <w:szCs w:val="24"/>
        </w:rPr>
        <w:t>եւ</w:t>
      </w:r>
      <w:r w:rsidRPr="00CA27E3">
        <w:rPr>
          <w:rFonts w:ascii="Sylfaen" w:hAnsi="Sylfaen"/>
          <w:b/>
          <w:sz w:val="24"/>
          <w:szCs w:val="24"/>
        </w:rPr>
        <w:t xml:space="preserve"> գրասենյակային էլեկտրական սարքավորման էներգետիկ արդյունավետությանը ներկայացվող</w:t>
      </w:r>
    </w:p>
    <w:p w14:paraId="52B70A97" w14:textId="77777777" w:rsidR="00CA27E3" w:rsidRPr="00CA27E3" w:rsidRDefault="00CA27E3" w:rsidP="00CA27E3">
      <w:pPr>
        <w:pStyle w:val="1"/>
        <w:shd w:val="clear" w:color="auto" w:fill="auto"/>
        <w:spacing w:after="160"/>
        <w:ind w:firstLine="0"/>
        <w:jc w:val="center"/>
        <w:rPr>
          <w:rFonts w:ascii="Sylfaen" w:hAnsi="Sylfaen"/>
          <w:sz w:val="24"/>
          <w:szCs w:val="24"/>
        </w:rPr>
      </w:pPr>
    </w:p>
    <w:p w14:paraId="531E2AC8" w14:textId="77777777" w:rsidR="00CA27E3" w:rsidRPr="00CA27E3" w:rsidRDefault="00CA27E3" w:rsidP="005F0644">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t>I. Կիրառության ոլորտը</w:t>
      </w:r>
    </w:p>
    <w:p w14:paraId="475C1206" w14:textId="77777777" w:rsidR="00CA27E3" w:rsidRPr="005F0644" w:rsidRDefault="00CA27E3" w:rsidP="005F0644">
      <w:pPr>
        <w:pStyle w:val="1"/>
        <w:shd w:val="clear" w:color="auto" w:fill="auto"/>
        <w:tabs>
          <w:tab w:val="left" w:pos="1134"/>
        </w:tabs>
        <w:spacing w:after="160"/>
        <w:ind w:firstLine="567"/>
        <w:jc w:val="both"/>
        <w:rPr>
          <w:rFonts w:ascii="Sylfaen" w:hAnsi="Sylfaen"/>
          <w:spacing w:val="-4"/>
          <w:sz w:val="24"/>
          <w:szCs w:val="24"/>
        </w:rPr>
      </w:pPr>
      <w:r w:rsidRPr="00CA27E3">
        <w:rPr>
          <w:rFonts w:ascii="Sylfaen" w:hAnsi="Sylfaen"/>
          <w:sz w:val="24"/>
          <w:szCs w:val="24"/>
        </w:rPr>
        <w:t>1.</w:t>
      </w:r>
      <w:r w:rsidR="005F0644">
        <w:rPr>
          <w:rFonts w:ascii="Sylfaen" w:hAnsi="Sylfaen"/>
          <w:sz w:val="24"/>
          <w:szCs w:val="24"/>
        </w:rPr>
        <w:tab/>
      </w:r>
      <w:r w:rsidRPr="00CA27E3">
        <w:rPr>
          <w:rFonts w:ascii="Sylfaen" w:hAnsi="Sylfaen"/>
          <w:sz w:val="24"/>
          <w:szCs w:val="24"/>
        </w:rPr>
        <w:t xml:space="preserve">Սույն պահանջները տարածվում են հատուկ պատրաստվածություն չունեցող օգտագործողների կողմից կենցաղում կամ գրասենյակում (այդ թվում` </w:t>
      </w:r>
      <w:r w:rsidRPr="005F0644">
        <w:rPr>
          <w:rFonts w:ascii="Sylfaen" w:hAnsi="Sylfaen"/>
          <w:spacing w:val="-4"/>
          <w:sz w:val="24"/>
          <w:szCs w:val="24"/>
        </w:rPr>
        <w:t>սենքերից դուրս) օգտագործման համար նախատեսված՝ անմիջապես մինչեւ 250 Վ (ներառյալ) անվանական լարման էլեկտրական ցանցից աշխատող՝ Եվրասիական տնտեսական միության (այսուհետ՝ Միություն) մաքսային տարածքում շրջանառության մեջ դրվող հետեւյալ սարքավորման (այսուհետ՝ սարքավորում) վրա՝</w:t>
      </w:r>
    </w:p>
    <w:p w14:paraId="322C4214"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5F0644">
        <w:rPr>
          <w:rFonts w:ascii="Sylfaen" w:hAnsi="Sylfaen"/>
          <w:sz w:val="24"/>
          <w:szCs w:val="24"/>
        </w:rPr>
        <w:tab/>
      </w:r>
      <w:r w:rsidRPr="00CA27E3">
        <w:rPr>
          <w:rFonts w:ascii="Sylfaen" w:hAnsi="Sylfaen"/>
          <w:sz w:val="24"/>
          <w:szCs w:val="24"/>
        </w:rPr>
        <w:t xml:space="preserve">լվացքի մեքենաներ, թմբուկային տիպի չորացնող մեքենաներ </w:t>
      </w:r>
      <w:r>
        <w:rPr>
          <w:rFonts w:ascii="Sylfaen" w:hAnsi="Sylfaen"/>
          <w:sz w:val="24"/>
          <w:szCs w:val="24"/>
        </w:rPr>
        <w:t>եւ</w:t>
      </w:r>
      <w:r w:rsidRPr="00CA27E3">
        <w:rPr>
          <w:rFonts w:ascii="Sylfaen" w:hAnsi="Sylfaen"/>
          <w:sz w:val="24"/>
          <w:szCs w:val="24"/>
        </w:rPr>
        <w:t xml:space="preserve"> այլ սարքավորում՝ սպիտակեղեն, հագուստ </w:t>
      </w:r>
      <w:r>
        <w:rPr>
          <w:rFonts w:ascii="Sylfaen" w:hAnsi="Sylfaen"/>
          <w:sz w:val="24"/>
          <w:szCs w:val="24"/>
        </w:rPr>
        <w:t>եւ</w:t>
      </w:r>
      <w:r w:rsidRPr="00CA27E3">
        <w:rPr>
          <w:rFonts w:ascii="Sylfaen" w:hAnsi="Sylfaen"/>
          <w:sz w:val="24"/>
          <w:szCs w:val="24"/>
        </w:rPr>
        <w:t xml:space="preserve"> կոշկեղեն մշակելու (լվանալու, արդուկելու, չորացնելու, մաքրելու) համար.</w:t>
      </w:r>
    </w:p>
    <w:p w14:paraId="66EFC132"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5F0644">
        <w:rPr>
          <w:rFonts w:ascii="Sylfaen" w:hAnsi="Sylfaen"/>
          <w:sz w:val="24"/>
          <w:szCs w:val="24"/>
        </w:rPr>
        <w:tab/>
      </w:r>
      <w:r w:rsidRPr="00CA27E3">
        <w:rPr>
          <w:rFonts w:ascii="Sylfaen" w:hAnsi="Sylfaen"/>
          <w:sz w:val="24"/>
          <w:szCs w:val="24"/>
        </w:rPr>
        <w:t>սպասք լվացող մեքենաներ.</w:t>
      </w:r>
    </w:p>
    <w:p w14:paraId="16D38364"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5F0644">
        <w:rPr>
          <w:rFonts w:ascii="Sylfaen" w:hAnsi="Sylfaen"/>
          <w:sz w:val="24"/>
          <w:szCs w:val="24"/>
        </w:rPr>
        <w:tab/>
      </w:r>
      <w:r w:rsidRPr="00CA27E3">
        <w:rPr>
          <w:rFonts w:ascii="Sylfaen" w:hAnsi="Sylfaen"/>
          <w:sz w:val="24"/>
          <w:szCs w:val="24"/>
        </w:rPr>
        <w:t xml:space="preserve">էլեկտրական սալօջախներ, ջեռապահարաններ </w:t>
      </w:r>
      <w:r>
        <w:rPr>
          <w:rFonts w:ascii="Sylfaen" w:hAnsi="Sylfaen"/>
          <w:sz w:val="24"/>
          <w:szCs w:val="24"/>
        </w:rPr>
        <w:t>եւ</w:t>
      </w:r>
      <w:r w:rsidRPr="00CA27E3">
        <w:rPr>
          <w:rFonts w:ascii="Sylfaen" w:hAnsi="Sylfaen"/>
          <w:sz w:val="24"/>
          <w:szCs w:val="24"/>
        </w:rPr>
        <w:t xml:space="preserve"> եփման պանելներ.</w:t>
      </w:r>
    </w:p>
    <w:p w14:paraId="4B646034"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դ)</w:t>
      </w:r>
      <w:r w:rsidR="005F0644">
        <w:rPr>
          <w:rFonts w:ascii="Sylfaen" w:hAnsi="Sylfaen"/>
          <w:sz w:val="24"/>
          <w:szCs w:val="24"/>
        </w:rPr>
        <w:tab/>
      </w:r>
      <w:r w:rsidRPr="00CA27E3">
        <w:rPr>
          <w:rFonts w:ascii="Sylfaen" w:hAnsi="Sylfaen"/>
          <w:sz w:val="24"/>
          <w:szCs w:val="24"/>
        </w:rPr>
        <w:t>միկրոալիքային վառարաններ.</w:t>
      </w:r>
    </w:p>
    <w:p w14:paraId="64CB92AA"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ե)</w:t>
      </w:r>
      <w:r w:rsidR="005F0644">
        <w:rPr>
          <w:rFonts w:ascii="Sylfaen" w:hAnsi="Sylfaen"/>
          <w:sz w:val="24"/>
          <w:szCs w:val="24"/>
        </w:rPr>
        <w:tab/>
      </w:r>
      <w:r w:rsidRPr="00CA27E3">
        <w:rPr>
          <w:rFonts w:ascii="Sylfaen" w:hAnsi="Sylfaen"/>
          <w:sz w:val="24"/>
          <w:szCs w:val="24"/>
        </w:rPr>
        <w:t xml:space="preserve">տոստերներ, ճարպաջեռոցներ, էլեկտրադանակներ, աղացներ, սրճեփներ </w:t>
      </w:r>
      <w:r>
        <w:rPr>
          <w:rFonts w:ascii="Sylfaen" w:hAnsi="Sylfaen"/>
          <w:sz w:val="24"/>
          <w:szCs w:val="24"/>
        </w:rPr>
        <w:t>եւ</w:t>
      </w:r>
      <w:r w:rsidRPr="00CA27E3">
        <w:rPr>
          <w:rFonts w:ascii="Sylfaen" w:hAnsi="Sylfaen"/>
          <w:sz w:val="24"/>
          <w:szCs w:val="24"/>
        </w:rPr>
        <w:t xml:space="preserve"> այլ սարքեր՝ սննդի պատրաստման </w:t>
      </w:r>
      <w:r>
        <w:rPr>
          <w:rFonts w:ascii="Sylfaen" w:hAnsi="Sylfaen"/>
          <w:sz w:val="24"/>
          <w:szCs w:val="24"/>
        </w:rPr>
        <w:t>եւ</w:t>
      </w:r>
      <w:r w:rsidRPr="00CA27E3">
        <w:rPr>
          <w:rFonts w:ascii="Sylfaen" w:hAnsi="Sylfaen"/>
          <w:sz w:val="24"/>
          <w:szCs w:val="24"/>
        </w:rPr>
        <w:t xml:space="preserve"> մշակման համար.</w:t>
      </w:r>
    </w:p>
    <w:p w14:paraId="70C6738C" w14:textId="77777777" w:rsidR="00CA27E3" w:rsidRPr="005F0644" w:rsidRDefault="00CA27E3" w:rsidP="005F0644">
      <w:pPr>
        <w:pStyle w:val="1"/>
        <w:shd w:val="clear" w:color="auto" w:fill="auto"/>
        <w:tabs>
          <w:tab w:val="left" w:pos="1134"/>
        </w:tabs>
        <w:spacing w:after="160"/>
        <w:ind w:firstLine="567"/>
        <w:jc w:val="both"/>
        <w:rPr>
          <w:rFonts w:ascii="Sylfaen" w:hAnsi="Sylfaen"/>
          <w:spacing w:val="-6"/>
          <w:sz w:val="24"/>
          <w:szCs w:val="24"/>
        </w:rPr>
      </w:pPr>
      <w:r w:rsidRPr="005F0644">
        <w:rPr>
          <w:rFonts w:ascii="Sylfaen" w:hAnsi="Sylfaen"/>
          <w:spacing w:val="-6"/>
          <w:sz w:val="24"/>
          <w:szCs w:val="24"/>
        </w:rPr>
        <w:t>զ)</w:t>
      </w:r>
      <w:r w:rsidR="005F0644" w:rsidRPr="005F0644">
        <w:rPr>
          <w:rFonts w:ascii="Sylfaen" w:hAnsi="Sylfaen"/>
          <w:spacing w:val="-6"/>
          <w:sz w:val="24"/>
          <w:szCs w:val="24"/>
        </w:rPr>
        <w:tab/>
      </w:r>
      <w:r w:rsidRPr="005F0644">
        <w:rPr>
          <w:rFonts w:ascii="Sylfaen" w:hAnsi="Sylfaen"/>
          <w:spacing w:val="-6"/>
          <w:sz w:val="24"/>
          <w:szCs w:val="24"/>
        </w:rPr>
        <w:t>մազերը կտրելու համար սարքեր, ֆեներ, ածելիներ, ատամի խոզանակներ, մերսման սարքավորում եւ այլ սարքավորում՝ մաշկի խնամքի համար.</w:t>
      </w:r>
    </w:p>
    <w:p w14:paraId="084BC25D"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է)</w:t>
      </w:r>
      <w:r w:rsidR="005F0644">
        <w:rPr>
          <w:rFonts w:ascii="Sylfaen" w:hAnsi="Sylfaen"/>
          <w:sz w:val="24"/>
          <w:szCs w:val="24"/>
        </w:rPr>
        <w:tab/>
      </w:r>
      <w:r w:rsidRPr="00CA27E3">
        <w:rPr>
          <w:rFonts w:ascii="Sylfaen" w:hAnsi="Sylfaen"/>
          <w:sz w:val="24"/>
          <w:szCs w:val="24"/>
        </w:rPr>
        <w:t xml:space="preserve">սարքավորում՝ անոթներ </w:t>
      </w:r>
      <w:r>
        <w:rPr>
          <w:rFonts w:ascii="Sylfaen" w:hAnsi="Sylfaen"/>
          <w:sz w:val="24"/>
          <w:szCs w:val="24"/>
        </w:rPr>
        <w:t>եւ</w:t>
      </w:r>
      <w:r w:rsidRPr="00CA27E3">
        <w:rPr>
          <w:rFonts w:ascii="Sylfaen" w:hAnsi="Sylfaen"/>
          <w:sz w:val="24"/>
          <w:szCs w:val="24"/>
        </w:rPr>
        <w:t xml:space="preserve"> փաթեթվածքներ փակելու ու բացելու համար.</w:t>
      </w:r>
    </w:p>
    <w:p w14:paraId="5D6C310A"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ը)</w:t>
      </w:r>
      <w:r w:rsidR="005F0644">
        <w:rPr>
          <w:rFonts w:ascii="Sylfaen" w:hAnsi="Sylfaen"/>
          <w:sz w:val="24"/>
          <w:szCs w:val="24"/>
        </w:rPr>
        <w:tab/>
      </w:r>
      <w:r w:rsidRPr="00CA27E3">
        <w:rPr>
          <w:rFonts w:ascii="Sylfaen" w:hAnsi="Sylfaen"/>
          <w:sz w:val="24"/>
          <w:szCs w:val="24"/>
        </w:rPr>
        <w:t>կշեռքներ.</w:t>
      </w:r>
    </w:p>
    <w:p w14:paraId="1AA242DF"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թ)</w:t>
      </w:r>
      <w:r w:rsidR="005F0644">
        <w:rPr>
          <w:rFonts w:ascii="Sylfaen" w:hAnsi="Sylfaen"/>
          <w:sz w:val="24"/>
          <w:szCs w:val="24"/>
        </w:rPr>
        <w:tab/>
      </w:r>
      <w:r w:rsidRPr="00CA27E3">
        <w:rPr>
          <w:rFonts w:ascii="Sylfaen" w:hAnsi="Sylfaen"/>
          <w:sz w:val="24"/>
          <w:szCs w:val="24"/>
        </w:rPr>
        <w:t>կապի վերջնակետային սարքավորում` հեռահաղորդակցական կապից սնվող՝.</w:t>
      </w:r>
    </w:p>
    <w:p w14:paraId="5DEC309D"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w:t>
      </w:r>
      <w:r w:rsidR="005F0644">
        <w:rPr>
          <w:rFonts w:ascii="Sylfaen" w:hAnsi="Sylfaen"/>
          <w:sz w:val="24"/>
          <w:szCs w:val="24"/>
        </w:rPr>
        <w:tab/>
      </w:r>
      <w:r w:rsidRPr="00CA27E3">
        <w:rPr>
          <w:rFonts w:ascii="Sylfaen" w:hAnsi="Sylfaen"/>
          <w:sz w:val="24"/>
          <w:szCs w:val="24"/>
        </w:rPr>
        <w:t>տպիչներ.</w:t>
      </w:r>
    </w:p>
    <w:p w14:paraId="4911DB70"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ժա)</w:t>
      </w:r>
      <w:r w:rsidR="005F0644">
        <w:rPr>
          <w:rFonts w:ascii="Sylfaen" w:hAnsi="Sylfaen"/>
          <w:sz w:val="24"/>
          <w:szCs w:val="24"/>
        </w:rPr>
        <w:tab/>
      </w:r>
      <w:r w:rsidRPr="00CA27E3">
        <w:rPr>
          <w:rFonts w:ascii="Sylfaen" w:hAnsi="Sylfaen"/>
          <w:sz w:val="24"/>
          <w:szCs w:val="24"/>
        </w:rPr>
        <w:t>տեսածրիչներ.</w:t>
      </w:r>
    </w:p>
    <w:p w14:paraId="4D1C40D0"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ժբ)</w:t>
      </w:r>
      <w:r w:rsidR="005F0644">
        <w:rPr>
          <w:rFonts w:ascii="Sylfaen" w:hAnsi="Sylfaen"/>
          <w:sz w:val="24"/>
          <w:szCs w:val="24"/>
        </w:rPr>
        <w:tab/>
      </w:r>
      <w:r w:rsidRPr="00CA27E3">
        <w:rPr>
          <w:rFonts w:ascii="Sylfaen" w:hAnsi="Sylfaen"/>
          <w:sz w:val="24"/>
          <w:szCs w:val="24"/>
        </w:rPr>
        <w:t>ցուցարկիչներ.</w:t>
      </w:r>
    </w:p>
    <w:p w14:paraId="4FEF3F55"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ժգ)</w:t>
      </w:r>
      <w:r w:rsidR="005F0644">
        <w:rPr>
          <w:rFonts w:ascii="Sylfaen" w:hAnsi="Sylfaen"/>
          <w:sz w:val="24"/>
          <w:szCs w:val="24"/>
        </w:rPr>
        <w:tab/>
      </w:r>
      <w:r w:rsidRPr="00CA27E3">
        <w:rPr>
          <w:rFonts w:ascii="Sylfaen" w:hAnsi="Sylfaen"/>
          <w:sz w:val="24"/>
          <w:szCs w:val="24"/>
        </w:rPr>
        <w:t>փոփոխական հոսանքի ցանցից սնուցվող՝ ակտիվ ակուստիկ համակարգեր.</w:t>
      </w:r>
    </w:p>
    <w:p w14:paraId="285D7C91"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ժդ)</w:t>
      </w:r>
      <w:r w:rsidR="005F0644">
        <w:rPr>
          <w:rFonts w:ascii="Sylfaen" w:hAnsi="Sylfaen"/>
          <w:sz w:val="24"/>
          <w:szCs w:val="24"/>
        </w:rPr>
        <w:tab/>
      </w:r>
      <w:r w:rsidRPr="00CA27E3">
        <w:rPr>
          <w:rFonts w:ascii="Sylfaen" w:hAnsi="Sylfaen"/>
          <w:sz w:val="24"/>
          <w:szCs w:val="24"/>
        </w:rPr>
        <w:t>մուլտիմեդիային պրոյեկտորներ.</w:t>
      </w:r>
    </w:p>
    <w:p w14:paraId="2580949A"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ժե)</w:t>
      </w:r>
      <w:r w:rsidR="005F0644">
        <w:rPr>
          <w:rFonts w:ascii="Sylfaen" w:hAnsi="Sylfaen"/>
          <w:sz w:val="24"/>
          <w:szCs w:val="24"/>
        </w:rPr>
        <w:tab/>
      </w:r>
      <w:r w:rsidRPr="00CA27E3">
        <w:rPr>
          <w:rFonts w:ascii="Sylfaen" w:hAnsi="Sylfaen"/>
          <w:sz w:val="24"/>
          <w:szCs w:val="24"/>
        </w:rPr>
        <w:t>ռադիոընդունիչներ.</w:t>
      </w:r>
    </w:p>
    <w:p w14:paraId="50D1AE30"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ժզ)</w:t>
      </w:r>
      <w:r w:rsidR="005F0644">
        <w:rPr>
          <w:rFonts w:ascii="Sylfaen" w:hAnsi="Sylfaen"/>
          <w:sz w:val="24"/>
          <w:szCs w:val="24"/>
        </w:rPr>
        <w:tab/>
      </w:r>
      <w:r w:rsidRPr="00CA27E3">
        <w:rPr>
          <w:rFonts w:ascii="Sylfaen" w:hAnsi="Sylfaen"/>
          <w:sz w:val="24"/>
          <w:szCs w:val="24"/>
        </w:rPr>
        <w:t>տեսամագնիտոֆոններ.</w:t>
      </w:r>
    </w:p>
    <w:p w14:paraId="171443E7"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ժէ)</w:t>
      </w:r>
      <w:r w:rsidR="005F0644">
        <w:rPr>
          <w:rFonts w:ascii="Sylfaen" w:hAnsi="Sylfaen"/>
          <w:sz w:val="24"/>
          <w:szCs w:val="24"/>
        </w:rPr>
        <w:tab/>
      </w:r>
      <w:r w:rsidRPr="00CA27E3">
        <w:rPr>
          <w:rFonts w:ascii="Sylfaen" w:hAnsi="Sylfaen"/>
          <w:sz w:val="24"/>
          <w:szCs w:val="24"/>
        </w:rPr>
        <w:t>տեսախցիկներ.</w:t>
      </w:r>
    </w:p>
    <w:p w14:paraId="7F7DADEF"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ժը)</w:t>
      </w:r>
      <w:r w:rsidR="005F0644">
        <w:rPr>
          <w:rFonts w:ascii="Sylfaen" w:hAnsi="Sylfaen"/>
          <w:sz w:val="24"/>
          <w:szCs w:val="24"/>
        </w:rPr>
        <w:tab/>
      </w:r>
      <w:r w:rsidRPr="00CA27E3">
        <w:rPr>
          <w:rFonts w:ascii="Sylfaen" w:hAnsi="Sylfaen"/>
          <w:sz w:val="24"/>
          <w:szCs w:val="24"/>
        </w:rPr>
        <w:t>ձայնագրող ապարատուրա.</w:t>
      </w:r>
    </w:p>
    <w:p w14:paraId="1386B2CC"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ժթ)</w:t>
      </w:r>
      <w:r w:rsidR="005F0644">
        <w:rPr>
          <w:rFonts w:ascii="Sylfaen" w:hAnsi="Sylfaen"/>
          <w:sz w:val="24"/>
          <w:szCs w:val="24"/>
        </w:rPr>
        <w:tab/>
      </w:r>
      <w:r w:rsidRPr="00CA27E3">
        <w:rPr>
          <w:rFonts w:ascii="Sylfaen" w:hAnsi="Sylfaen"/>
          <w:sz w:val="24"/>
          <w:szCs w:val="24"/>
        </w:rPr>
        <w:t>ձայնային ուժեղարարներ.</w:t>
      </w:r>
    </w:p>
    <w:p w14:paraId="3185F116"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ի)</w:t>
      </w:r>
      <w:r w:rsidR="005F0644">
        <w:rPr>
          <w:rFonts w:ascii="Sylfaen" w:hAnsi="Sylfaen"/>
          <w:sz w:val="24"/>
          <w:szCs w:val="24"/>
        </w:rPr>
        <w:tab/>
      </w:r>
      <w:r w:rsidRPr="00CA27E3">
        <w:rPr>
          <w:rFonts w:ascii="Sylfaen" w:hAnsi="Sylfaen"/>
          <w:sz w:val="24"/>
          <w:szCs w:val="24"/>
        </w:rPr>
        <w:t>տնային կինոթատրոններ.</w:t>
      </w:r>
    </w:p>
    <w:p w14:paraId="7A7E9C93"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իա)</w:t>
      </w:r>
      <w:r w:rsidR="005F0644">
        <w:rPr>
          <w:rFonts w:ascii="Sylfaen" w:hAnsi="Sylfaen"/>
          <w:sz w:val="24"/>
          <w:szCs w:val="24"/>
        </w:rPr>
        <w:tab/>
      </w:r>
      <w:r w:rsidRPr="00CA27E3">
        <w:rPr>
          <w:rFonts w:ascii="Sylfaen" w:hAnsi="Sylfaen"/>
          <w:sz w:val="24"/>
          <w:szCs w:val="24"/>
        </w:rPr>
        <w:t>էլեկտրաերաժշտական գործիքներ.</w:t>
      </w:r>
    </w:p>
    <w:p w14:paraId="6649AD75"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իբ)</w:t>
      </w:r>
      <w:r w:rsidR="005F0644">
        <w:rPr>
          <w:rFonts w:ascii="Sylfaen" w:hAnsi="Sylfaen"/>
          <w:sz w:val="24"/>
          <w:szCs w:val="24"/>
        </w:rPr>
        <w:tab/>
      </w:r>
      <w:r w:rsidRPr="00CA27E3">
        <w:rPr>
          <w:rFonts w:ascii="Sylfaen" w:hAnsi="Sylfaen"/>
          <w:sz w:val="24"/>
          <w:szCs w:val="24"/>
        </w:rPr>
        <w:t xml:space="preserve">պատկերի </w:t>
      </w:r>
      <w:r>
        <w:rPr>
          <w:rFonts w:ascii="Sylfaen" w:hAnsi="Sylfaen"/>
          <w:sz w:val="24"/>
          <w:szCs w:val="24"/>
        </w:rPr>
        <w:t>եւ</w:t>
      </w:r>
      <w:r w:rsidRPr="00CA27E3">
        <w:rPr>
          <w:rFonts w:ascii="Sylfaen" w:hAnsi="Sylfaen"/>
          <w:sz w:val="24"/>
          <w:szCs w:val="24"/>
        </w:rPr>
        <w:t xml:space="preserve"> ձայնի գրառման ու վերարտադրության համար նախատեսված այլ սարքավորում՝ ներառյալ հեռահաղորդակցման կապուղուց </w:t>
      </w:r>
      <w:r w:rsidRPr="00CA27E3">
        <w:rPr>
          <w:rFonts w:ascii="Sylfaen" w:hAnsi="Sylfaen"/>
          <w:sz w:val="24"/>
          <w:szCs w:val="24"/>
        </w:rPr>
        <w:lastRenderedPageBreak/>
        <w:t xml:space="preserve">բացի այլ եղանակներով՝ ազդանշանների միջոցով կամ այլ եղանակով պատկերի </w:t>
      </w:r>
      <w:r>
        <w:rPr>
          <w:rFonts w:ascii="Sylfaen" w:hAnsi="Sylfaen"/>
          <w:sz w:val="24"/>
          <w:szCs w:val="24"/>
        </w:rPr>
        <w:t>եւ</w:t>
      </w:r>
      <w:r w:rsidRPr="00CA27E3">
        <w:rPr>
          <w:rFonts w:ascii="Sylfaen" w:hAnsi="Sylfaen"/>
          <w:sz w:val="24"/>
          <w:szCs w:val="24"/>
        </w:rPr>
        <w:t xml:space="preserve"> ձայնի փոխանցման համար նախատեսված սարքավորումը (բացառությամբ հեռուստացույցների).</w:t>
      </w:r>
    </w:p>
    <w:p w14:paraId="33905DA9"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իգ)</w:t>
      </w:r>
      <w:r w:rsidR="005F0644">
        <w:rPr>
          <w:rFonts w:ascii="Sylfaen" w:hAnsi="Sylfaen"/>
          <w:sz w:val="24"/>
          <w:szCs w:val="24"/>
        </w:rPr>
        <w:tab/>
      </w:r>
      <w:r w:rsidRPr="00CA27E3">
        <w:rPr>
          <w:rFonts w:ascii="Sylfaen" w:hAnsi="Sylfaen"/>
          <w:sz w:val="24"/>
          <w:szCs w:val="24"/>
        </w:rPr>
        <w:t xml:space="preserve">խաղալիքներ, ժամանցի անցկացման </w:t>
      </w:r>
      <w:r>
        <w:rPr>
          <w:rFonts w:ascii="Sylfaen" w:hAnsi="Sylfaen"/>
          <w:sz w:val="24"/>
          <w:szCs w:val="24"/>
        </w:rPr>
        <w:t>եւ</w:t>
      </w:r>
      <w:r w:rsidRPr="00CA27E3">
        <w:rPr>
          <w:rFonts w:ascii="Sylfaen" w:hAnsi="Sylfaen"/>
          <w:sz w:val="24"/>
          <w:szCs w:val="24"/>
        </w:rPr>
        <w:t xml:space="preserve"> սպորտով զբաղվելու համար նախատեսված սարքավորում՝ ներառյալ էլեկտրական մանրաչափ երկաթուղիները </w:t>
      </w:r>
      <w:r>
        <w:rPr>
          <w:rFonts w:ascii="Sylfaen" w:hAnsi="Sylfaen"/>
          <w:sz w:val="24"/>
          <w:szCs w:val="24"/>
        </w:rPr>
        <w:t>եւ</w:t>
      </w:r>
      <w:r w:rsidRPr="00CA27E3">
        <w:rPr>
          <w:rFonts w:ascii="Sylfaen" w:hAnsi="Sylfaen"/>
          <w:sz w:val="24"/>
          <w:szCs w:val="24"/>
        </w:rPr>
        <w:t xml:space="preserve"> ավտոդրոմները, տեսախաղերի համար ձեռքի բարձակները, սպորտային սարքավորումը՝ էլեկտրական </w:t>
      </w:r>
      <w:r>
        <w:rPr>
          <w:rFonts w:ascii="Sylfaen" w:hAnsi="Sylfaen"/>
          <w:sz w:val="24"/>
          <w:szCs w:val="24"/>
        </w:rPr>
        <w:t>եւ</w:t>
      </w:r>
      <w:r w:rsidRPr="00CA27E3">
        <w:rPr>
          <w:rFonts w:ascii="Sylfaen" w:hAnsi="Sylfaen"/>
          <w:sz w:val="24"/>
          <w:szCs w:val="24"/>
        </w:rPr>
        <w:t xml:space="preserve"> էլեկտրոնային բաղադրիչներով, այլ խաղալիքներ </w:t>
      </w:r>
      <w:r>
        <w:rPr>
          <w:rFonts w:ascii="Sylfaen" w:hAnsi="Sylfaen"/>
          <w:sz w:val="24"/>
          <w:szCs w:val="24"/>
        </w:rPr>
        <w:t>եւ</w:t>
      </w:r>
      <w:r w:rsidRPr="00CA27E3">
        <w:rPr>
          <w:rFonts w:ascii="Sylfaen" w:hAnsi="Sylfaen"/>
          <w:sz w:val="24"/>
          <w:szCs w:val="24"/>
        </w:rPr>
        <w:t xml:space="preserve"> մարզասարքեր:</w:t>
      </w:r>
    </w:p>
    <w:p w14:paraId="4465F56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Եթե սույն կետի «ա»-«իգ» ենթակետերում նշված սարքվածքների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այդ սարքվածքները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16848EE5" w14:textId="77777777" w:rsidR="00CA27E3" w:rsidRPr="00CA27E3" w:rsidRDefault="00CA27E3" w:rsidP="00CA27E3">
      <w:pPr>
        <w:pStyle w:val="1"/>
        <w:shd w:val="clear" w:color="auto" w:fill="auto"/>
        <w:spacing w:after="160"/>
        <w:ind w:firstLine="567"/>
        <w:jc w:val="both"/>
        <w:rPr>
          <w:rFonts w:ascii="Sylfaen" w:hAnsi="Sylfaen"/>
          <w:sz w:val="24"/>
          <w:szCs w:val="24"/>
        </w:rPr>
      </w:pPr>
    </w:p>
    <w:p w14:paraId="766AA12F" w14:textId="77777777" w:rsidR="00CA27E3" w:rsidRPr="00CA27E3" w:rsidRDefault="00CA27E3" w:rsidP="005F0644">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t>II. Հիմնական հասկացությունները</w:t>
      </w:r>
    </w:p>
    <w:p w14:paraId="73B6788A"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2.</w:t>
      </w:r>
      <w:r w:rsidR="005F0644">
        <w:rPr>
          <w:rFonts w:ascii="Sylfaen" w:hAnsi="Sylfaen"/>
          <w:sz w:val="24"/>
          <w:szCs w:val="24"/>
        </w:rPr>
        <w:tab/>
      </w:r>
      <w:r w:rsidRPr="00CA27E3">
        <w:rPr>
          <w:rFonts w:ascii="Sylfaen" w:hAnsi="Sylfaen"/>
          <w:sz w:val="24"/>
          <w:szCs w:val="24"/>
        </w:rPr>
        <w:t>Սույն պահանջների կիրառման նպատակներով օգտագործվում են հետ</w:t>
      </w:r>
      <w:r>
        <w:rPr>
          <w:rFonts w:ascii="Sylfaen" w:hAnsi="Sylfaen"/>
          <w:sz w:val="24"/>
          <w:szCs w:val="24"/>
        </w:rPr>
        <w:t>եւ</w:t>
      </w:r>
      <w:r w:rsidRPr="00CA27E3">
        <w:rPr>
          <w:rFonts w:ascii="Sylfaen" w:hAnsi="Sylfaen"/>
          <w:sz w:val="24"/>
          <w:szCs w:val="24"/>
        </w:rPr>
        <w:t>յալ հասկացությունները, որոնք ունեն հետ</w:t>
      </w:r>
      <w:r>
        <w:rPr>
          <w:rFonts w:ascii="Sylfaen" w:hAnsi="Sylfaen"/>
          <w:sz w:val="24"/>
          <w:szCs w:val="24"/>
        </w:rPr>
        <w:t>եւ</w:t>
      </w:r>
      <w:r w:rsidRPr="00CA27E3">
        <w:rPr>
          <w:rFonts w:ascii="Sylfaen" w:hAnsi="Sylfaen"/>
          <w:sz w:val="24"/>
          <w:szCs w:val="24"/>
        </w:rPr>
        <w:t>յալ իմաստը՝</w:t>
      </w:r>
    </w:p>
    <w:p w14:paraId="3A3B38B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b/>
          <w:sz w:val="24"/>
          <w:szCs w:val="24"/>
        </w:rPr>
        <w:t>սնուցման արտաքին ցածրավոլտ բլոկ</w:t>
      </w:r>
      <w:r w:rsidRPr="00CA27E3">
        <w:rPr>
          <w:rFonts w:ascii="Sylfaen" w:hAnsi="Sylfaen"/>
          <w:sz w:val="24"/>
          <w:szCs w:val="24"/>
        </w:rPr>
        <w:t xml:space="preserve">՝ սնուցման արտաքին աղբյուր 6 Վ-ից պակաս ելքային լարմամբ </w:t>
      </w:r>
      <w:r>
        <w:rPr>
          <w:rFonts w:ascii="Sylfaen" w:hAnsi="Sylfaen"/>
          <w:sz w:val="24"/>
          <w:szCs w:val="24"/>
        </w:rPr>
        <w:t>եւ</w:t>
      </w:r>
      <w:r w:rsidRPr="00CA27E3">
        <w:rPr>
          <w:rFonts w:ascii="Sylfaen" w:hAnsi="Sylfaen"/>
          <w:sz w:val="24"/>
          <w:szCs w:val="24"/>
        </w:rPr>
        <w:t xml:space="preserve"> 550 մԱ-ից ոչ պակաս ելքային հոսանքի ուժով.</w:t>
      </w:r>
    </w:p>
    <w:p w14:paraId="0CFAFA8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b/>
          <w:sz w:val="24"/>
          <w:szCs w:val="24"/>
        </w:rPr>
        <w:t>աշխատանքի ռեժիմ՝</w:t>
      </w:r>
      <w:r w:rsidRPr="00CA27E3">
        <w:rPr>
          <w:rFonts w:ascii="Sylfaen" w:hAnsi="Sylfaen"/>
          <w:sz w:val="24"/>
          <w:szCs w:val="24"/>
        </w:rPr>
        <w:t xml:space="preserve"> սարքավորման այն վիճակը, որի ժամանակ այն միացված է սնուցման աղբյուրին </w:t>
      </w:r>
      <w:r>
        <w:rPr>
          <w:rFonts w:ascii="Sylfaen" w:hAnsi="Sylfaen"/>
          <w:sz w:val="24"/>
          <w:szCs w:val="24"/>
        </w:rPr>
        <w:t>եւ</w:t>
      </w:r>
      <w:r w:rsidRPr="00CA27E3">
        <w:rPr>
          <w:rFonts w:ascii="Sylfaen" w:hAnsi="Sylfaen"/>
          <w:sz w:val="24"/>
          <w:szCs w:val="24"/>
        </w:rPr>
        <w:t xml:space="preserve"> նշանակությանը համապատասխան կատարում է իր գլխավոր ֆունկցիաներից առնվազն մեկը.</w:t>
      </w:r>
    </w:p>
    <w:p w14:paraId="1369DC2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b/>
          <w:spacing w:val="-4"/>
          <w:sz w:val="24"/>
          <w:szCs w:val="24"/>
        </w:rPr>
        <w:t>անջատման ռեժիմ՝</w:t>
      </w:r>
      <w:r w:rsidRPr="005F0644">
        <w:rPr>
          <w:rFonts w:ascii="Sylfaen" w:hAnsi="Sylfaen"/>
          <w:spacing w:val="-4"/>
          <w:sz w:val="24"/>
          <w:szCs w:val="24"/>
        </w:rPr>
        <w:t xml:space="preserve"> սարքավորման այն վիճակը, որի ժամանակ այն միացված է սնուցման</w:t>
      </w:r>
      <w:r w:rsidRPr="00CA27E3">
        <w:rPr>
          <w:rFonts w:ascii="Sylfaen" w:hAnsi="Sylfaen"/>
          <w:sz w:val="24"/>
          <w:szCs w:val="24"/>
        </w:rPr>
        <w:t xml:space="preserve"> աղբյուրին, չի գտնվում աշխատանքի ռեժիմում կամ սպասման ռեժիմում </w:t>
      </w:r>
      <w:r>
        <w:rPr>
          <w:rFonts w:ascii="Sylfaen" w:hAnsi="Sylfaen"/>
          <w:sz w:val="24"/>
          <w:szCs w:val="24"/>
        </w:rPr>
        <w:t>եւ</w:t>
      </w:r>
      <w:r w:rsidRPr="00CA27E3">
        <w:rPr>
          <w:rFonts w:ascii="Sylfaen" w:hAnsi="Sylfaen"/>
          <w:sz w:val="24"/>
          <w:szCs w:val="24"/>
        </w:rPr>
        <w:t xml:space="preserve"> կարող է կատարել միայն էլեկտրամագնիսական համատեղելիությանը </w:t>
      </w:r>
      <w:r>
        <w:rPr>
          <w:rFonts w:ascii="Sylfaen" w:hAnsi="Sylfaen"/>
          <w:sz w:val="24"/>
          <w:szCs w:val="24"/>
        </w:rPr>
        <w:t>եւ</w:t>
      </w:r>
      <w:r w:rsidRPr="00CA27E3">
        <w:rPr>
          <w:rFonts w:ascii="Sylfaen" w:hAnsi="Sylfaen"/>
          <w:sz w:val="24"/>
          <w:szCs w:val="24"/>
        </w:rPr>
        <w:t xml:space="preserve"> (կամ) </w:t>
      </w:r>
      <w:r w:rsidRPr="00CA27E3">
        <w:rPr>
          <w:rFonts w:ascii="Sylfaen" w:hAnsi="Sylfaen"/>
          <w:sz w:val="24"/>
          <w:szCs w:val="24"/>
        </w:rPr>
        <w:lastRenderedPageBreak/>
        <w:t>անջատման ռեժիմի ցուցանշմանը ներկայացվող պահանջների կատարման ապահովման ֆունկցիան.</w:t>
      </w:r>
    </w:p>
    <w:p w14:paraId="5F30304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b/>
          <w:sz w:val="24"/>
          <w:szCs w:val="24"/>
        </w:rPr>
        <w:t>սպասման ռեժիմ (սպասող ռեժիմ)՝</w:t>
      </w:r>
      <w:r w:rsidRPr="00CA27E3">
        <w:rPr>
          <w:rFonts w:ascii="Sylfaen" w:hAnsi="Sylfaen"/>
          <w:sz w:val="24"/>
          <w:szCs w:val="24"/>
        </w:rPr>
        <w:t xml:space="preserve"> սարքավորման այն վիճակը, որի ժամանակ այն միացված է սնուցման աղբյուրին </w:t>
      </w:r>
      <w:r>
        <w:rPr>
          <w:rFonts w:ascii="Sylfaen" w:hAnsi="Sylfaen"/>
          <w:sz w:val="24"/>
          <w:szCs w:val="24"/>
        </w:rPr>
        <w:t>եւ</w:t>
      </w:r>
      <w:r w:rsidRPr="00CA27E3">
        <w:rPr>
          <w:rFonts w:ascii="Sylfaen" w:hAnsi="Sylfaen"/>
          <w:sz w:val="24"/>
          <w:szCs w:val="24"/>
        </w:rPr>
        <w:t xml:space="preserve"> անսահմանափակ ժամանակով իրականացնում է վերաակտիվացման ֆունկցիան (այդ թվում՝ վերաակտիվացման ունակության (պատրաստության) ցուցանշմամբ) (պայմանով, որ դա չի խոչընդոտում ըստ նշանակության կիրառումը) </w:t>
      </w:r>
      <w:r>
        <w:rPr>
          <w:rFonts w:ascii="Sylfaen" w:hAnsi="Sylfaen"/>
          <w:sz w:val="24"/>
          <w:szCs w:val="24"/>
        </w:rPr>
        <w:t>եւ</w:t>
      </w:r>
      <w:r w:rsidRPr="00CA27E3">
        <w:rPr>
          <w:rFonts w:ascii="Sylfaen" w:hAnsi="Sylfaen"/>
          <w:sz w:val="24"/>
          <w:szCs w:val="24"/>
        </w:rPr>
        <w:t xml:space="preserve"> (կամ) տեղեկացման կամ վիճակի արտացոլման ֆունկցիան.</w:t>
      </w:r>
    </w:p>
    <w:p w14:paraId="56B887F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b/>
          <w:sz w:val="24"/>
          <w:szCs w:val="24"/>
        </w:rPr>
        <w:t>տեղեկացման կամ վիճակի արտացոլման ֆունկցիա</w:t>
      </w:r>
      <w:r w:rsidRPr="00CA27E3">
        <w:rPr>
          <w:rFonts w:ascii="Sylfaen" w:hAnsi="Sylfaen"/>
          <w:sz w:val="24"/>
          <w:szCs w:val="24"/>
        </w:rPr>
        <w:t>՝ այն ֆունկցիան, որն ապահովում է տեղեկատվության տրամադրումը կամ ցուցասարքի վրա սարքավորման վիճակի արտացոլումը, այդ թվում նա</w:t>
      </w:r>
      <w:r>
        <w:rPr>
          <w:rFonts w:ascii="Sylfaen" w:hAnsi="Sylfaen"/>
          <w:sz w:val="24"/>
          <w:szCs w:val="24"/>
        </w:rPr>
        <w:t>եւ</w:t>
      </w:r>
      <w:r w:rsidRPr="00CA27E3">
        <w:rPr>
          <w:rFonts w:ascii="Sylfaen" w:hAnsi="Sylfaen"/>
          <w:sz w:val="24"/>
          <w:szCs w:val="24"/>
        </w:rPr>
        <w:t>՝ ժամանակի ցուցանշումը.</w:t>
      </w:r>
    </w:p>
    <w:p w14:paraId="0044810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F0644">
        <w:rPr>
          <w:rFonts w:ascii="Sylfaen" w:hAnsi="Sylfaen"/>
          <w:b/>
          <w:sz w:val="24"/>
          <w:szCs w:val="24"/>
        </w:rPr>
        <w:t>վերաակտիվացման ֆունկցիա՝</w:t>
      </w:r>
      <w:r w:rsidRPr="00CA27E3">
        <w:rPr>
          <w:rFonts w:ascii="Sylfaen" w:hAnsi="Sylfaen"/>
          <w:sz w:val="24"/>
          <w:szCs w:val="24"/>
        </w:rPr>
        <w:t xml:space="preserve"> այն ֆունկցիան, որը հեռահար կառավարման սարքվածքների, ներքին տվիչների կամ թայմերների միջոցով ապահովում է սպասման ռեժիմից աշխատանքի ռեժիմի անցնելու ունակությունը, որի ժամանակ տեղի է ունենում սարքավորման հիմնական </w:t>
      </w:r>
      <w:r>
        <w:rPr>
          <w:rFonts w:ascii="Sylfaen" w:hAnsi="Sylfaen"/>
          <w:sz w:val="24"/>
          <w:szCs w:val="24"/>
        </w:rPr>
        <w:t>եւ</w:t>
      </w:r>
      <w:r w:rsidRPr="00CA27E3">
        <w:rPr>
          <w:rFonts w:ascii="Sylfaen" w:hAnsi="Sylfaen"/>
          <w:sz w:val="24"/>
          <w:szCs w:val="24"/>
        </w:rPr>
        <w:t xml:space="preserve"> (կամ) լրացուցիչ ֆունկցիաների կատարման ակտիվացում։</w:t>
      </w:r>
    </w:p>
    <w:p w14:paraId="5F166D70" w14:textId="77777777" w:rsidR="00CA27E3" w:rsidRPr="00CA27E3" w:rsidRDefault="00CA27E3" w:rsidP="00CA27E3">
      <w:pPr>
        <w:pStyle w:val="1"/>
        <w:shd w:val="clear" w:color="auto" w:fill="auto"/>
        <w:spacing w:after="160"/>
        <w:ind w:firstLine="567"/>
        <w:jc w:val="both"/>
        <w:rPr>
          <w:rFonts w:ascii="Sylfaen" w:hAnsi="Sylfaen"/>
          <w:sz w:val="24"/>
          <w:szCs w:val="24"/>
        </w:rPr>
      </w:pPr>
    </w:p>
    <w:p w14:paraId="7A714C9C" w14:textId="77777777" w:rsidR="00CA27E3" w:rsidRPr="00CA27E3" w:rsidRDefault="00CA27E3" w:rsidP="005F0644">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t xml:space="preserve">III. Սպասման, անջատման </w:t>
      </w:r>
      <w:r>
        <w:rPr>
          <w:rFonts w:ascii="Sylfaen" w:hAnsi="Sylfaen"/>
          <w:sz w:val="24"/>
          <w:szCs w:val="24"/>
        </w:rPr>
        <w:t>եւ</w:t>
      </w:r>
      <w:r w:rsidRPr="00CA27E3">
        <w:rPr>
          <w:rFonts w:ascii="Sylfaen" w:hAnsi="Sylfaen"/>
          <w:sz w:val="24"/>
          <w:szCs w:val="24"/>
        </w:rPr>
        <w:t xml:space="preserve"> վերաակտիվացման ռեժիմում սարքավորման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6794EC9D"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3.</w:t>
      </w:r>
      <w:r w:rsidR="005F0644">
        <w:rPr>
          <w:rFonts w:ascii="Sylfaen" w:hAnsi="Sylfaen"/>
          <w:sz w:val="24"/>
          <w:szCs w:val="24"/>
        </w:rPr>
        <w:tab/>
      </w:r>
      <w:r w:rsidRPr="00CA27E3">
        <w:rPr>
          <w:rFonts w:ascii="Sylfaen" w:hAnsi="Sylfaen"/>
          <w:sz w:val="24"/>
          <w:szCs w:val="24"/>
        </w:rPr>
        <w:t>Սարքավորումը պետք է ունենա էլեկտրասնուցման ռեժիմի կառավարման՝ հետ</w:t>
      </w:r>
      <w:r>
        <w:rPr>
          <w:rFonts w:ascii="Sylfaen" w:hAnsi="Sylfaen"/>
          <w:sz w:val="24"/>
          <w:szCs w:val="24"/>
        </w:rPr>
        <w:t>եւ</w:t>
      </w:r>
      <w:r w:rsidRPr="00CA27E3">
        <w:rPr>
          <w:rFonts w:ascii="Sylfaen" w:hAnsi="Sylfaen"/>
          <w:sz w:val="24"/>
          <w:szCs w:val="24"/>
        </w:rPr>
        <w:t>յալ առնվազն մեկ տեսակի սարքվածքներ (սարքվածք)՝</w:t>
      </w:r>
    </w:p>
    <w:p w14:paraId="57462B42"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5F0644">
        <w:rPr>
          <w:rFonts w:ascii="Sylfaen" w:hAnsi="Sylfaen"/>
          <w:sz w:val="24"/>
          <w:szCs w:val="24"/>
        </w:rPr>
        <w:tab/>
      </w:r>
      <w:r w:rsidRPr="00CA27E3">
        <w:rPr>
          <w:rFonts w:ascii="Sylfaen" w:hAnsi="Sylfaen"/>
          <w:sz w:val="24"/>
          <w:szCs w:val="24"/>
        </w:rPr>
        <w:t xml:space="preserve">ավտոմատ կառավարող սարքվածք, որը կարճ ժամանակում փոխարկում է ցանցին միացված, սակայն հիմնական աշխատանքային ֆունկցիաներ չկատարող </w:t>
      </w:r>
      <w:r>
        <w:rPr>
          <w:rFonts w:ascii="Sylfaen" w:hAnsi="Sylfaen"/>
          <w:sz w:val="24"/>
          <w:szCs w:val="24"/>
        </w:rPr>
        <w:t>եւ</w:t>
      </w:r>
      <w:r w:rsidRPr="00CA27E3">
        <w:rPr>
          <w:rFonts w:ascii="Sylfaen" w:hAnsi="Sylfaen"/>
          <w:sz w:val="24"/>
          <w:szCs w:val="24"/>
        </w:rPr>
        <w:t xml:space="preserve"> այլ սարքավորման հետ կապ չունեցող սարքավորումը սպասման ռեժիմի կամ անջատման ռեժիմի, եթե տվյալ ֆունկցիան չի</w:t>
      </w:r>
      <w:r w:rsidR="00BF26A1" w:rsidRPr="00BF26A1">
        <w:rPr>
          <w:rFonts w:ascii="Sylfaen" w:hAnsi="Sylfaen"/>
          <w:sz w:val="24"/>
          <w:szCs w:val="24"/>
        </w:rPr>
        <w:t> </w:t>
      </w:r>
      <w:r w:rsidRPr="00CA27E3">
        <w:rPr>
          <w:rFonts w:ascii="Sylfaen" w:hAnsi="Sylfaen"/>
          <w:sz w:val="24"/>
          <w:szCs w:val="24"/>
        </w:rPr>
        <w:t>խոչընդոտում ըստ նշանակության կիրառումը.</w:t>
      </w:r>
    </w:p>
    <w:p w14:paraId="39F67638"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բ)</w:t>
      </w:r>
      <w:r w:rsidR="005F0644">
        <w:rPr>
          <w:rFonts w:ascii="Sylfaen" w:hAnsi="Sylfaen"/>
          <w:sz w:val="24"/>
          <w:szCs w:val="24"/>
        </w:rPr>
        <w:tab/>
      </w:r>
      <w:r w:rsidRPr="00CA27E3">
        <w:rPr>
          <w:rFonts w:ascii="Sylfaen" w:hAnsi="Sylfaen"/>
          <w:sz w:val="24"/>
          <w:szCs w:val="24"/>
        </w:rPr>
        <w:t xml:space="preserve">մեխանիկական կառավարող սարքվածք, որը տեղակայված է ցանցին միացված </w:t>
      </w:r>
      <w:r>
        <w:rPr>
          <w:rFonts w:ascii="Sylfaen" w:hAnsi="Sylfaen"/>
          <w:sz w:val="24"/>
          <w:szCs w:val="24"/>
        </w:rPr>
        <w:t>եւ</w:t>
      </w:r>
      <w:r w:rsidRPr="00CA27E3">
        <w:rPr>
          <w:rFonts w:ascii="Sylfaen" w:hAnsi="Sylfaen"/>
          <w:sz w:val="24"/>
          <w:szCs w:val="24"/>
        </w:rPr>
        <w:t xml:space="preserve"> աշխատանքի դիրքում դրված սարքավորման առջ</w:t>
      </w:r>
      <w:r>
        <w:rPr>
          <w:rFonts w:ascii="Sylfaen" w:hAnsi="Sylfaen"/>
          <w:sz w:val="24"/>
          <w:szCs w:val="24"/>
        </w:rPr>
        <w:t>եւ</w:t>
      </w:r>
      <w:r w:rsidRPr="00CA27E3">
        <w:rPr>
          <w:rFonts w:ascii="Sylfaen" w:hAnsi="Sylfaen"/>
          <w:sz w:val="24"/>
          <w:szCs w:val="24"/>
        </w:rPr>
        <w:t xml:space="preserve">ի պանելի վրա կամ այդ սարքավորման վրա այլ տեսանելի </w:t>
      </w:r>
      <w:r>
        <w:rPr>
          <w:rFonts w:ascii="Sylfaen" w:hAnsi="Sylfaen"/>
          <w:sz w:val="24"/>
          <w:szCs w:val="24"/>
        </w:rPr>
        <w:t>եւ</w:t>
      </w:r>
      <w:r w:rsidRPr="00CA27E3">
        <w:rPr>
          <w:rFonts w:ascii="Sylfaen" w:hAnsi="Sylfaen"/>
          <w:sz w:val="24"/>
          <w:szCs w:val="24"/>
        </w:rPr>
        <w:t xml:space="preserve"> հեշտ հասանելի մեկ այլ տեղում, որը ձեռքի ռեժիմում փոխարկում է սարքավորումը սպասման ռեժիմի կամ անջատման ռեժիմի:</w:t>
      </w:r>
    </w:p>
    <w:p w14:paraId="3F2203C2"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4.</w:t>
      </w:r>
      <w:r w:rsidR="005F0644">
        <w:rPr>
          <w:rFonts w:ascii="Sylfaen" w:hAnsi="Sylfaen"/>
          <w:sz w:val="24"/>
          <w:szCs w:val="24"/>
        </w:rPr>
        <w:tab/>
      </w:r>
      <w:r w:rsidRPr="00CA27E3">
        <w:rPr>
          <w:rFonts w:ascii="Sylfaen" w:hAnsi="Sylfaen"/>
          <w:sz w:val="24"/>
          <w:szCs w:val="24"/>
        </w:rPr>
        <w:t xml:space="preserve">Սարքավորումը պետք է ունենա անջատման ռեժիմ </w:t>
      </w:r>
      <w:r>
        <w:rPr>
          <w:rFonts w:ascii="Sylfaen" w:hAnsi="Sylfaen"/>
          <w:sz w:val="24"/>
          <w:szCs w:val="24"/>
        </w:rPr>
        <w:t>եւ</w:t>
      </w:r>
      <w:r w:rsidRPr="00CA27E3">
        <w:rPr>
          <w:rFonts w:ascii="Sylfaen" w:hAnsi="Sylfaen"/>
          <w:sz w:val="24"/>
          <w:szCs w:val="24"/>
        </w:rPr>
        <w:t xml:space="preserve"> (կամ) սպասման ռեժիմ (բացառությամբ այն դեպքերի, երբ դա նպատակահարմար է սարքավորման նշանակության տեսանկյունից):</w:t>
      </w:r>
    </w:p>
    <w:p w14:paraId="16F6F2E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Սպասման ռեժիմում սարքավորման օգտագործվող հզորությունը չպետք է գերազանցի 1-ին աղյուսակում նշված արժեքները։</w:t>
      </w:r>
    </w:p>
    <w:p w14:paraId="1AD1886C" w14:textId="77777777" w:rsidR="005F0644" w:rsidRDefault="005F0644" w:rsidP="00CA27E3">
      <w:pPr>
        <w:pStyle w:val="1"/>
        <w:shd w:val="clear" w:color="auto" w:fill="auto"/>
        <w:spacing w:after="160"/>
        <w:ind w:firstLine="0"/>
        <w:jc w:val="right"/>
        <w:rPr>
          <w:rFonts w:ascii="Sylfaen" w:hAnsi="Sylfaen"/>
          <w:sz w:val="24"/>
          <w:szCs w:val="24"/>
        </w:rPr>
      </w:pPr>
    </w:p>
    <w:p w14:paraId="736B5E6A" w14:textId="77777777" w:rsidR="00CA27E3" w:rsidRPr="00CA27E3" w:rsidRDefault="00CA27E3" w:rsidP="00CA27E3">
      <w:pPr>
        <w:pStyle w:val="1"/>
        <w:shd w:val="clear" w:color="auto" w:fill="auto"/>
        <w:spacing w:after="160"/>
        <w:ind w:firstLine="0"/>
        <w:jc w:val="right"/>
        <w:rPr>
          <w:rFonts w:ascii="Sylfaen" w:hAnsi="Sylfaen"/>
          <w:sz w:val="24"/>
          <w:szCs w:val="24"/>
        </w:rPr>
      </w:pPr>
      <w:r w:rsidRPr="00CA27E3">
        <w:rPr>
          <w:rFonts w:ascii="Sylfaen" w:hAnsi="Sylfaen"/>
          <w:sz w:val="24"/>
          <w:szCs w:val="24"/>
        </w:rPr>
        <w:t>Աղյուսակ 1</w:t>
      </w:r>
    </w:p>
    <w:p w14:paraId="7911F7C6"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Սպասման ռեժիմում սարքավորման օգտագործվող հզորությունը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21"/>
        <w:gridCol w:w="5102"/>
        <w:gridCol w:w="2304"/>
      </w:tblGrid>
      <w:tr w:rsidR="00CA27E3" w:rsidRPr="00066F60" w14:paraId="52E33DFC" w14:textId="77777777" w:rsidTr="00CA27E3">
        <w:trPr>
          <w:jc w:val="center"/>
        </w:trPr>
        <w:tc>
          <w:tcPr>
            <w:tcW w:w="2021" w:type="dxa"/>
            <w:tcBorders>
              <w:top w:val="single" w:sz="4" w:space="0" w:color="auto"/>
              <w:left w:val="single" w:sz="4" w:space="0" w:color="auto"/>
            </w:tcBorders>
            <w:shd w:val="clear" w:color="auto" w:fill="FFFFFF"/>
            <w:vAlign w:val="bottom"/>
          </w:tcPr>
          <w:p w14:paraId="415B5D18"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Էլեկտրասնուցման ռեժիմի կառավարման սարքվածքի տիպը</w:t>
            </w:r>
          </w:p>
        </w:tc>
        <w:tc>
          <w:tcPr>
            <w:tcW w:w="5102" w:type="dxa"/>
            <w:tcBorders>
              <w:top w:val="single" w:sz="4" w:space="0" w:color="auto"/>
              <w:left w:val="single" w:sz="4" w:space="0" w:color="auto"/>
            </w:tcBorders>
            <w:shd w:val="clear" w:color="auto" w:fill="FFFFFF"/>
            <w:vAlign w:val="center"/>
          </w:tcPr>
          <w:p w14:paraId="690F266D"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Կատարվող ֆունկցիաները</w:t>
            </w:r>
          </w:p>
        </w:tc>
        <w:tc>
          <w:tcPr>
            <w:tcW w:w="2304" w:type="dxa"/>
            <w:tcBorders>
              <w:top w:val="single" w:sz="4" w:space="0" w:color="auto"/>
              <w:left w:val="single" w:sz="4" w:space="0" w:color="auto"/>
              <w:right w:val="single" w:sz="4" w:space="0" w:color="auto"/>
            </w:tcBorders>
            <w:shd w:val="clear" w:color="auto" w:fill="FFFFFF"/>
            <w:vAlign w:val="center"/>
          </w:tcPr>
          <w:p w14:paraId="05421318" w14:textId="77777777" w:rsidR="00CA27E3" w:rsidRPr="00066F60" w:rsidRDefault="00CA27E3" w:rsidP="005F0644">
            <w:pPr>
              <w:pStyle w:val="Other0"/>
              <w:shd w:val="clear" w:color="auto" w:fill="auto"/>
              <w:spacing w:after="120"/>
              <w:ind w:right="98"/>
              <w:rPr>
                <w:rFonts w:ascii="Sylfaen" w:hAnsi="Sylfaen"/>
                <w:sz w:val="20"/>
                <w:szCs w:val="20"/>
              </w:rPr>
            </w:pPr>
            <w:r w:rsidRPr="00066F60">
              <w:rPr>
                <w:rFonts w:ascii="Sylfaen" w:hAnsi="Sylfaen"/>
                <w:sz w:val="20"/>
                <w:szCs w:val="20"/>
              </w:rPr>
              <w:t>Օգտագործվող հզորությունը, (Վտ), ոչ</w:t>
            </w:r>
            <w:r w:rsidR="005F0644">
              <w:rPr>
                <w:rFonts w:ascii="Sylfaen" w:hAnsi="Sylfaen"/>
                <w:sz w:val="20"/>
                <w:szCs w:val="20"/>
              </w:rPr>
              <w:t> </w:t>
            </w:r>
            <w:r w:rsidRPr="00066F60">
              <w:rPr>
                <w:rFonts w:ascii="Sylfaen" w:hAnsi="Sylfaen"/>
                <w:sz w:val="20"/>
                <w:szCs w:val="20"/>
              </w:rPr>
              <w:t>ավելի քան</w:t>
            </w:r>
          </w:p>
        </w:tc>
      </w:tr>
      <w:tr w:rsidR="00CA27E3" w:rsidRPr="00066F60" w14:paraId="5AED3963" w14:textId="77777777" w:rsidTr="00CA27E3">
        <w:trPr>
          <w:jc w:val="center"/>
        </w:trPr>
        <w:tc>
          <w:tcPr>
            <w:tcW w:w="9427" w:type="dxa"/>
            <w:gridSpan w:val="3"/>
            <w:tcBorders>
              <w:top w:val="single" w:sz="4" w:space="0" w:color="auto"/>
              <w:left w:val="single" w:sz="4" w:space="0" w:color="auto"/>
              <w:right w:val="single" w:sz="4" w:space="0" w:color="auto"/>
            </w:tcBorders>
            <w:shd w:val="clear" w:color="auto" w:fill="FFFFFF"/>
            <w:vAlign w:val="bottom"/>
          </w:tcPr>
          <w:p w14:paraId="72CDC436"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2020 թվականի սեպտեմբերի 1-ից</w:t>
            </w:r>
          </w:p>
        </w:tc>
      </w:tr>
      <w:tr w:rsidR="00CA27E3" w:rsidRPr="00066F60" w14:paraId="0D8E0E94" w14:textId="77777777" w:rsidTr="00CA27E3">
        <w:trPr>
          <w:jc w:val="center"/>
        </w:trPr>
        <w:tc>
          <w:tcPr>
            <w:tcW w:w="2021" w:type="dxa"/>
            <w:vMerge w:val="restart"/>
            <w:tcBorders>
              <w:top w:val="single" w:sz="4" w:space="0" w:color="auto"/>
              <w:left w:val="single" w:sz="4" w:space="0" w:color="auto"/>
            </w:tcBorders>
            <w:shd w:val="clear" w:color="auto" w:fill="FFFFFF"/>
            <w:vAlign w:val="center"/>
          </w:tcPr>
          <w:p w14:paraId="59BF68D9"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Ավտոմատ կառավարող սարքվածք</w:t>
            </w:r>
          </w:p>
        </w:tc>
        <w:tc>
          <w:tcPr>
            <w:tcW w:w="5102" w:type="dxa"/>
            <w:tcBorders>
              <w:top w:val="single" w:sz="4" w:space="0" w:color="auto"/>
              <w:left w:val="single" w:sz="4" w:space="0" w:color="auto"/>
            </w:tcBorders>
            <w:shd w:val="clear" w:color="auto" w:fill="FFFFFF"/>
            <w:vAlign w:val="center"/>
          </w:tcPr>
          <w:p w14:paraId="1F263D8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վերաակտիվացման ֆունկցիա (այդ թվում՝ վերաակտիվացման ունակության (պատրաստության) ցուցանշմամբ)</w:t>
            </w:r>
          </w:p>
        </w:tc>
        <w:tc>
          <w:tcPr>
            <w:tcW w:w="2304" w:type="dxa"/>
            <w:tcBorders>
              <w:top w:val="single" w:sz="4" w:space="0" w:color="auto"/>
              <w:left w:val="single" w:sz="4" w:space="0" w:color="auto"/>
              <w:right w:val="single" w:sz="4" w:space="0" w:color="auto"/>
            </w:tcBorders>
            <w:shd w:val="clear" w:color="auto" w:fill="FFFFFF"/>
            <w:vAlign w:val="center"/>
          </w:tcPr>
          <w:p w14:paraId="19131EB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1,00</w:t>
            </w:r>
          </w:p>
        </w:tc>
      </w:tr>
      <w:tr w:rsidR="00CA27E3" w:rsidRPr="00066F60" w14:paraId="010D7E28" w14:textId="77777777" w:rsidTr="00CA27E3">
        <w:trPr>
          <w:jc w:val="center"/>
        </w:trPr>
        <w:tc>
          <w:tcPr>
            <w:tcW w:w="2021" w:type="dxa"/>
            <w:vMerge/>
            <w:tcBorders>
              <w:left w:val="single" w:sz="4" w:space="0" w:color="auto"/>
            </w:tcBorders>
            <w:shd w:val="clear" w:color="auto" w:fill="FFFFFF"/>
            <w:vAlign w:val="center"/>
          </w:tcPr>
          <w:p w14:paraId="1DD1EACE" w14:textId="77777777" w:rsidR="00CA27E3" w:rsidRPr="00066F60" w:rsidRDefault="00CA27E3" w:rsidP="00066F60">
            <w:pPr>
              <w:spacing w:after="120"/>
              <w:rPr>
                <w:rFonts w:ascii="Sylfaen" w:hAnsi="Sylfaen"/>
                <w:sz w:val="20"/>
                <w:szCs w:val="20"/>
              </w:rPr>
            </w:pPr>
          </w:p>
        </w:tc>
        <w:tc>
          <w:tcPr>
            <w:tcW w:w="5102" w:type="dxa"/>
            <w:tcBorders>
              <w:top w:val="single" w:sz="4" w:space="0" w:color="auto"/>
              <w:left w:val="single" w:sz="4" w:space="0" w:color="auto"/>
            </w:tcBorders>
            <w:shd w:val="clear" w:color="auto" w:fill="FFFFFF"/>
            <w:vAlign w:val="center"/>
          </w:tcPr>
          <w:p w14:paraId="1929ACA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 xml:space="preserve">տեղեկացման կամ վիճակի արտացոլման ֆունկցիա (անկախ վերաակտիվացման ֆունկցիայի առկայությունից կամ բացակայությունից) </w:t>
            </w:r>
          </w:p>
        </w:tc>
        <w:tc>
          <w:tcPr>
            <w:tcW w:w="2304" w:type="dxa"/>
            <w:tcBorders>
              <w:top w:val="single" w:sz="4" w:space="0" w:color="auto"/>
              <w:left w:val="single" w:sz="4" w:space="0" w:color="auto"/>
              <w:right w:val="single" w:sz="4" w:space="0" w:color="auto"/>
            </w:tcBorders>
            <w:shd w:val="clear" w:color="auto" w:fill="FFFFFF"/>
            <w:vAlign w:val="center"/>
          </w:tcPr>
          <w:p w14:paraId="6ED1C8B3"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2,00</w:t>
            </w:r>
          </w:p>
        </w:tc>
      </w:tr>
      <w:tr w:rsidR="00CA27E3" w:rsidRPr="00066F60" w14:paraId="0229BEAE" w14:textId="77777777" w:rsidTr="00CA27E3">
        <w:trPr>
          <w:jc w:val="center"/>
        </w:trPr>
        <w:tc>
          <w:tcPr>
            <w:tcW w:w="9427" w:type="dxa"/>
            <w:gridSpan w:val="3"/>
            <w:tcBorders>
              <w:top w:val="single" w:sz="4" w:space="0" w:color="auto"/>
              <w:left w:val="single" w:sz="4" w:space="0" w:color="auto"/>
              <w:right w:val="single" w:sz="4" w:space="0" w:color="auto"/>
            </w:tcBorders>
            <w:shd w:val="clear" w:color="auto" w:fill="FFFFFF"/>
            <w:vAlign w:val="bottom"/>
          </w:tcPr>
          <w:p w14:paraId="7DAD7335"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2021 թվականի սեպտեմբերի 1-ից</w:t>
            </w:r>
          </w:p>
        </w:tc>
      </w:tr>
      <w:tr w:rsidR="00CA27E3" w:rsidRPr="00066F60" w14:paraId="143B845F" w14:textId="77777777" w:rsidTr="00CA27E3">
        <w:trPr>
          <w:jc w:val="center"/>
        </w:trPr>
        <w:tc>
          <w:tcPr>
            <w:tcW w:w="2021" w:type="dxa"/>
            <w:vMerge w:val="restart"/>
            <w:tcBorders>
              <w:top w:val="single" w:sz="4" w:space="0" w:color="auto"/>
              <w:left w:val="single" w:sz="4" w:space="0" w:color="auto"/>
            </w:tcBorders>
            <w:shd w:val="clear" w:color="auto" w:fill="FFFFFF"/>
            <w:vAlign w:val="center"/>
          </w:tcPr>
          <w:p w14:paraId="1684D2F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Ավտոմատ կառավարող սարքվածք</w:t>
            </w:r>
          </w:p>
        </w:tc>
        <w:tc>
          <w:tcPr>
            <w:tcW w:w="5102" w:type="dxa"/>
            <w:tcBorders>
              <w:top w:val="single" w:sz="4" w:space="0" w:color="auto"/>
              <w:left w:val="single" w:sz="4" w:space="0" w:color="auto"/>
            </w:tcBorders>
            <w:shd w:val="clear" w:color="auto" w:fill="FFFFFF"/>
            <w:vAlign w:val="bottom"/>
          </w:tcPr>
          <w:p w14:paraId="009EC2C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վերաակտիվացման ֆունկցիա (այդ թվում՝ վերաակտիվացման ունակության (պատրաստության) ցուցանշմամբ)</w:t>
            </w:r>
          </w:p>
        </w:tc>
        <w:tc>
          <w:tcPr>
            <w:tcW w:w="2304" w:type="dxa"/>
            <w:tcBorders>
              <w:top w:val="single" w:sz="4" w:space="0" w:color="auto"/>
              <w:left w:val="single" w:sz="4" w:space="0" w:color="auto"/>
              <w:right w:val="single" w:sz="4" w:space="0" w:color="auto"/>
            </w:tcBorders>
            <w:shd w:val="clear" w:color="auto" w:fill="FFFFFF"/>
            <w:vAlign w:val="center"/>
          </w:tcPr>
          <w:p w14:paraId="65A208E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0,50</w:t>
            </w:r>
          </w:p>
        </w:tc>
      </w:tr>
      <w:tr w:rsidR="00CA27E3" w:rsidRPr="00066F60" w14:paraId="226230B0" w14:textId="77777777" w:rsidTr="00CA27E3">
        <w:trPr>
          <w:jc w:val="center"/>
        </w:trPr>
        <w:tc>
          <w:tcPr>
            <w:tcW w:w="2021" w:type="dxa"/>
            <w:vMerge/>
            <w:tcBorders>
              <w:left w:val="single" w:sz="4" w:space="0" w:color="auto"/>
            </w:tcBorders>
            <w:shd w:val="clear" w:color="auto" w:fill="FFFFFF"/>
            <w:vAlign w:val="center"/>
          </w:tcPr>
          <w:p w14:paraId="4A51ED47" w14:textId="77777777" w:rsidR="00CA27E3" w:rsidRPr="00066F60" w:rsidRDefault="00CA27E3" w:rsidP="00066F60">
            <w:pPr>
              <w:spacing w:after="120"/>
              <w:rPr>
                <w:rFonts w:ascii="Sylfaen" w:hAnsi="Sylfaen"/>
                <w:sz w:val="20"/>
                <w:szCs w:val="20"/>
              </w:rPr>
            </w:pPr>
          </w:p>
        </w:tc>
        <w:tc>
          <w:tcPr>
            <w:tcW w:w="5102" w:type="dxa"/>
            <w:tcBorders>
              <w:top w:val="single" w:sz="4" w:space="0" w:color="auto"/>
              <w:left w:val="single" w:sz="4" w:space="0" w:color="auto"/>
            </w:tcBorders>
            <w:shd w:val="clear" w:color="auto" w:fill="FFFFFF"/>
            <w:vAlign w:val="center"/>
          </w:tcPr>
          <w:p w14:paraId="4408A28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տեղեկացման կամ վիճակի արտացոլման ֆունկցիա (անկախ վերաակտիվացման ֆունկցիայի առկայությունից կամ բացակայությունից)</w:t>
            </w:r>
          </w:p>
        </w:tc>
        <w:tc>
          <w:tcPr>
            <w:tcW w:w="2304" w:type="dxa"/>
            <w:tcBorders>
              <w:top w:val="single" w:sz="4" w:space="0" w:color="auto"/>
              <w:left w:val="single" w:sz="4" w:space="0" w:color="auto"/>
              <w:right w:val="single" w:sz="4" w:space="0" w:color="auto"/>
            </w:tcBorders>
            <w:shd w:val="clear" w:color="auto" w:fill="FFFFFF"/>
            <w:vAlign w:val="center"/>
          </w:tcPr>
          <w:p w14:paraId="1A50A1F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1,00</w:t>
            </w:r>
          </w:p>
        </w:tc>
      </w:tr>
      <w:tr w:rsidR="00CA27E3" w:rsidRPr="00066F60" w14:paraId="171AB6A1" w14:textId="77777777" w:rsidTr="00CA27E3">
        <w:trPr>
          <w:jc w:val="center"/>
        </w:trPr>
        <w:tc>
          <w:tcPr>
            <w:tcW w:w="2021" w:type="dxa"/>
            <w:vMerge w:val="restart"/>
            <w:tcBorders>
              <w:top w:val="single" w:sz="4" w:space="0" w:color="auto"/>
              <w:left w:val="single" w:sz="4" w:space="0" w:color="auto"/>
            </w:tcBorders>
            <w:shd w:val="clear" w:color="auto" w:fill="FFFFFF"/>
            <w:vAlign w:val="center"/>
          </w:tcPr>
          <w:p w14:paraId="2BF28D0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Մեխանիկական կառավարող սարքվածք</w:t>
            </w:r>
          </w:p>
        </w:tc>
        <w:tc>
          <w:tcPr>
            <w:tcW w:w="5102" w:type="dxa"/>
            <w:tcBorders>
              <w:top w:val="single" w:sz="4" w:space="0" w:color="auto"/>
              <w:left w:val="single" w:sz="4" w:space="0" w:color="auto"/>
            </w:tcBorders>
            <w:shd w:val="clear" w:color="auto" w:fill="FFFFFF"/>
            <w:vAlign w:val="center"/>
          </w:tcPr>
          <w:p w14:paraId="13183AA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վերաակտիվացման ֆունկցիա</w:t>
            </w:r>
          </w:p>
        </w:tc>
        <w:tc>
          <w:tcPr>
            <w:tcW w:w="2304" w:type="dxa"/>
            <w:tcBorders>
              <w:top w:val="single" w:sz="4" w:space="0" w:color="auto"/>
              <w:left w:val="single" w:sz="4" w:space="0" w:color="auto"/>
              <w:right w:val="single" w:sz="4" w:space="0" w:color="auto"/>
            </w:tcBorders>
            <w:shd w:val="clear" w:color="auto" w:fill="FFFFFF"/>
            <w:vAlign w:val="bottom"/>
          </w:tcPr>
          <w:p w14:paraId="238DEF1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0,10</w:t>
            </w:r>
          </w:p>
        </w:tc>
      </w:tr>
      <w:tr w:rsidR="00CA27E3" w:rsidRPr="00066F60" w14:paraId="023EE101" w14:textId="77777777" w:rsidTr="00CA27E3">
        <w:trPr>
          <w:jc w:val="center"/>
        </w:trPr>
        <w:tc>
          <w:tcPr>
            <w:tcW w:w="2021" w:type="dxa"/>
            <w:vMerge/>
            <w:tcBorders>
              <w:left w:val="single" w:sz="4" w:space="0" w:color="auto"/>
              <w:bottom w:val="single" w:sz="4" w:space="0" w:color="auto"/>
            </w:tcBorders>
            <w:shd w:val="clear" w:color="auto" w:fill="FFFFFF"/>
            <w:vAlign w:val="center"/>
          </w:tcPr>
          <w:p w14:paraId="76DCED77" w14:textId="77777777" w:rsidR="00CA27E3" w:rsidRPr="00066F60" w:rsidRDefault="00CA27E3" w:rsidP="00066F60">
            <w:pPr>
              <w:spacing w:after="120"/>
              <w:rPr>
                <w:rFonts w:ascii="Sylfaen" w:hAnsi="Sylfaen"/>
                <w:sz w:val="20"/>
                <w:szCs w:val="20"/>
              </w:rPr>
            </w:pPr>
          </w:p>
        </w:tc>
        <w:tc>
          <w:tcPr>
            <w:tcW w:w="5102" w:type="dxa"/>
            <w:tcBorders>
              <w:top w:val="single" w:sz="4" w:space="0" w:color="auto"/>
              <w:left w:val="single" w:sz="4" w:space="0" w:color="auto"/>
              <w:bottom w:val="single" w:sz="4" w:space="0" w:color="auto"/>
            </w:tcBorders>
            <w:shd w:val="clear" w:color="auto" w:fill="FFFFFF"/>
            <w:vAlign w:val="bottom"/>
          </w:tcPr>
          <w:p w14:paraId="148EEA2A"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վերաակտիվացման ունակության (պատրաստության) ցուցանշմամբ վերաակտիվացման ֆունկցիա</w:t>
            </w:r>
          </w:p>
        </w:tc>
        <w:tc>
          <w:tcPr>
            <w:tcW w:w="2304" w:type="dxa"/>
            <w:tcBorders>
              <w:top w:val="single" w:sz="4" w:space="0" w:color="auto"/>
              <w:left w:val="single" w:sz="4" w:space="0" w:color="auto"/>
              <w:bottom w:val="single" w:sz="4" w:space="0" w:color="auto"/>
              <w:right w:val="single" w:sz="4" w:space="0" w:color="auto"/>
            </w:tcBorders>
            <w:shd w:val="clear" w:color="auto" w:fill="FFFFFF"/>
            <w:vAlign w:val="center"/>
          </w:tcPr>
          <w:p w14:paraId="49BA1184"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0,30</w:t>
            </w:r>
          </w:p>
        </w:tc>
      </w:tr>
    </w:tbl>
    <w:p w14:paraId="414A93FE"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5.</w:t>
      </w:r>
      <w:r w:rsidR="005F0644">
        <w:rPr>
          <w:rFonts w:ascii="Sylfaen" w:hAnsi="Sylfaen"/>
          <w:sz w:val="24"/>
          <w:szCs w:val="24"/>
        </w:rPr>
        <w:tab/>
      </w:r>
      <w:r w:rsidRPr="00CA27E3">
        <w:rPr>
          <w:rFonts w:ascii="Sylfaen" w:hAnsi="Sylfaen"/>
          <w:sz w:val="24"/>
          <w:szCs w:val="24"/>
        </w:rPr>
        <w:t>Անջատման ռեժիմում սարքավորման օգտագործվող հզորությունը չպետք է գերազանցի 2-րդ աղյուսակում նշված արժեքները։</w:t>
      </w:r>
    </w:p>
    <w:p w14:paraId="651C4CB1" w14:textId="77777777" w:rsidR="005F0644" w:rsidRDefault="005F0644" w:rsidP="00CA27E3">
      <w:pPr>
        <w:pStyle w:val="Tablecaption0"/>
        <w:shd w:val="clear" w:color="auto" w:fill="auto"/>
        <w:spacing w:after="160" w:line="360" w:lineRule="auto"/>
        <w:rPr>
          <w:rFonts w:ascii="Sylfaen" w:hAnsi="Sylfaen"/>
          <w:sz w:val="24"/>
          <w:szCs w:val="24"/>
        </w:rPr>
      </w:pPr>
    </w:p>
    <w:p w14:paraId="09B715D8" w14:textId="77777777" w:rsidR="00CA27E3" w:rsidRPr="00CA27E3" w:rsidRDefault="00CA27E3" w:rsidP="00CA27E3">
      <w:pPr>
        <w:pStyle w:val="Tablecaption0"/>
        <w:shd w:val="clear" w:color="auto" w:fill="auto"/>
        <w:spacing w:after="160" w:line="360" w:lineRule="auto"/>
        <w:rPr>
          <w:rFonts w:ascii="Sylfaen" w:hAnsi="Sylfaen"/>
          <w:sz w:val="24"/>
          <w:szCs w:val="24"/>
        </w:rPr>
      </w:pPr>
      <w:r w:rsidRPr="00CA27E3">
        <w:rPr>
          <w:rFonts w:ascii="Sylfaen" w:hAnsi="Sylfaen"/>
          <w:sz w:val="24"/>
          <w:szCs w:val="24"/>
        </w:rPr>
        <w:t>Աղյուսակ 2</w:t>
      </w:r>
    </w:p>
    <w:p w14:paraId="4FCDB664" w14:textId="77777777" w:rsidR="00CA27E3" w:rsidRPr="00CA27E3" w:rsidRDefault="00CA27E3" w:rsidP="005F0644">
      <w:pPr>
        <w:pStyle w:val="Tablecaption0"/>
        <w:shd w:val="clear" w:color="auto" w:fill="auto"/>
        <w:spacing w:after="160" w:line="360" w:lineRule="auto"/>
        <w:jc w:val="center"/>
        <w:rPr>
          <w:rFonts w:ascii="Sylfaen" w:hAnsi="Sylfaen"/>
          <w:sz w:val="24"/>
          <w:szCs w:val="24"/>
        </w:rPr>
      </w:pPr>
      <w:r w:rsidRPr="00CA27E3">
        <w:rPr>
          <w:rFonts w:ascii="Sylfaen" w:hAnsi="Sylfaen"/>
          <w:sz w:val="24"/>
          <w:szCs w:val="24"/>
        </w:rPr>
        <w:t>Անջատման ռեժիմում սարքավորման օգտագործվող հզորությունը</w:t>
      </w:r>
    </w:p>
    <w:tbl>
      <w:tblPr>
        <w:tblOverlap w:val="never"/>
        <w:tblW w:w="9446" w:type="dxa"/>
        <w:jc w:val="center"/>
        <w:tblLayout w:type="fixed"/>
        <w:tblCellMar>
          <w:left w:w="10" w:type="dxa"/>
          <w:right w:w="10" w:type="dxa"/>
        </w:tblCellMar>
        <w:tblLook w:val="0000" w:firstRow="0" w:lastRow="0" w:firstColumn="0" w:lastColumn="0" w:noHBand="0" w:noVBand="0"/>
      </w:tblPr>
      <w:tblGrid>
        <w:gridCol w:w="4724"/>
        <w:gridCol w:w="4722"/>
      </w:tblGrid>
      <w:tr w:rsidR="00CA27E3" w:rsidRPr="00066F60" w14:paraId="062B33A8" w14:textId="77777777" w:rsidTr="009E687F">
        <w:trPr>
          <w:jc w:val="center"/>
        </w:trPr>
        <w:tc>
          <w:tcPr>
            <w:tcW w:w="4724" w:type="dxa"/>
            <w:tcBorders>
              <w:top w:val="single" w:sz="4" w:space="0" w:color="auto"/>
              <w:left w:val="single" w:sz="4" w:space="0" w:color="auto"/>
            </w:tcBorders>
            <w:shd w:val="clear" w:color="auto" w:fill="FFFFFF"/>
            <w:vAlign w:val="bottom"/>
          </w:tcPr>
          <w:p w14:paraId="21DAF9A4"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Էլեկտրասնուցման ռեժիմի կառավարման սարքվածքի տիպը</w:t>
            </w:r>
          </w:p>
        </w:tc>
        <w:tc>
          <w:tcPr>
            <w:tcW w:w="4722" w:type="dxa"/>
            <w:tcBorders>
              <w:top w:val="single" w:sz="4" w:space="0" w:color="auto"/>
              <w:left w:val="single" w:sz="4" w:space="0" w:color="auto"/>
              <w:right w:val="single" w:sz="4" w:space="0" w:color="auto"/>
            </w:tcBorders>
            <w:shd w:val="clear" w:color="auto" w:fill="FFFFFF"/>
            <w:vAlign w:val="center"/>
          </w:tcPr>
          <w:p w14:paraId="68A7BDDA" w14:textId="77777777" w:rsidR="00CA27E3" w:rsidRPr="00066F60" w:rsidRDefault="00CA27E3" w:rsidP="005F0644">
            <w:pPr>
              <w:pStyle w:val="Other0"/>
              <w:shd w:val="clear" w:color="auto" w:fill="auto"/>
              <w:spacing w:after="120"/>
              <w:ind w:right="25"/>
              <w:rPr>
                <w:rFonts w:ascii="Sylfaen" w:hAnsi="Sylfaen"/>
                <w:sz w:val="20"/>
                <w:szCs w:val="20"/>
              </w:rPr>
            </w:pPr>
            <w:r w:rsidRPr="00066F60">
              <w:rPr>
                <w:rFonts w:ascii="Sylfaen" w:hAnsi="Sylfaen"/>
                <w:sz w:val="20"/>
                <w:szCs w:val="20"/>
              </w:rPr>
              <w:t>Օգտագործվող հզորությունը (Վտ), ոչ ավելի քան</w:t>
            </w:r>
          </w:p>
        </w:tc>
      </w:tr>
      <w:tr w:rsidR="00CA27E3" w:rsidRPr="00066F60" w14:paraId="63105CBD" w14:textId="77777777" w:rsidTr="009E687F">
        <w:trPr>
          <w:jc w:val="center"/>
        </w:trPr>
        <w:tc>
          <w:tcPr>
            <w:tcW w:w="9446" w:type="dxa"/>
            <w:gridSpan w:val="2"/>
            <w:tcBorders>
              <w:top w:val="single" w:sz="4" w:space="0" w:color="auto"/>
              <w:left w:val="single" w:sz="4" w:space="0" w:color="auto"/>
              <w:right w:val="single" w:sz="4" w:space="0" w:color="auto"/>
            </w:tcBorders>
            <w:shd w:val="clear" w:color="auto" w:fill="FFFFFF"/>
            <w:vAlign w:val="bottom"/>
          </w:tcPr>
          <w:p w14:paraId="4269773E"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2020 թվականի սեպտեմբերի 1-ից</w:t>
            </w:r>
          </w:p>
        </w:tc>
      </w:tr>
      <w:tr w:rsidR="00CA27E3" w:rsidRPr="00066F60" w14:paraId="1237C953" w14:textId="77777777" w:rsidTr="009E687F">
        <w:trPr>
          <w:jc w:val="center"/>
        </w:trPr>
        <w:tc>
          <w:tcPr>
            <w:tcW w:w="4724" w:type="dxa"/>
            <w:tcBorders>
              <w:top w:val="single" w:sz="4" w:space="0" w:color="auto"/>
              <w:left w:val="single" w:sz="4" w:space="0" w:color="auto"/>
            </w:tcBorders>
            <w:shd w:val="clear" w:color="auto" w:fill="FFFFFF"/>
            <w:vAlign w:val="center"/>
          </w:tcPr>
          <w:p w14:paraId="05C2A8FD"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Ավտոմատ կառավարող սարքվածք</w:t>
            </w:r>
          </w:p>
        </w:tc>
        <w:tc>
          <w:tcPr>
            <w:tcW w:w="4722" w:type="dxa"/>
            <w:tcBorders>
              <w:top w:val="single" w:sz="4" w:space="0" w:color="auto"/>
              <w:left w:val="single" w:sz="4" w:space="0" w:color="auto"/>
            </w:tcBorders>
            <w:shd w:val="clear" w:color="auto" w:fill="FFFFFF"/>
            <w:vAlign w:val="bottom"/>
          </w:tcPr>
          <w:p w14:paraId="17D99BB9"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1,00</w:t>
            </w:r>
          </w:p>
        </w:tc>
      </w:tr>
      <w:tr w:rsidR="00CA27E3" w:rsidRPr="00066F60" w14:paraId="21C76461" w14:textId="77777777" w:rsidTr="009E687F">
        <w:trPr>
          <w:jc w:val="center"/>
        </w:trPr>
        <w:tc>
          <w:tcPr>
            <w:tcW w:w="9446" w:type="dxa"/>
            <w:gridSpan w:val="2"/>
            <w:tcBorders>
              <w:top w:val="single" w:sz="4" w:space="0" w:color="auto"/>
              <w:left w:val="single" w:sz="4" w:space="0" w:color="auto"/>
              <w:right w:val="single" w:sz="4" w:space="0" w:color="auto"/>
            </w:tcBorders>
            <w:shd w:val="clear" w:color="auto" w:fill="FFFFFF"/>
            <w:vAlign w:val="bottom"/>
          </w:tcPr>
          <w:p w14:paraId="013322B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2021 թվականի սեպտեմբերի 1-ից</w:t>
            </w:r>
          </w:p>
        </w:tc>
      </w:tr>
      <w:tr w:rsidR="00CA27E3" w:rsidRPr="00066F60" w14:paraId="23280740" w14:textId="77777777" w:rsidTr="009E687F">
        <w:trPr>
          <w:jc w:val="center"/>
        </w:trPr>
        <w:tc>
          <w:tcPr>
            <w:tcW w:w="4724" w:type="dxa"/>
            <w:tcBorders>
              <w:top w:val="single" w:sz="4" w:space="0" w:color="auto"/>
              <w:left w:val="single" w:sz="4" w:space="0" w:color="auto"/>
            </w:tcBorders>
            <w:shd w:val="clear" w:color="auto" w:fill="FFFFFF"/>
            <w:vAlign w:val="center"/>
          </w:tcPr>
          <w:p w14:paraId="7962A2E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Մեխանիկական կառավարող սարքվածք</w:t>
            </w:r>
          </w:p>
        </w:tc>
        <w:tc>
          <w:tcPr>
            <w:tcW w:w="4722" w:type="dxa"/>
            <w:tcBorders>
              <w:top w:val="single" w:sz="4" w:space="0" w:color="auto"/>
              <w:left w:val="single" w:sz="4" w:space="0" w:color="auto"/>
              <w:right w:val="single" w:sz="4" w:space="0" w:color="auto"/>
            </w:tcBorders>
            <w:shd w:val="clear" w:color="auto" w:fill="FFFFFF"/>
          </w:tcPr>
          <w:p w14:paraId="58111A3A"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0,30</w:t>
            </w:r>
          </w:p>
        </w:tc>
      </w:tr>
      <w:tr w:rsidR="00CA27E3" w:rsidRPr="00066F60" w14:paraId="26BE39BB" w14:textId="77777777" w:rsidTr="009E687F">
        <w:trPr>
          <w:jc w:val="center"/>
        </w:trPr>
        <w:tc>
          <w:tcPr>
            <w:tcW w:w="9446" w:type="dxa"/>
            <w:gridSpan w:val="2"/>
            <w:tcBorders>
              <w:top w:val="single" w:sz="4" w:space="0" w:color="auto"/>
              <w:left w:val="single" w:sz="4" w:space="0" w:color="auto"/>
              <w:right w:val="single" w:sz="4" w:space="0" w:color="auto"/>
            </w:tcBorders>
            <w:shd w:val="clear" w:color="auto" w:fill="FFFFFF"/>
            <w:vAlign w:val="bottom"/>
          </w:tcPr>
          <w:p w14:paraId="51AAF678"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2022 թվականի սեպտեմբերի 1-ից</w:t>
            </w:r>
          </w:p>
        </w:tc>
      </w:tr>
      <w:tr w:rsidR="00CA27E3" w:rsidRPr="00066F60" w14:paraId="5D9A45CD" w14:textId="77777777" w:rsidTr="009E687F">
        <w:trPr>
          <w:jc w:val="center"/>
        </w:trPr>
        <w:tc>
          <w:tcPr>
            <w:tcW w:w="4724" w:type="dxa"/>
            <w:tcBorders>
              <w:top w:val="single" w:sz="4" w:space="0" w:color="auto"/>
              <w:left w:val="single" w:sz="4" w:space="0" w:color="auto"/>
              <w:bottom w:val="single" w:sz="4" w:space="0" w:color="auto"/>
            </w:tcBorders>
            <w:shd w:val="clear" w:color="auto" w:fill="FFFFFF"/>
            <w:vAlign w:val="center"/>
          </w:tcPr>
          <w:p w14:paraId="6AB9702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Ավտոմատ կառավարող սարքվածք</w:t>
            </w:r>
          </w:p>
        </w:tc>
        <w:tc>
          <w:tcPr>
            <w:tcW w:w="4722" w:type="dxa"/>
            <w:tcBorders>
              <w:top w:val="single" w:sz="4" w:space="0" w:color="auto"/>
              <w:left w:val="single" w:sz="4" w:space="0" w:color="auto"/>
              <w:bottom w:val="single" w:sz="4" w:space="0" w:color="auto"/>
              <w:right w:val="single" w:sz="4" w:space="0" w:color="auto"/>
            </w:tcBorders>
            <w:shd w:val="clear" w:color="auto" w:fill="FFFFFF"/>
            <w:vAlign w:val="center"/>
          </w:tcPr>
          <w:p w14:paraId="670FA0D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0,50</w:t>
            </w:r>
          </w:p>
        </w:tc>
      </w:tr>
    </w:tbl>
    <w:p w14:paraId="0274A052" w14:textId="77777777" w:rsidR="00CA27E3" w:rsidRPr="00CA27E3" w:rsidRDefault="00CA27E3" w:rsidP="00CA27E3">
      <w:pPr>
        <w:spacing w:after="160" w:line="360" w:lineRule="auto"/>
        <w:rPr>
          <w:rFonts w:ascii="Sylfaen" w:hAnsi="Sylfaen"/>
        </w:rPr>
      </w:pPr>
    </w:p>
    <w:p w14:paraId="4F370AE8"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6.</w:t>
      </w:r>
      <w:r w:rsidR="005F0644">
        <w:rPr>
          <w:rFonts w:ascii="Sylfaen" w:hAnsi="Sylfaen"/>
          <w:sz w:val="24"/>
          <w:szCs w:val="24"/>
        </w:rPr>
        <w:tab/>
      </w:r>
      <w:r w:rsidRPr="00CA27E3">
        <w:rPr>
          <w:rFonts w:ascii="Sylfaen" w:hAnsi="Sylfaen"/>
          <w:sz w:val="24"/>
          <w:szCs w:val="24"/>
        </w:rPr>
        <w:t xml:space="preserve">1,00 Վտ </w:t>
      </w:r>
      <w:r>
        <w:rPr>
          <w:rFonts w:ascii="Sylfaen" w:hAnsi="Sylfaen"/>
          <w:sz w:val="24"/>
          <w:szCs w:val="24"/>
        </w:rPr>
        <w:t>եւ</w:t>
      </w:r>
      <w:r w:rsidRPr="00CA27E3">
        <w:rPr>
          <w:rFonts w:ascii="Sylfaen" w:hAnsi="Sylfaen"/>
          <w:sz w:val="24"/>
          <w:szCs w:val="24"/>
        </w:rPr>
        <w:t xml:space="preserve"> ավելի հզորության արժեքի դեպքում հզորության չափման համար նախատեսված սարքի ազդեցությամբ պայմանավորված՝ չափման թույլատրելի հարաբերական անորոշությունը չպետք է գերազանցի առավելագույն հզորության 2 %-ը՝ 95 % վստահության մակարդակի դեպքում:</w:t>
      </w:r>
    </w:p>
    <w:p w14:paraId="0DAA4B1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1,00 Վտ-ից պակաս հզորության արժեքի դեպքում հզորության չափման համար նախատեսված սարքի ազդեցությամբ պայմանավորված՝ չափման թույլատրելի հարաբերական անորոշությունը չպետք է գերազանցի 0,02 Վտ-ը՝ 95</w:t>
      </w:r>
      <w:r w:rsidR="005F0644">
        <w:rPr>
          <w:rFonts w:ascii="Sylfaen" w:hAnsi="Sylfaen"/>
          <w:sz w:val="24"/>
          <w:szCs w:val="24"/>
        </w:rPr>
        <w:t> </w:t>
      </w:r>
      <w:r w:rsidRPr="00CA27E3">
        <w:rPr>
          <w:rFonts w:ascii="Sylfaen" w:hAnsi="Sylfaen"/>
          <w:sz w:val="24"/>
          <w:szCs w:val="24"/>
        </w:rPr>
        <w:t>% վստահության մակարդակի դեպքում:</w:t>
      </w:r>
    </w:p>
    <w:p w14:paraId="590E7B0E"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7.</w:t>
      </w:r>
      <w:r w:rsidR="005F0644">
        <w:rPr>
          <w:rFonts w:ascii="Sylfaen" w:hAnsi="Sylfaen"/>
          <w:sz w:val="24"/>
          <w:szCs w:val="24"/>
        </w:rPr>
        <w:tab/>
      </w:r>
      <w:r w:rsidRPr="00CA27E3">
        <w:rPr>
          <w:rFonts w:ascii="Sylfaen" w:hAnsi="Sylfaen"/>
          <w:sz w:val="24"/>
          <w:szCs w:val="24"/>
        </w:rPr>
        <w:t xml:space="preserve">Սարքավորմանը կից ներկայացվող՝ «Էներգասպառող սարքվածքների էներգետիկ արդյունավետությանը ներկայացվող պահանջների մասին» Միության տեխնիկական կանոնակարգի (ԵԱՏՄ ՏԿ/20) (այսուհետ՝ տեխնիկական </w:t>
      </w:r>
      <w:r w:rsidRPr="005F0644">
        <w:rPr>
          <w:rFonts w:ascii="Sylfaen" w:hAnsi="Sylfaen"/>
          <w:spacing w:val="-4"/>
          <w:sz w:val="24"/>
          <w:szCs w:val="24"/>
        </w:rPr>
        <w:t>կանոնակարգ) 13-րդ կետով նախատեսված շահագործման փաստաթղթերը պետք է պարունակեն</w:t>
      </w:r>
      <w:r w:rsidRPr="00CA27E3">
        <w:rPr>
          <w:rFonts w:ascii="Sylfaen" w:hAnsi="Sylfaen"/>
          <w:sz w:val="24"/>
          <w:szCs w:val="24"/>
        </w:rPr>
        <w:t xml:space="preserve"> դրանց բնութագրերի </w:t>
      </w:r>
      <w:r>
        <w:rPr>
          <w:rFonts w:ascii="Sylfaen" w:hAnsi="Sylfaen"/>
          <w:sz w:val="24"/>
          <w:szCs w:val="24"/>
        </w:rPr>
        <w:t>եւ</w:t>
      </w:r>
      <w:r w:rsidRPr="00CA27E3">
        <w:rPr>
          <w:rFonts w:ascii="Sylfaen" w:hAnsi="Sylfaen"/>
          <w:sz w:val="24"/>
          <w:szCs w:val="24"/>
        </w:rPr>
        <w:t xml:space="preserve"> պարամետրերի մասին հետ</w:t>
      </w:r>
      <w:r>
        <w:rPr>
          <w:rFonts w:ascii="Sylfaen" w:hAnsi="Sylfaen"/>
          <w:sz w:val="24"/>
          <w:szCs w:val="24"/>
        </w:rPr>
        <w:t>եւ</w:t>
      </w:r>
      <w:r w:rsidRPr="00CA27E3">
        <w:rPr>
          <w:rFonts w:ascii="Sylfaen" w:hAnsi="Sylfaen"/>
          <w:sz w:val="24"/>
          <w:szCs w:val="24"/>
        </w:rPr>
        <w:t xml:space="preserve">յալ տեղեկությունները (սպասման </w:t>
      </w:r>
      <w:r>
        <w:rPr>
          <w:rFonts w:ascii="Sylfaen" w:hAnsi="Sylfaen"/>
          <w:sz w:val="24"/>
          <w:szCs w:val="24"/>
        </w:rPr>
        <w:t>եւ</w:t>
      </w:r>
      <w:r w:rsidRPr="00CA27E3">
        <w:rPr>
          <w:rFonts w:ascii="Sylfaen" w:hAnsi="Sylfaen"/>
          <w:sz w:val="24"/>
          <w:szCs w:val="24"/>
        </w:rPr>
        <w:t xml:space="preserve"> անջատման ռեժիմում)՝</w:t>
      </w:r>
    </w:p>
    <w:p w14:paraId="1B93A48D"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ա)</w:t>
      </w:r>
      <w:r w:rsidR="005F0644">
        <w:rPr>
          <w:rFonts w:ascii="Sylfaen" w:hAnsi="Sylfaen"/>
          <w:sz w:val="24"/>
          <w:szCs w:val="24"/>
        </w:rPr>
        <w:tab/>
      </w:r>
      <w:r w:rsidRPr="00CA27E3">
        <w:rPr>
          <w:rFonts w:ascii="Sylfaen" w:hAnsi="Sylfaen"/>
          <w:sz w:val="24"/>
          <w:szCs w:val="24"/>
        </w:rPr>
        <w:t>օգտագործվող հզորությունը (Վտ-ով)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0A1C6E3F"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5F0644">
        <w:rPr>
          <w:rFonts w:ascii="Sylfaen" w:hAnsi="Sylfaen"/>
          <w:sz w:val="24"/>
          <w:szCs w:val="24"/>
        </w:rPr>
        <w:tab/>
      </w:r>
      <w:r w:rsidRPr="00CA27E3">
        <w:rPr>
          <w:rFonts w:ascii="Sylfaen" w:hAnsi="Sylfaen"/>
          <w:sz w:val="24"/>
          <w:szCs w:val="24"/>
        </w:rPr>
        <w:t>սարքավորման աշխատանքի ռեժիմի ընտրության կամ ծրագրավորման եղանակի նկարագրությունը.</w:t>
      </w:r>
    </w:p>
    <w:p w14:paraId="7FBE2320"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5F0644">
        <w:rPr>
          <w:rFonts w:ascii="Sylfaen" w:hAnsi="Sylfaen"/>
          <w:sz w:val="24"/>
          <w:szCs w:val="24"/>
        </w:rPr>
        <w:tab/>
      </w:r>
      <w:r w:rsidRPr="00CA27E3">
        <w:rPr>
          <w:rFonts w:ascii="Sylfaen" w:hAnsi="Sylfaen"/>
          <w:sz w:val="24"/>
          <w:szCs w:val="24"/>
        </w:rPr>
        <w:t>այն ռեժիմի ապահովման համար գործողությունների հաջորդականությունը, որի դեպքում սարքավորումն ավտոմատ կերպով փոխում է աշխատանքի ռեժիմը.</w:t>
      </w:r>
    </w:p>
    <w:p w14:paraId="3C568454"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դ)</w:t>
      </w:r>
      <w:r w:rsidR="005F0644">
        <w:rPr>
          <w:rFonts w:ascii="Sylfaen" w:hAnsi="Sylfaen"/>
          <w:sz w:val="24"/>
          <w:szCs w:val="24"/>
        </w:rPr>
        <w:tab/>
      </w:r>
      <w:r w:rsidRPr="00CA27E3">
        <w:rPr>
          <w:rFonts w:ascii="Sylfaen" w:hAnsi="Sylfaen"/>
          <w:sz w:val="24"/>
          <w:szCs w:val="24"/>
        </w:rPr>
        <w:t>սարքավորման աշխատանքի մասին տեղեկությունները:</w:t>
      </w:r>
    </w:p>
    <w:p w14:paraId="5E1F4E2D"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8.</w:t>
      </w:r>
      <w:r w:rsidR="005F0644">
        <w:rPr>
          <w:rFonts w:ascii="Sylfaen" w:hAnsi="Sylfaen"/>
          <w:sz w:val="24"/>
          <w:szCs w:val="24"/>
        </w:rPr>
        <w:tab/>
      </w:r>
      <w:r w:rsidRPr="00CA27E3">
        <w:rPr>
          <w:rFonts w:ascii="Sylfaen" w:hAnsi="Sylfaen"/>
          <w:sz w:val="24"/>
          <w:szCs w:val="24"/>
        </w:rPr>
        <w:t>Տեխնիկական կանոնակարգի 23-րդ կետի «ա» ենթակետում նշված փաստաթղթերի լրակազմում՝ սարքավորման համար լրացուցիչ ներառվում է տեղեկատվություն՝</w:t>
      </w:r>
    </w:p>
    <w:p w14:paraId="7206EF02"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5F0644">
        <w:rPr>
          <w:rFonts w:ascii="Sylfaen" w:hAnsi="Sylfaen"/>
          <w:sz w:val="24"/>
          <w:szCs w:val="24"/>
        </w:rPr>
        <w:tab/>
      </w:r>
      <w:r w:rsidRPr="00CA27E3">
        <w:rPr>
          <w:rFonts w:ascii="Sylfaen" w:hAnsi="Sylfaen"/>
          <w:sz w:val="24"/>
          <w:szCs w:val="24"/>
        </w:rPr>
        <w:t>փորձարկումների (չափումների) ժամանակ հետ</w:t>
      </w:r>
      <w:r>
        <w:rPr>
          <w:rFonts w:ascii="Sylfaen" w:hAnsi="Sylfaen"/>
          <w:sz w:val="24"/>
          <w:szCs w:val="24"/>
        </w:rPr>
        <w:t>եւ</w:t>
      </w:r>
      <w:r w:rsidRPr="00CA27E3">
        <w:rPr>
          <w:rFonts w:ascii="Sylfaen" w:hAnsi="Sylfaen"/>
          <w:sz w:val="24"/>
          <w:szCs w:val="24"/>
        </w:rPr>
        <w:t>յալ վերահսկվող պարամետրերի մասին՝</w:t>
      </w:r>
    </w:p>
    <w:p w14:paraId="0F0C17B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շրջակա միջավայրի ջերմաստիճանը (°C-ով).</w:t>
      </w:r>
    </w:p>
    <w:p w14:paraId="5DF58D6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փորձարկման լարումը (Վ-ով) </w:t>
      </w:r>
      <w:r>
        <w:rPr>
          <w:rFonts w:ascii="Sylfaen" w:hAnsi="Sylfaen"/>
          <w:sz w:val="24"/>
          <w:szCs w:val="24"/>
        </w:rPr>
        <w:t>եւ</w:t>
      </w:r>
      <w:r w:rsidRPr="00CA27E3">
        <w:rPr>
          <w:rFonts w:ascii="Sylfaen" w:hAnsi="Sylfaen"/>
          <w:sz w:val="24"/>
          <w:szCs w:val="24"/>
        </w:rPr>
        <w:t xml:space="preserve"> հաճախականությունը (Հց-ով).</w:t>
      </w:r>
    </w:p>
    <w:p w14:paraId="303FB4A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էլեկտրասնուցման համակարգում ներդաշնակ աղավաղումների գումարային գործակիցը.</w:t>
      </w:r>
    </w:p>
    <w:p w14:paraId="1701BED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փորձարկումների (չափումների) ժամանակ օգտագործվող սարքավորման մասին տեղեկատվության (փաստաթղթերի) առկայությունը, փորձարկումների (չափումների) կատարման </w:t>
      </w:r>
      <w:r>
        <w:rPr>
          <w:rFonts w:ascii="Sylfaen" w:hAnsi="Sylfaen"/>
          <w:sz w:val="24"/>
          <w:szCs w:val="24"/>
        </w:rPr>
        <w:t>եւ</w:t>
      </w:r>
      <w:r w:rsidRPr="00CA27E3">
        <w:rPr>
          <w:rFonts w:ascii="Sylfaen" w:hAnsi="Sylfaen"/>
          <w:sz w:val="24"/>
          <w:szCs w:val="24"/>
        </w:rPr>
        <w:t xml:space="preserve"> միացումների սխեմայի մասին տեղեկությունները.</w:t>
      </w:r>
    </w:p>
    <w:p w14:paraId="3902E79E" w14:textId="77777777" w:rsidR="00CA27E3" w:rsidRPr="00CA27E3" w:rsidRDefault="00CA27E3" w:rsidP="005F0644">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5F0644">
        <w:rPr>
          <w:rFonts w:ascii="Sylfaen" w:hAnsi="Sylfaen"/>
          <w:sz w:val="24"/>
          <w:szCs w:val="24"/>
        </w:rPr>
        <w:tab/>
      </w:r>
      <w:r w:rsidRPr="00CA27E3">
        <w:rPr>
          <w:rFonts w:ascii="Sylfaen" w:hAnsi="Sylfaen"/>
          <w:sz w:val="24"/>
          <w:szCs w:val="24"/>
        </w:rPr>
        <w:t xml:space="preserve">սպասման ռեժիմում </w:t>
      </w:r>
      <w:r>
        <w:rPr>
          <w:rFonts w:ascii="Sylfaen" w:hAnsi="Sylfaen"/>
          <w:sz w:val="24"/>
          <w:szCs w:val="24"/>
        </w:rPr>
        <w:t>եւ</w:t>
      </w:r>
      <w:r w:rsidRPr="00CA27E3">
        <w:rPr>
          <w:rFonts w:ascii="Sylfaen" w:hAnsi="Sylfaen"/>
          <w:sz w:val="24"/>
          <w:szCs w:val="24"/>
        </w:rPr>
        <w:t xml:space="preserve"> (կամ) անջատման ռեժիմում սարքավորման հետ</w:t>
      </w:r>
      <w:r>
        <w:rPr>
          <w:rFonts w:ascii="Sylfaen" w:hAnsi="Sylfaen"/>
          <w:sz w:val="24"/>
          <w:szCs w:val="24"/>
        </w:rPr>
        <w:t>եւ</w:t>
      </w:r>
      <w:r w:rsidRPr="00CA27E3">
        <w:rPr>
          <w:rFonts w:ascii="Sylfaen" w:hAnsi="Sylfaen"/>
          <w:sz w:val="24"/>
          <w:szCs w:val="24"/>
        </w:rPr>
        <w:t>յալ պարամետրերի մասին՝</w:t>
      </w:r>
    </w:p>
    <w:p w14:paraId="3F7C640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չափման կիրառվող մեթոդը.</w:t>
      </w:r>
    </w:p>
    <w:p w14:paraId="22153868" w14:textId="77777777" w:rsid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սարքերի բնութագրերը, որոնց միջոցով նմուշը ստուգվում է սույն պահանջների 4-րդ </w:t>
      </w:r>
      <w:r>
        <w:rPr>
          <w:rFonts w:ascii="Sylfaen" w:hAnsi="Sylfaen"/>
          <w:sz w:val="24"/>
          <w:szCs w:val="24"/>
        </w:rPr>
        <w:t>եւ</w:t>
      </w:r>
      <w:r w:rsidRPr="00CA27E3">
        <w:rPr>
          <w:rFonts w:ascii="Sylfaen" w:hAnsi="Sylfaen"/>
          <w:sz w:val="24"/>
          <w:szCs w:val="24"/>
        </w:rPr>
        <w:t xml:space="preserve"> 5-րդ կետերի դրույթներին համապատասխանության մասով, </w:t>
      </w:r>
      <w:r>
        <w:rPr>
          <w:rFonts w:ascii="Sylfaen" w:hAnsi="Sylfaen"/>
          <w:sz w:val="24"/>
          <w:szCs w:val="24"/>
        </w:rPr>
        <w:lastRenderedPageBreak/>
        <w:t>եւ</w:t>
      </w:r>
      <w:r w:rsidRPr="00CA27E3">
        <w:rPr>
          <w:rFonts w:ascii="Sylfaen" w:hAnsi="Sylfaen"/>
          <w:sz w:val="24"/>
          <w:szCs w:val="24"/>
        </w:rPr>
        <w:t xml:space="preserve"> ժամանակը, որի ընթացքում նմուշն ավտոմատ կերպով փոխարկվում է սպասման ռեժիմի, անջատման ռեժիմի կամ այլ ռեժիմի, որի ժամանակ չի</w:t>
      </w:r>
      <w:r w:rsidR="009E687F" w:rsidRPr="009E687F">
        <w:rPr>
          <w:rFonts w:ascii="Sylfaen" w:hAnsi="Sylfaen"/>
          <w:sz w:val="24"/>
          <w:szCs w:val="24"/>
        </w:rPr>
        <w:t> </w:t>
      </w:r>
      <w:r w:rsidRPr="00CA27E3">
        <w:rPr>
          <w:rFonts w:ascii="Sylfaen" w:hAnsi="Sylfaen"/>
          <w:sz w:val="24"/>
          <w:szCs w:val="24"/>
        </w:rPr>
        <w:t>գերազանցվում էներգասպառման սահմանային արժեքը:</w:t>
      </w:r>
    </w:p>
    <w:p w14:paraId="2321B08B" w14:textId="77777777" w:rsidR="005F0644" w:rsidRPr="00CA27E3" w:rsidRDefault="005F0644" w:rsidP="00CA27E3">
      <w:pPr>
        <w:pStyle w:val="1"/>
        <w:shd w:val="clear" w:color="auto" w:fill="auto"/>
        <w:spacing w:after="160"/>
        <w:ind w:firstLine="567"/>
        <w:jc w:val="both"/>
        <w:rPr>
          <w:rFonts w:ascii="Sylfaen" w:hAnsi="Sylfaen"/>
          <w:sz w:val="24"/>
          <w:szCs w:val="24"/>
        </w:rPr>
      </w:pPr>
    </w:p>
    <w:p w14:paraId="5E7E9844" w14:textId="77777777" w:rsidR="00CA27E3" w:rsidRPr="00CA27E3" w:rsidRDefault="00CA27E3" w:rsidP="005F0644">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t>IV. Սարքավորման էներգետիկ արդյունավետության պարամետրերի թույլատրելի շեղումները՝ դրանք շրջանառության մեջ դրվելուց հետո փորձարկումների (չափումների) կատարման ժամանակ</w:t>
      </w:r>
    </w:p>
    <w:p w14:paraId="39A44564" w14:textId="77777777" w:rsidR="00CA27E3" w:rsidRPr="00CA27E3" w:rsidRDefault="00CA27E3" w:rsidP="005F0644">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9.</w:t>
      </w:r>
      <w:r w:rsidR="005F0644">
        <w:rPr>
          <w:rFonts w:ascii="Sylfaen" w:hAnsi="Sylfaen"/>
          <w:sz w:val="24"/>
          <w:szCs w:val="24"/>
        </w:rPr>
        <w:tab/>
      </w:r>
      <w:r w:rsidRPr="00CA27E3">
        <w:rPr>
          <w:rFonts w:ascii="Sylfaen" w:hAnsi="Sylfaen"/>
          <w:sz w:val="24"/>
          <w:szCs w:val="24"/>
        </w:rPr>
        <w:t xml:space="preserve">Միության մաքսային տարածքում շրջանառության մեջ դրվելուց հետո կատարվում են սարքավորման յուրաքանչյուր մոդելի մեկ նմուշի փորձարկումներ (չափումներ)՝ սույն պահանջների 4-րդ </w:t>
      </w:r>
      <w:r>
        <w:rPr>
          <w:rFonts w:ascii="Sylfaen" w:hAnsi="Sylfaen"/>
          <w:sz w:val="24"/>
          <w:szCs w:val="24"/>
        </w:rPr>
        <w:t>եւ</w:t>
      </w:r>
      <w:r w:rsidRPr="00CA27E3">
        <w:rPr>
          <w:rFonts w:ascii="Sylfaen" w:hAnsi="Sylfaen"/>
          <w:sz w:val="24"/>
          <w:szCs w:val="24"/>
        </w:rPr>
        <w:t xml:space="preserve"> 5-րդ կետերի դրույթներին դրա համապատասխանության մասով:</w:t>
      </w:r>
    </w:p>
    <w:p w14:paraId="6E06DB40" w14:textId="77777777" w:rsidR="00CA27E3" w:rsidRPr="00CA27E3" w:rsidRDefault="00CA27E3" w:rsidP="005F0644">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Սարքավորման նմուշը համարվում է սույն պահանջներին համապատասխանող, եթե ստացված արժեքները չեն գերազանցում սահմանային արժեքներն ավելի քան 10 %-ով կամ 0,10 Վտ-ով՝ օգտագործվող հզորության վերահսկման համար, որի մեծությունը համապատասխանաբար գերազանցում է կամ չի գերազանցում 1,00 Վտ-ը:</w:t>
      </w:r>
    </w:p>
    <w:p w14:paraId="181622DC" w14:textId="77777777" w:rsidR="00CA27E3" w:rsidRPr="00CA27E3" w:rsidRDefault="00CA27E3" w:rsidP="005F0644">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Եթե ստացված արժեքները չեն համապատասխանում նշված արժեքներին, ապա փորձարկումները (չափումները) հարկ է կատարել սարքավորման յուրաքանչյուր մոդելի 3 լրացուցիչ նմուշի նկատմամբ։</w:t>
      </w:r>
    </w:p>
    <w:p w14:paraId="24440819" w14:textId="77777777" w:rsidR="00CA27E3" w:rsidRPr="00CA27E3" w:rsidRDefault="00CA27E3" w:rsidP="005F0644">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Սարքավորման մոդելը համարվում է սույն պահանջներին համապատասխանող, եթե այդ մոդելի 3 նմուշի համար պարամետրերի միջին արժեքները համապատասխանում են սույն կետի երկրորդ պարբերությունում նշված պահանջներին:</w:t>
      </w:r>
    </w:p>
    <w:p w14:paraId="60F76712" w14:textId="77777777" w:rsidR="00CA27E3" w:rsidRDefault="00CA27E3" w:rsidP="005F0644">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Այլ դեպքերում սարքավորման տվյալ մոդելը հարկ է դիտարկել որպես տեխնիկական կանոնակարգի պահանջներին չհամապատասխանող։</w:t>
      </w:r>
    </w:p>
    <w:p w14:paraId="0E39FC07" w14:textId="77777777" w:rsidR="005F0644" w:rsidRPr="00CA27E3" w:rsidRDefault="005F0644" w:rsidP="005F0644">
      <w:pPr>
        <w:pStyle w:val="1"/>
        <w:shd w:val="clear" w:color="auto" w:fill="auto"/>
        <w:spacing w:after="160"/>
        <w:ind w:firstLine="0"/>
        <w:jc w:val="center"/>
        <w:rPr>
          <w:rFonts w:ascii="Sylfaen" w:hAnsi="Sylfaen"/>
          <w:sz w:val="24"/>
          <w:szCs w:val="24"/>
        </w:rPr>
      </w:pPr>
      <w:r>
        <w:rPr>
          <w:rFonts w:ascii="Sylfaen" w:hAnsi="Sylfaen"/>
          <w:sz w:val="24"/>
          <w:szCs w:val="24"/>
        </w:rPr>
        <w:t>—————</w:t>
      </w:r>
    </w:p>
    <w:p w14:paraId="61864DE4" w14:textId="77777777" w:rsidR="00066F60" w:rsidRDefault="00066F60" w:rsidP="00CA27E3">
      <w:pPr>
        <w:pStyle w:val="1"/>
        <w:shd w:val="clear" w:color="auto" w:fill="auto"/>
        <w:spacing w:after="160"/>
        <w:ind w:firstLine="567"/>
        <w:jc w:val="both"/>
        <w:rPr>
          <w:rFonts w:ascii="Sylfaen" w:hAnsi="Sylfaen"/>
          <w:sz w:val="24"/>
          <w:szCs w:val="24"/>
        </w:rPr>
      </w:pPr>
    </w:p>
    <w:p w14:paraId="78670A41" w14:textId="77777777" w:rsidR="00066F60" w:rsidRDefault="00066F60" w:rsidP="00CA27E3">
      <w:pPr>
        <w:pStyle w:val="1"/>
        <w:shd w:val="clear" w:color="auto" w:fill="auto"/>
        <w:spacing w:after="160"/>
        <w:ind w:firstLine="567"/>
        <w:jc w:val="both"/>
        <w:rPr>
          <w:rFonts w:ascii="Sylfaen" w:hAnsi="Sylfaen"/>
          <w:sz w:val="24"/>
          <w:szCs w:val="24"/>
        </w:rPr>
        <w:sectPr w:rsidR="00066F60" w:rsidSect="0027701C">
          <w:pgSz w:w="11907" w:h="16840" w:code="9"/>
          <w:pgMar w:top="1418" w:right="1418" w:bottom="1418" w:left="1418" w:header="0" w:footer="538" w:gutter="0"/>
          <w:pgNumType w:start="1"/>
          <w:cols w:space="720"/>
          <w:noEndnote/>
          <w:titlePg/>
          <w:docGrid w:linePitch="360"/>
        </w:sectPr>
      </w:pPr>
    </w:p>
    <w:p w14:paraId="24014511" w14:textId="77777777" w:rsidR="00CA27E3" w:rsidRPr="00CA27E3" w:rsidRDefault="00CA27E3" w:rsidP="009E687F">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lastRenderedPageBreak/>
        <w:t>ՀԱՎԵԼՎԱԾ ԹԻՎ 6</w:t>
      </w:r>
    </w:p>
    <w:p w14:paraId="5FC374EA" w14:textId="77777777" w:rsidR="00CA27E3" w:rsidRPr="00CA27E3" w:rsidRDefault="00CA27E3" w:rsidP="009E687F">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t xml:space="preserve">«Էներգասպառող </w:t>
      </w:r>
      <w:r w:rsidRPr="009E687F">
        <w:rPr>
          <w:rFonts w:ascii="Sylfaen" w:hAnsi="Sylfaen"/>
          <w:sz w:val="24"/>
          <w:szCs w:val="24"/>
        </w:rPr>
        <w:t xml:space="preserve">սարքվածքների </w:t>
      </w:r>
      <w:r w:rsidR="009E687F" w:rsidRPr="009E687F">
        <w:rPr>
          <w:rFonts w:ascii="Sylfaen" w:hAnsi="Sylfaen"/>
          <w:sz w:val="24"/>
          <w:szCs w:val="24"/>
        </w:rPr>
        <w:br/>
      </w:r>
      <w:r w:rsidRPr="009E687F">
        <w:rPr>
          <w:rFonts w:ascii="Sylfaen" w:hAnsi="Sylfaen"/>
          <w:sz w:val="24"/>
          <w:szCs w:val="24"/>
        </w:rPr>
        <w:t>էներգետիկ</w:t>
      </w:r>
      <w:r w:rsidRPr="00CA27E3">
        <w:rPr>
          <w:rFonts w:ascii="Sylfaen" w:hAnsi="Sylfaen"/>
          <w:sz w:val="24"/>
          <w:szCs w:val="24"/>
        </w:rPr>
        <w:t xml:space="preserve"> արդյունավետությանը ներկայացվող պահանջների մասին» Եվրասիական տնտեսական միության տեխնիկական կանոնակարգի</w:t>
      </w:r>
      <w:r w:rsidR="005F0644" w:rsidRPr="005F0644">
        <w:rPr>
          <w:rFonts w:ascii="Sylfaen" w:hAnsi="Sylfaen"/>
          <w:sz w:val="24"/>
          <w:szCs w:val="24"/>
        </w:rPr>
        <w:t xml:space="preserve"> </w:t>
      </w:r>
      <w:r w:rsidR="005F0644" w:rsidRPr="005F0644">
        <w:rPr>
          <w:rFonts w:ascii="Sylfaen" w:hAnsi="Sylfaen"/>
          <w:sz w:val="24"/>
          <w:szCs w:val="24"/>
        </w:rPr>
        <w:br/>
      </w:r>
      <w:r w:rsidRPr="00CA27E3">
        <w:rPr>
          <w:rFonts w:ascii="Sylfaen" w:hAnsi="Sylfaen"/>
          <w:sz w:val="24"/>
          <w:szCs w:val="24"/>
        </w:rPr>
        <w:t>(ԵԱՏՄ ՏԿ</w:t>
      </w:r>
      <w:r w:rsidR="005F0644" w:rsidRPr="005F0644">
        <w:rPr>
          <w:rFonts w:ascii="Sylfaen" w:hAnsi="Sylfaen"/>
          <w:sz w:val="24"/>
          <w:szCs w:val="24"/>
        </w:rPr>
        <w:tab/>
      </w:r>
      <w:r w:rsidRPr="00CA27E3">
        <w:rPr>
          <w:rFonts w:ascii="Sylfaen" w:hAnsi="Sylfaen"/>
          <w:sz w:val="24"/>
          <w:szCs w:val="24"/>
        </w:rPr>
        <w:t>/20</w:t>
      </w:r>
      <w:r w:rsidR="005F0644" w:rsidRPr="005F0644">
        <w:rPr>
          <w:rFonts w:ascii="Sylfaen" w:hAnsi="Sylfaen"/>
          <w:sz w:val="24"/>
          <w:szCs w:val="24"/>
        </w:rPr>
        <w:tab/>
      </w:r>
      <w:r w:rsidRPr="00CA27E3">
        <w:rPr>
          <w:rFonts w:ascii="Sylfaen" w:hAnsi="Sylfaen"/>
          <w:sz w:val="24"/>
          <w:szCs w:val="24"/>
        </w:rPr>
        <w:t>)</w:t>
      </w:r>
    </w:p>
    <w:p w14:paraId="686929BE" w14:textId="77777777" w:rsidR="00CA27E3" w:rsidRPr="00CA27E3" w:rsidRDefault="00CA27E3" w:rsidP="00F84DC6">
      <w:pPr>
        <w:pStyle w:val="1"/>
        <w:shd w:val="clear" w:color="auto" w:fill="auto"/>
        <w:spacing w:after="160" w:line="341" w:lineRule="auto"/>
        <w:ind w:left="5103" w:firstLine="0"/>
        <w:jc w:val="center"/>
        <w:rPr>
          <w:rFonts w:ascii="Sylfaen" w:hAnsi="Sylfaen"/>
          <w:sz w:val="24"/>
          <w:szCs w:val="24"/>
        </w:rPr>
      </w:pPr>
    </w:p>
    <w:p w14:paraId="25735E14" w14:textId="77777777" w:rsidR="00CA27E3" w:rsidRPr="00CA27E3" w:rsidRDefault="00CA27E3" w:rsidP="00F84DC6">
      <w:pPr>
        <w:pStyle w:val="Heading10"/>
        <w:shd w:val="clear" w:color="auto" w:fill="auto"/>
        <w:spacing w:after="160" w:line="341" w:lineRule="auto"/>
        <w:outlineLvl w:val="9"/>
        <w:rPr>
          <w:rFonts w:ascii="Sylfaen" w:hAnsi="Sylfaen"/>
          <w:sz w:val="24"/>
          <w:szCs w:val="24"/>
        </w:rPr>
      </w:pPr>
      <w:r w:rsidRPr="00CA27E3">
        <w:rPr>
          <w:rFonts w:ascii="Sylfaen" w:hAnsi="Sylfaen"/>
          <w:b/>
          <w:sz w:val="24"/>
          <w:szCs w:val="24"/>
        </w:rPr>
        <w:t>ՊԱՀԱՆՋՆԵՐ</w:t>
      </w:r>
    </w:p>
    <w:p w14:paraId="55ECE900" w14:textId="77777777" w:rsidR="00CA27E3" w:rsidRPr="00CA27E3" w:rsidRDefault="00CA27E3" w:rsidP="00F84DC6">
      <w:pPr>
        <w:pStyle w:val="Heading10"/>
        <w:shd w:val="clear" w:color="auto" w:fill="auto"/>
        <w:spacing w:after="160" w:line="341" w:lineRule="auto"/>
        <w:outlineLvl w:val="9"/>
        <w:rPr>
          <w:rFonts w:ascii="Sylfaen" w:hAnsi="Sylfaen"/>
          <w:sz w:val="24"/>
          <w:szCs w:val="24"/>
        </w:rPr>
      </w:pPr>
      <w:r w:rsidRPr="00CA27E3">
        <w:rPr>
          <w:rFonts w:ascii="Sylfaen" w:hAnsi="Sylfaen"/>
          <w:b/>
          <w:sz w:val="24"/>
          <w:szCs w:val="24"/>
        </w:rPr>
        <w:t xml:space="preserve">կենցաղային լվացքի մեքենաների </w:t>
      </w:r>
      <w:r w:rsidR="00F84DC6" w:rsidRPr="00F84DC6">
        <w:rPr>
          <w:rFonts w:ascii="Sylfaen" w:hAnsi="Sylfaen"/>
          <w:b/>
          <w:sz w:val="24"/>
          <w:szCs w:val="24"/>
        </w:rPr>
        <w:br/>
      </w:r>
      <w:r w:rsidRPr="00CA27E3">
        <w:rPr>
          <w:rFonts w:ascii="Sylfaen" w:hAnsi="Sylfaen"/>
          <w:b/>
          <w:sz w:val="24"/>
          <w:szCs w:val="24"/>
        </w:rPr>
        <w:t>էներգետիկ արդյունավետությանը ներկայացվող</w:t>
      </w:r>
    </w:p>
    <w:p w14:paraId="7CB386A1" w14:textId="77777777" w:rsidR="00CA27E3" w:rsidRPr="00CA27E3" w:rsidRDefault="00CA27E3" w:rsidP="00F84DC6">
      <w:pPr>
        <w:pStyle w:val="1"/>
        <w:shd w:val="clear" w:color="auto" w:fill="auto"/>
        <w:spacing w:after="160" w:line="341" w:lineRule="auto"/>
        <w:ind w:firstLine="0"/>
        <w:jc w:val="center"/>
        <w:rPr>
          <w:rFonts w:ascii="Sylfaen" w:hAnsi="Sylfaen"/>
          <w:sz w:val="24"/>
          <w:szCs w:val="24"/>
        </w:rPr>
      </w:pPr>
    </w:p>
    <w:p w14:paraId="0E40C255" w14:textId="77777777" w:rsidR="00CA27E3" w:rsidRPr="00CA27E3" w:rsidRDefault="00CA27E3" w:rsidP="00F84DC6">
      <w:pPr>
        <w:pStyle w:val="1"/>
        <w:shd w:val="clear" w:color="auto" w:fill="auto"/>
        <w:spacing w:after="160" w:line="341" w:lineRule="auto"/>
        <w:ind w:left="1134" w:right="1126" w:firstLine="0"/>
        <w:jc w:val="center"/>
        <w:rPr>
          <w:rFonts w:ascii="Sylfaen" w:hAnsi="Sylfaen"/>
          <w:sz w:val="24"/>
          <w:szCs w:val="24"/>
        </w:rPr>
      </w:pPr>
      <w:r w:rsidRPr="00CA27E3">
        <w:rPr>
          <w:rFonts w:ascii="Sylfaen" w:hAnsi="Sylfaen"/>
          <w:sz w:val="24"/>
          <w:szCs w:val="24"/>
        </w:rPr>
        <w:t>I. Կիրառության ոլորտը</w:t>
      </w:r>
    </w:p>
    <w:p w14:paraId="656BE376" w14:textId="77777777" w:rsidR="00CA27E3" w:rsidRPr="00CA27E3" w:rsidRDefault="00CA27E3" w:rsidP="00F84DC6">
      <w:pPr>
        <w:pStyle w:val="1"/>
        <w:shd w:val="clear" w:color="auto" w:fill="auto"/>
        <w:tabs>
          <w:tab w:val="left" w:pos="1134"/>
        </w:tabs>
        <w:spacing w:after="160" w:line="341" w:lineRule="auto"/>
        <w:ind w:firstLine="567"/>
        <w:jc w:val="both"/>
        <w:rPr>
          <w:rFonts w:ascii="Sylfaen" w:hAnsi="Sylfaen"/>
          <w:sz w:val="24"/>
          <w:szCs w:val="24"/>
        </w:rPr>
      </w:pPr>
      <w:r w:rsidRPr="00CA27E3">
        <w:rPr>
          <w:rFonts w:ascii="Sylfaen" w:hAnsi="Sylfaen"/>
          <w:sz w:val="24"/>
          <w:szCs w:val="24"/>
        </w:rPr>
        <w:t>1.</w:t>
      </w:r>
      <w:r w:rsidR="00F84DC6" w:rsidRPr="00F84DC6">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մաքսային տարածքում (այսուհետ՝ Միություն) շրջանառության մեջ դրվող կենցաղային ավտոմատ լվացքի մեքենաների վրա (այսուհետ՝ լվացքի մեքենաներ), որոնք կարող են կիրառվել նա</w:t>
      </w:r>
      <w:r>
        <w:rPr>
          <w:rFonts w:ascii="Sylfaen" w:hAnsi="Sylfaen"/>
          <w:sz w:val="24"/>
          <w:szCs w:val="24"/>
        </w:rPr>
        <w:t>եւ</w:t>
      </w:r>
      <w:r w:rsidRPr="00CA27E3">
        <w:rPr>
          <w:rFonts w:ascii="Sylfaen" w:hAnsi="Sylfaen"/>
          <w:sz w:val="24"/>
          <w:szCs w:val="24"/>
        </w:rPr>
        <w:t xml:space="preserve"> կոմերցիոն նպատակներով (արտադրությունում, առ</w:t>
      </w:r>
      <w:r>
        <w:rPr>
          <w:rFonts w:ascii="Sylfaen" w:hAnsi="Sylfaen"/>
          <w:sz w:val="24"/>
          <w:szCs w:val="24"/>
        </w:rPr>
        <w:t>եւ</w:t>
      </w:r>
      <w:r w:rsidRPr="00CA27E3">
        <w:rPr>
          <w:rFonts w:ascii="Sylfaen" w:hAnsi="Sylfaen"/>
          <w:sz w:val="24"/>
          <w:szCs w:val="24"/>
        </w:rPr>
        <w:t xml:space="preserve">տրի մեջ </w:t>
      </w:r>
      <w:r>
        <w:rPr>
          <w:rFonts w:ascii="Sylfaen" w:hAnsi="Sylfaen"/>
          <w:sz w:val="24"/>
          <w:szCs w:val="24"/>
        </w:rPr>
        <w:t>եւ</w:t>
      </w:r>
      <w:r w:rsidRPr="00CA27E3">
        <w:rPr>
          <w:rFonts w:ascii="Sylfaen" w:hAnsi="Sylfaen"/>
          <w:sz w:val="24"/>
          <w:szCs w:val="24"/>
        </w:rPr>
        <w:t xml:space="preserve"> ծառայությունների ոլորտում), մինչ</w:t>
      </w:r>
      <w:r>
        <w:rPr>
          <w:rFonts w:ascii="Sylfaen" w:hAnsi="Sylfaen"/>
          <w:sz w:val="24"/>
          <w:szCs w:val="24"/>
        </w:rPr>
        <w:t>եւ</w:t>
      </w:r>
      <w:r w:rsidRPr="00CA27E3">
        <w:rPr>
          <w:rFonts w:ascii="Sylfaen" w:hAnsi="Sylfaen"/>
          <w:sz w:val="24"/>
          <w:szCs w:val="24"/>
        </w:rPr>
        <w:t xml:space="preserve"> 250 Վ (ներառյալ) անվանական լարմամբ փոփոխական հոսանքի ցանցից սնվող լվացքի մեքենաների վրա, որոնք ցանցից սնումից զատ կարող են աշխատել էլեկտրական մարտկոցներից (կուտակիչներից), ինչպես նա</w:t>
      </w:r>
      <w:r>
        <w:rPr>
          <w:rFonts w:ascii="Sylfaen" w:hAnsi="Sylfaen"/>
          <w:sz w:val="24"/>
          <w:szCs w:val="24"/>
        </w:rPr>
        <w:t>եւ</w:t>
      </w:r>
      <w:r w:rsidRPr="00CA27E3">
        <w:rPr>
          <w:rFonts w:ascii="Sylfaen" w:hAnsi="Sylfaen"/>
          <w:sz w:val="24"/>
          <w:szCs w:val="24"/>
        </w:rPr>
        <w:t xml:space="preserve"> ներկառուցվող լվացքի մեքենաների վրա՝</w:t>
      </w:r>
      <w:r>
        <w:rPr>
          <w:rFonts w:ascii="Sylfaen" w:hAnsi="Sylfaen"/>
          <w:sz w:val="24"/>
          <w:szCs w:val="24"/>
        </w:rPr>
        <w:t xml:space="preserve"> </w:t>
      </w:r>
      <w:r w:rsidRPr="00CA27E3">
        <w:rPr>
          <w:rFonts w:ascii="Sylfaen" w:hAnsi="Sylfaen"/>
          <w:sz w:val="24"/>
          <w:szCs w:val="24"/>
        </w:rPr>
        <w:t>բացառությամբ համակցված լվացող-չորացնող մեքենաների:</w:t>
      </w:r>
    </w:p>
    <w:p w14:paraId="770202A0" w14:textId="77777777" w:rsidR="00CA27E3" w:rsidRPr="00CA27E3" w:rsidRDefault="00CA27E3" w:rsidP="00F84DC6">
      <w:pPr>
        <w:pStyle w:val="1"/>
        <w:shd w:val="clear" w:color="auto" w:fill="auto"/>
        <w:spacing w:after="160" w:line="341" w:lineRule="auto"/>
        <w:ind w:firstLine="567"/>
        <w:jc w:val="both"/>
        <w:rPr>
          <w:rFonts w:ascii="Sylfaen" w:hAnsi="Sylfaen"/>
          <w:sz w:val="24"/>
          <w:szCs w:val="24"/>
        </w:rPr>
      </w:pPr>
      <w:r w:rsidRPr="00CA27E3">
        <w:rPr>
          <w:rFonts w:ascii="Sylfaen" w:hAnsi="Sylfaen"/>
          <w:sz w:val="24"/>
          <w:szCs w:val="24"/>
        </w:rPr>
        <w:t>Եթե լվացքի մեքենաների մասով ընդունվում են Միության այլ տեխնիկական կանոնակարգեր (Մաքսային միության տեխնիկական կանոնակարգեր), որոնցով սահմանվում են դրանց ներկայացվող պահանջները, ապա լվացքի մեքենաները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232BAF62" w14:textId="77777777" w:rsidR="00CA27E3" w:rsidRPr="00CA27E3" w:rsidRDefault="00CA27E3" w:rsidP="00F84DC6">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lastRenderedPageBreak/>
        <w:t>II. Հիմնական հասկացությունները</w:t>
      </w:r>
    </w:p>
    <w:p w14:paraId="5DF414CC"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2.</w:t>
      </w:r>
      <w:r w:rsidR="00F84DC6" w:rsidRPr="00F84DC6">
        <w:rPr>
          <w:rFonts w:ascii="Sylfaen" w:hAnsi="Sylfaen"/>
          <w:sz w:val="24"/>
          <w:szCs w:val="24"/>
        </w:rPr>
        <w:tab/>
      </w:r>
      <w:r w:rsidRPr="00CA27E3">
        <w:rPr>
          <w:rFonts w:ascii="Sylfaen" w:hAnsi="Sylfaen"/>
          <w:sz w:val="24"/>
          <w:szCs w:val="24"/>
        </w:rPr>
        <w:t>Սույն պահանջների կիրառման նպատակով օգտագործվում են հետ</w:t>
      </w:r>
      <w:r>
        <w:rPr>
          <w:rFonts w:ascii="Sylfaen" w:hAnsi="Sylfaen"/>
          <w:sz w:val="24"/>
          <w:szCs w:val="24"/>
        </w:rPr>
        <w:t>եւ</w:t>
      </w:r>
      <w:r w:rsidRPr="00CA27E3">
        <w:rPr>
          <w:rFonts w:ascii="Sylfaen" w:hAnsi="Sylfaen"/>
          <w:sz w:val="24"/>
          <w:szCs w:val="24"/>
        </w:rPr>
        <w:t>յալ հասկացությունները, որոնք ունեն հետ</w:t>
      </w:r>
      <w:r>
        <w:rPr>
          <w:rFonts w:ascii="Sylfaen" w:hAnsi="Sylfaen"/>
          <w:sz w:val="24"/>
          <w:szCs w:val="24"/>
        </w:rPr>
        <w:t>եւ</w:t>
      </w:r>
      <w:r w:rsidRPr="00CA27E3">
        <w:rPr>
          <w:rFonts w:ascii="Sylfaen" w:hAnsi="Sylfaen"/>
          <w:sz w:val="24"/>
          <w:szCs w:val="24"/>
        </w:rPr>
        <w:t>յալ իմաստը՝</w:t>
      </w:r>
    </w:p>
    <w:p w14:paraId="77CEB9E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ավտոմատ լվացքի մեքենա՝</w:t>
      </w:r>
      <w:r w:rsidRPr="00CA27E3">
        <w:rPr>
          <w:rFonts w:ascii="Sylfaen" w:hAnsi="Sylfaen"/>
          <w:sz w:val="24"/>
          <w:szCs w:val="24"/>
        </w:rPr>
        <w:t xml:space="preserve"> լվացքի մեքենա, որում տեքստիլ արտադրատեսակներ լվանալիս բոլոր գործողությունները </w:t>
      </w:r>
      <w:r>
        <w:rPr>
          <w:rFonts w:ascii="Sylfaen" w:hAnsi="Sylfaen"/>
          <w:sz w:val="24"/>
          <w:szCs w:val="24"/>
        </w:rPr>
        <w:t>եւ</w:t>
      </w:r>
      <w:r w:rsidRPr="00CA27E3">
        <w:rPr>
          <w:rFonts w:ascii="Sylfaen" w:hAnsi="Sylfaen"/>
          <w:sz w:val="24"/>
          <w:szCs w:val="24"/>
        </w:rPr>
        <w:t xml:space="preserve"> դրանց կառավարումն ամբողջությամբ կատարում է մեքենան՝ չպահանջելով մինչ ծրագրի ավարտը դրա որ</w:t>
      </w:r>
      <w:r>
        <w:rPr>
          <w:rFonts w:ascii="Sylfaen" w:hAnsi="Sylfaen"/>
          <w:sz w:val="24"/>
          <w:szCs w:val="24"/>
        </w:rPr>
        <w:t>եւ</w:t>
      </w:r>
      <w:r w:rsidRPr="00CA27E3">
        <w:rPr>
          <w:rFonts w:ascii="Sylfaen" w:hAnsi="Sylfaen"/>
          <w:sz w:val="24"/>
          <w:szCs w:val="24"/>
        </w:rPr>
        <w:t>է փուլում օգտագործողի միջամտությունը.</w:t>
      </w:r>
    </w:p>
    <w:p w14:paraId="50BF1DC0"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ծրագրի կատարման ժամանակը</w:t>
      </w:r>
      <w:r w:rsidR="00CA27E3" w:rsidRPr="00F84DC6">
        <w:rPr>
          <w:rFonts w:ascii="Sylfaen" w:hAnsi="Sylfaen"/>
          <w:b/>
          <w:sz w:val="24"/>
          <w:szCs w:val="24"/>
        </w:rPr>
        <w:t>՝</w:t>
      </w:r>
      <w:r w:rsidR="00CA27E3" w:rsidRPr="00CA27E3">
        <w:rPr>
          <w:rFonts w:ascii="Sylfaen" w:hAnsi="Sylfaen"/>
          <w:sz w:val="24"/>
          <w:szCs w:val="24"/>
        </w:rPr>
        <w:t xml:space="preserve"> ծրագրի գործարկման սկզբից (օգտագործողի կողմից տրվող կասեցումից բացի) մինչ դրա ավարտն ընկած ժամանակը.</w:t>
      </w:r>
    </w:p>
    <w:p w14:paraId="4EE51D33"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ներկառուցվող լվացքի մեքենա</w:t>
      </w:r>
      <w:r w:rsidR="00CA27E3" w:rsidRPr="00F84DC6">
        <w:rPr>
          <w:rFonts w:ascii="Sylfaen" w:hAnsi="Sylfaen"/>
          <w:b/>
          <w:sz w:val="24"/>
          <w:szCs w:val="24"/>
        </w:rPr>
        <w:t>՝</w:t>
      </w:r>
      <w:r w:rsidR="00CA27E3" w:rsidRPr="00CA27E3">
        <w:rPr>
          <w:rFonts w:ascii="Sylfaen" w:hAnsi="Sylfaen"/>
          <w:sz w:val="24"/>
          <w:szCs w:val="24"/>
        </w:rPr>
        <w:t xml:space="preserve"> լվացքի մեքենա, որը նախատեսված է տեղակայելու համար պատի մեջ կամ այլ նման վայրում նախապատրաստված խորացման մեջ, պահարանում կամ այլ կահույքի մեջ.</w:t>
      </w:r>
    </w:p>
    <w:p w14:paraId="469E0E2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հ</w:t>
      </w:r>
      <w:r w:rsidR="00F84DC6" w:rsidRPr="00F84DC6">
        <w:rPr>
          <w:rFonts w:ascii="Sylfaen" w:hAnsi="Sylfaen"/>
          <w:b/>
          <w:sz w:val="24"/>
          <w:szCs w:val="24"/>
        </w:rPr>
        <w:t>ամակցված լվացող-չորացնող մեքենա</w:t>
      </w:r>
      <w:r w:rsidRPr="00F84DC6">
        <w:rPr>
          <w:rFonts w:ascii="Sylfaen" w:hAnsi="Sylfaen"/>
          <w:b/>
          <w:sz w:val="24"/>
          <w:szCs w:val="24"/>
        </w:rPr>
        <w:t>՝</w:t>
      </w:r>
      <w:r w:rsidRPr="00CA27E3">
        <w:rPr>
          <w:rFonts w:ascii="Sylfaen" w:hAnsi="Sylfaen"/>
          <w:sz w:val="24"/>
          <w:szCs w:val="24"/>
        </w:rPr>
        <w:t xml:space="preserve"> լվացքի մեքենա, որը ներառում է ջերմամշակման </w:t>
      </w:r>
      <w:r>
        <w:rPr>
          <w:rFonts w:ascii="Sylfaen" w:hAnsi="Sylfaen"/>
          <w:sz w:val="24"/>
          <w:szCs w:val="24"/>
        </w:rPr>
        <w:t>եւ</w:t>
      </w:r>
      <w:r w:rsidRPr="00CA27E3">
        <w:rPr>
          <w:rFonts w:ascii="Sylfaen" w:hAnsi="Sylfaen"/>
          <w:sz w:val="24"/>
          <w:szCs w:val="24"/>
        </w:rPr>
        <w:t xml:space="preserve"> թմբուկի պտտման միջոցով տեքստիլ արտադրատեսակները քամելու </w:t>
      </w:r>
      <w:r>
        <w:rPr>
          <w:rFonts w:ascii="Sylfaen" w:hAnsi="Sylfaen"/>
          <w:sz w:val="24"/>
          <w:szCs w:val="24"/>
        </w:rPr>
        <w:t>եւ</w:t>
      </w:r>
      <w:r w:rsidRPr="00CA27E3">
        <w:rPr>
          <w:rFonts w:ascii="Sylfaen" w:hAnsi="Sylfaen"/>
          <w:sz w:val="24"/>
          <w:szCs w:val="24"/>
        </w:rPr>
        <w:t xml:space="preserve"> չորացնելու ֆունկցիա. </w:t>
      </w:r>
    </w:p>
    <w:p w14:paraId="3893070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անվանակա</w:t>
      </w:r>
      <w:r w:rsidR="00F84DC6" w:rsidRPr="00F84DC6">
        <w:rPr>
          <w:rFonts w:ascii="Sylfaen" w:hAnsi="Sylfaen"/>
          <w:b/>
          <w:sz w:val="24"/>
          <w:szCs w:val="24"/>
        </w:rPr>
        <w:t>ն տարողություն</w:t>
      </w:r>
      <w:r w:rsidRPr="00CA27E3">
        <w:rPr>
          <w:rFonts w:ascii="Sylfaen" w:hAnsi="Sylfaen"/>
          <w:sz w:val="24"/>
          <w:szCs w:val="24"/>
        </w:rPr>
        <w:t>՝ արտադրողի կողմից սահմանված՝ չոր տեքստիլ արտադրատեսակների առավելագույն զանգվածը կիլոգրամներով, որը կարող է մշակվել մեկ գործողության ընթացքում կամ գործողությունների ցիկլի ընթացքում.</w:t>
      </w:r>
    </w:p>
    <w:p w14:paraId="7B825FBA"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ծրագիր</w:t>
      </w:r>
      <w:r w:rsidR="00CA27E3" w:rsidRPr="00F84DC6">
        <w:rPr>
          <w:rFonts w:ascii="Sylfaen" w:hAnsi="Sylfaen"/>
          <w:b/>
          <w:sz w:val="24"/>
          <w:szCs w:val="24"/>
        </w:rPr>
        <w:t>՝</w:t>
      </w:r>
      <w:r w:rsidR="00CA27E3" w:rsidRPr="00CA27E3">
        <w:rPr>
          <w:rFonts w:ascii="Sylfaen" w:hAnsi="Sylfaen"/>
          <w:sz w:val="24"/>
          <w:szCs w:val="24"/>
        </w:rPr>
        <w:t xml:space="preserve"> գործողությունների շարք, որոնք նախապես որոշված են լվացքի մեքենայում </w:t>
      </w:r>
      <w:r w:rsidR="00CA27E3">
        <w:rPr>
          <w:rFonts w:ascii="Sylfaen" w:hAnsi="Sylfaen"/>
          <w:sz w:val="24"/>
          <w:szCs w:val="24"/>
        </w:rPr>
        <w:t>եւ</w:t>
      </w:r>
      <w:r w:rsidR="00CA27E3" w:rsidRPr="00CA27E3">
        <w:rPr>
          <w:rFonts w:ascii="Sylfaen" w:hAnsi="Sylfaen"/>
          <w:sz w:val="24"/>
          <w:szCs w:val="24"/>
        </w:rPr>
        <w:t xml:space="preserve"> կիրառվում են որոշակի տիպի տեքստիլ արտադրատեսակներ լվանալու համար. </w:t>
      </w:r>
    </w:p>
    <w:p w14:paraId="539F52E3"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ռեժիմ «անջատված է»</w:t>
      </w:r>
      <w:r w:rsidR="00CA27E3" w:rsidRPr="00F84DC6">
        <w:rPr>
          <w:rFonts w:ascii="Sylfaen" w:hAnsi="Sylfaen"/>
          <w:b/>
          <w:sz w:val="24"/>
          <w:szCs w:val="24"/>
        </w:rPr>
        <w:t>՝</w:t>
      </w:r>
      <w:r w:rsidR="00CA27E3" w:rsidRPr="00CA27E3">
        <w:rPr>
          <w:rFonts w:ascii="Sylfaen" w:hAnsi="Sylfaen"/>
          <w:sz w:val="24"/>
          <w:szCs w:val="24"/>
        </w:rPr>
        <w:t xml:space="preserve"> վիճակ, երբ լվացքի մեքենան անջատվում է օգտագործողի կողմից սարքերի պանելի վրա կառավարման միջոցների կամ անջատիչի օգնությամբ էներգիայի ամենացածր սպառման ռեժիմ ապահովելու</w:t>
      </w:r>
      <w:r w:rsidR="00CA27E3" w:rsidRPr="00CA27E3">
        <w:rPr>
          <w:rFonts w:ascii="Sylfaen" w:hAnsi="Sylfaen"/>
          <w:sz w:val="24"/>
          <w:szCs w:val="24"/>
          <w:highlight w:val="yellow"/>
        </w:rPr>
        <w:t xml:space="preserve"> </w:t>
      </w:r>
      <w:r w:rsidR="00CA27E3" w:rsidRPr="00CA27E3">
        <w:rPr>
          <w:rFonts w:ascii="Sylfaen" w:hAnsi="Sylfaen"/>
          <w:sz w:val="24"/>
          <w:szCs w:val="24"/>
        </w:rPr>
        <w:t xml:space="preserve">համար, որը կարող է պահպանվել անսահմանափակ ժամանակով սնուցման հիմնական աղբյուրին միացնելիս </w:t>
      </w:r>
      <w:r w:rsidR="00CA27E3">
        <w:rPr>
          <w:rFonts w:ascii="Sylfaen" w:hAnsi="Sylfaen"/>
          <w:sz w:val="24"/>
          <w:szCs w:val="24"/>
        </w:rPr>
        <w:t>եւ</w:t>
      </w:r>
      <w:r w:rsidR="00CA27E3" w:rsidRPr="00CA27E3">
        <w:rPr>
          <w:rFonts w:ascii="Sylfaen" w:hAnsi="Sylfaen"/>
          <w:sz w:val="24"/>
          <w:szCs w:val="24"/>
        </w:rPr>
        <w:t xml:space="preserve"> օգտագործվում է շահագործման հրահանգին </w:t>
      </w:r>
      <w:r w:rsidR="00CA27E3" w:rsidRPr="00CA27E3">
        <w:rPr>
          <w:rFonts w:ascii="Sylfaen" w:hAnsi="Sylfaen"/>
          <w:sz w:val="24"/>
          <w:szCs w:val="24"/>
        </w:rPr>
        <w:lastRenderedPageBreak/>
        <w:t>համապատասխան: Օգտագործողի համար մատչելի կառավարման միջոցների բացակայությունը նշանակում է մի վիճակ, որի ժամանակ լվացքի մեքենան ինքնուրույն անցնում է էներգասպառման դրված ռեժիմի.</w:t>
      </w:r>
    </w:p>
    <w:p w14:paraId="223BB318"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ռեժիմ «թողնված է միացված»</w:t>
      </w:r>
      <w:r w:rsidR="00CA27E3" w:rsidRPr="00F84DC6">
        <w:rPr>
          <w:rFonts w:ascii="Sylfaen" w:hAnsi="Sylfaen"/>
          <w:b/>
          <w:sz w:val="24"/>
          <w:szCs w:val="24"/>
        </w:rPr>
        <w:t>՝</w:t>
      </w:r>
      <w:r w:rsidR="00CA27E3" w:rsidRPr="00CA27E3">
        <w:rPr>
          <w:rFonts w:ascii="Sylfaen" w:hAnsi="Sylfaen"/>
          <w:sz w:val="24"/>
          <w:szCs w:val="24"/>
        </w:rPr>
        <w:t xml:space="preserve"> էներգիայի ամենացածր սպառման ռեժիմ, որը կարող է տ</w:t>
      </w:r>
      <w:r w:rsidR="00CA27E3">
        <w:rPr>
          <w:rFonts w:ascii="Sylfaen" w:hAnsi="Sylfaen"/>
          <w:sz w:val="24"/>
          <w:szCs w:val="24"/>
        </w:rPr>
        <w:t>եւ</w:t>
      </w:r>
      <w:r w:rsidR="00CA27E3" w:rsidRPr="00CA27E3">
        <w:rPr>
          <w:rFonts w:ascii="Sylfaen" w:hAnsi="Sylfaen"/>
          <w:sz w:val="24"/>
          <w:szCs w:val="24"/>
        </w:rPr>
        <w:t xml:space="preserve">ել անսահմանափակ ժամանակ՝ ծրագրի ավարտից </w:t>
      </w:r>
      <w:r w:rsidR="00CA27E3">
        <w:rPr>
          <w:rFonts w:ascii="Sylfaen" w:hAnsi="Sylfaen"/>
          <w:sz w:val="24"/>
          <w:szCs w:val="24"/>
        </w:rPr>
        <w:t>եւ</w:t>
      </w:r>
      <w:r w:rsidR="00CA27E3" w:rsidRPr="00CA27E3">
        <w:rPr>
          <w:rFonts w:ascii="Sylfaen" w:hAnsi="Sylfaen"/>
          <w:sz w:val="24"/>
          <w:szCs w:val="24"/>
        </w:rPr>
        <w:t xml:space="preserve"> լվացքի մեքենայի բեռնաթափումից հետո՝ առանց օգտագործողի լրացուցիչ միջամտության.</w:t>
      </w:r>
    </w:p>
    <w:p w14:paraId="6752776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մնացորդա</w:t>
      </w:r>
      <w:r w:rsidR="00F84DC6" w:rsidRPr="00F84DC6">
        <w:rPr>
          <w:rFonts w:ascii="Sylfaen" w:hAnsi="Sylfaen"/>
          <w:b/>
          <w:sz w:val="24"/>
          <w:szCs w:val="24"/>
        </w:rPr>
        <w:t>յին խոնավության պարունակություն</w:t>
      </w:r>
      <w:r w:rsidRPr="00F84DC6">
        <w:rPr>
          <w:rFonts w:ascii="Sylfaen" w:hAnsi="Sylfaen"/>
          <w:b/>
          <w:sz w:val="24"/>
          <w:szCs w:val="24"/>
        </w:rPr>
        <w:t>՝</w:t>
      </w:r>
      <w:r w:rsidRPr="00CA27E3">
        <w:rPr>
          <w:rFonts w:ascii="Sylfaen" w:hAnsi="Sylfaen"/>
          <w:sz w:val="24"/>
          <w:szCs w:val="24"/>
        </w:rPr>
        <w:t xml:space="preserve"> մնացորդային խոնավության քանակը որոշող ցուցանիշ, որը պարունակվում է բազային բեռնվածքի տարրերի հավասարակշռային վիճակի նկատմամբ բազային բեռնվածքի մեջ, որոնք ենթարկվել են լավորակման վերահսկվող միջավայրում.</w:t>
      </w:r>
    </w:p>
    <w:p w14:paraId="61BAD85F"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լվացքի մեքենա</w:t>
      </w:r>
      <w:r w:rsidR="00CA27E3" w:rsidRPr="00CA27E3">
        <w:rPr>
          <w:rFonts w:ascii="Sylfaen" w:hAnsi="Sylfaen"/>
          <w:sz w:val="24"/>
          <w:szCs w:val="24"/>
        </w:rPr>
        <w:t xml:space="preserve">՝ ջրի կիրառմամբ տեքստիլ արտադրատեսակներ լվանալու </w:t>
      </w:r>
      <w:r w:rsidR="00CA27E3">
        <w:rPr>
          <w:rFonts w:ascii="Sylfaen" w:hAnsi="Sylfaen"/>
          <w:sz w:val="24"/>
          <w:szCs w:val="24"/>
        </w:rPr>
        <w:t>եւ</w:t>
      </w:r>
      <w:r w:rsidR="00CA27E3" w:rsidRPr="00CA27E3">
        <w:rPr>
          <w:rFonts w:ascii="Sylfaen" w:hAnsi="Sylfaen"/>
          <w:sz w:val="24"/>
          <w:szCs w:val="24"/>
        </w:rPr>
        <w:t xml:space="preserve"> պարզաջրելու համար նախատեսված էլեկտրական սարք, որը նա</w:t>
      </w:r>
      <w:r w:rsidR="00CA27E3">
        <w:rPr>
          <w:rFonts w:ascii="Sylfaen" w:hAnsi="Sylfaen"/>
          <w:sz w:val="24"/>
          <w:szCs w:val="24"/>
        </w:rPr>
        <w:t>եւ</w:t>
      </w:r>
      <w:r w:rsidR="00CA27E3" w:rsidRPr="00CA27E3">
        <w:rPr>
          <w:rFonts w:ascii="Sylfaen" w:hAnsi="Sylfaen"/>
          <w:sz w:val="24"/>
          <w:szCs w:val="24"/>
        </w:rPr>
        <w:t xml:space="preserve"> ներառում է քամելու ֆունկցիա </w:t>
      </w:r>
      <w:r w:rsidR="00CA27E3">
        <w:rPr>
          <w:rFonts w:ascii="Sylfaen" w:hAnsi="Sylfaen"/>
          <w:sz w:val="24"/>
          <w:szCs w:val="24"/>
        </w:rPr>
        <w:t>եւ</w:t>
      </w:r>
      <w:r w:rsidR="00CA27E3" w:rsidRPr="00CA27E3">
        <w:rPr>
          <w:rFonts w:ascii="Sylfaen" w:hAnsi="Sylfaen"/>
          <w:sz w:val="24"/>
          <w:szCs w:val="24"/>
        </w:rPr>
        <w:t xml:space="preserve"> նախատեսված է հիմնականում ոչ պրոֆեսիոնալ օգտագործման համար. </w:t>
      </w:r>
    </w:p>
    <w:p w14:paraId="580B9252"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ցիկլ</w:t>
      </w:r>
      <w:r w:rsidR="00CA27E3" w:rsidRPr="00F84DC6">
        <w:rPr>
          <w:rFonts w:ascii="Sylfaen" w:hAnsi="Sylfaen"/>
          <w:b/>
          <w:sz w:val="24"/>
          <w:szCs w:val="24"/>
        </w:rPr>
        <w:t>՝</w:t>
      </w:r>
      <w:r w:rsidR="00CA27E3" w:rsidRPr="00CA27E3">
        <w:rPr>
          <w:rFonts w:ascii="Sylfaen" w:hAnsi="Sylfaen"/>
          <w:sz w:val="24"/>
          <w:szCs w:val="24"/>
        </w:rPr>
        <w:t xml:space="preserve"> ընտրված ծրագրին համապատասխան լվացքի մեքենայի աշխատանքի ամբողջական գործընթաց, որը բաղկացած է մի շարք տարբեր գործողություններից (լվացք, պարզաջրում, քամում </w:t>
      </w:r>
      <w:r w:rsidR="00CA27E3">
        <w:rPr>
          <w:rFonts w:ascii="Sylfaen" w:hAnsi="Sylfaen"/>
          <w:sz w:val="24"/>
          <w:szCs w:val="24"/>
        </w:rPr>
        <w:t>եւ</w:t>
      </w:r>
      <w:r w:rsidR="00CA27E3" w:rsidRPr="00CA27E3">
        <w:rPr>
          <w:rFonts w:ascii="Sylfaen" w:hAnsi="Sylfaen"/>
          <w:sz w:val="24"/>
          <w:szCs w:val="24"/>
        </w:rPr>
        <w:t xml:space="preserve"> այլն) </w:t>
      </w:r>
      <w:r w:rsidR="00CA27E3">
        <w:rPr>
          <w:rFonts w:ascii="Sylfaen" w:hAnsi="Sylfaen"/>
          <w:sz w:val="24"/>
          <w:szCs w:val="24"/>
        </w:rPr>
        <w:t>եւ</w:t>
      </w:r>
      <w:r w:rsidR="00CA27E3" w:rsidRPr="00CA27E3">
        <w:rPr>
          <w:rFonts w:ascii="Sylfaen" w:hAnsi="Sylfaen"/>
          <w:sz w:val="24"/>
          <w:szCs w:val="24"/>
        </w:rPr>
        <w:t>, որը ներառում է ընտրված ծրագրի կատարումն ավարտելուց հետո կատարվող ցանկացած գործողություն.</w:t>
      </w:r>
    </w:p>
    <w:p w14:paraId="4EF93D83"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մասնակի բեռնվածք</w:t>
      </w:r>
      <w:r w:rsidR="00CA27E3" w:rsidRPr="00F84DC6">
        <w:rPr>
          <w:rFonts w:ascii="Sylfaen" w:hAnsi="Sylfaen"/>
          <w:b/>
          <w:sz w:val="24"/>
          <w:szCs w:val="24"/>
        </w:rPr>
        <w:t>՝</w:t>
      </w:r>
      <w:r w:rsidR="00CA27E3" w:rsidRPr="00CA27E3">
        <w:rPr>
          <w:rFonts w:ascii="Sylfaen" w:hAnsi="Sylfaen"/>
          <w:sz w:val="24"/>
          <w:szCs w:val="24"/>
        </w:rPr>
        <w:t xml:space="preserve"> տրված ծրագրի համար լվացքի մեքենայի անվանական տարողության կեսը.</w:t>
      </w:r>
    </w:p>
    <w:p w14:paraId="4AB9AFBE" w14:textId="77777777" w:rsidR="00CA27E3" w:rsidRPr="00CA27E3" w:rsidRDefault="00F84DC6" w:rsidP="00CA27E3">
      <w:pPr>
        <w:pStyle w:val="1"/>
        <w:shd w:val="clear" w:color="auto" w:fill="auto"/>
        <w:spacing w:after="160"/>
        <w:ind w:firstLine="567"/>
        <w:jc w:val="both"/>
        <w:rPr>
          <w:rFonts w:ascii="Sylfaen" w:hAnsi="Sylfaen"/>
          <w:sz w:val="24"/>
          <w:szCs w:val="24"/>
        </w:rPr>
      </w:pPr>
      <w:r w:rsidRPr="00F84DC6">
        <w:rPr>
          <w:rFonts w:ascii="Sylfaen" w:hAnsi="Sylfaen"/>
          <w:b/>
          <w:sz w:val="24"/>
          <w:szCs w:val="24"/>
        </w:rPr>
        <w:t>համարժեք լվացքի մեքենա</w:t>
      </w:r>
      <w:r w:rsidR="00CA27E3" w:rsidRPr="00F84DC6">
        <w:rPr>
          <w:rFonts w:ascii="Sylfaen" w:hAnsi="Sylfaen"/>
          <w:b/>
          <w:sz w:val="24"/>
          <w:szCs w:val="24"/>
        </w:rPr>
        <w:t>՝</w:t>
      </w:r>
      <w:r w:rsidR="00CA27E3" w:rsidRPr="00CA27E3">
        <w:rPr>
          <w:rFonts w:ascii="Sylfaen" w:hAnsi="Sylfaen"/>
          <w:sz w:val="24"/>
          <w:szCs w:val="24"/>
        </w:rPr>
        <w:t xml:space="preserve"> լվանալու </w:t>
      </w:r>
      <w:r w:rsidR="00CA27E3">
        <w:rPr>
          <w:rFonts w:ascii="Sylfaen" w:hAnsi="Sylfaen"/>
          <w:sz w:val="24"/>
          <w:szCs w:val="24"/>
        </w:rPr>
        <w:t>եւ</w:t>
      </w:r>
      <w:r w:rsidR="00CA27E3" w:rsidRPr="00CA27E3">
        <w:rPr>
          <w:rFonts w:ascii="Sylfaen" w:hAnsi="Sylfaen"/>
          <w:sz w:val="24"/>
          <w:szCs w:val="24"/>
        </w:rPr>
        <w:t xml:space="preserve"> քամելու ժամանակ այնպիսի ցուցանիշներով (անվանական տարողություն, տեխնիկական </w:t>
      </w:r>
      <w:r w:rsidR="00CA27E3">
        <w:rPr>
          <w:rFonts w:ascii="Sylfaen" w:hAnsi="Sylfaen"/>
          <w:sz w:val="24"/>
          <w:szCs w:val="24"/>
        </w:rPr>
        <w:t>եւ</w:t>
      </w:r>
      <w:r w:rsidR="00CA27E3" w:rsidRPr="00CA27E3">
        <w:rPr>
          <w:rFonts w:ascii="Sylfaen" w:hAnsi="Sylfaen"/>
          <w:sz w:val="24"/>
          <w:szCs w:val="24"/>
        </w:rPr>
        <w:t xml:space="preserve"> շահագործման բնութագրեր, էլեկտրաէներգիայի սպառում, ջրի ծախս, ձայնային հզորության շտկված մակարդակ) լվացքի մեքենայի մոդել, որոնք նույնանման են այլ առ</w:t>
      </w:r>
      <w:r w:rsidR="00CA27E3">
        <w:rPr>
          <w:rFonts w:ascii="Sylfaen" w:hAnsi="Sylfaen"/>
          <w:sz w:val="24"/>
          <w:szCs w:val="24"/>
        </w:rPr>
        <w:t>եւ</w:t>
      </w:r>
      <w:r w:rsidR="00CA27E3" w:rsidRPr="00CA27E3">
        <w:rPr>
          <w:rFonts w:ascii="Sylfaen" w:hAnsi="Sylfaen"/>
          <w:sz w:val="24"/>
          <w:szCs w:val="24"/>
        </w:rPr>
        <w:t>տրային նշանով շրջանառության մեջ դրված՝ նույն արտադրողի լվացքի մեքենայի այլ մոդելի ցուցանիշներին:</w:t>
      </w:r>
    </w:p>
    <w:p w14:paraId="5097EE1B" w14:textId="77777777" w:rsidR="00CA27E3" w:rsidRPr="00CA27E3" w:rsidRDefault="00CA27E3" w:rsidP="00F84DC6">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lastRenderedPageBreak/>
        <w:t xml:space="preserve">III. Լվացքի մեքենաների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6F9652BB"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3.</w:t>
      </w:r>
      <w:r w:rsidR="00F84DC6" w:rsidRPr="00F84DC6">
        <w:rPr>
          <w:rFonts w:ascii="Sylfaen" w:hAnsi="Sylfaen"/>
          <w:sz w:val="24"/>
          <w:szCs w:val="24"/>
        </w:rPr>
        <w:tab/>
      </w:r>
      <w:r w:rsidRPr="00CA27E3">
        <w:rPr>
          <w:rFonts w:ascii="Sylfaen" w:hAnsi="Sylfaen"/>
          <w:sz w:val="24"/>
          <w:szCs w:val="24"/>
        </w:rPr>
        <w:t xml:space="preserve">Լվացքի մեքենայի համար պետք է կատարվեն համապատասխան չափումներ (փորձարկումներ) </w:t>
      </w:r>
      <w:r>
        <w:rPr>
          <w:rFonts w:ascii="Sylfaen" w:hAnsi="Sylfaen"/>
          <w:sz w:val="24"/>
          <w:szCs w:val="24"/>
        </w:rPr>
        <w:t>եւ</w:t>
      </w:r>
      <w:r w:rsidRPr="00CA27E3">
        <w:rPr>
          <w:rFonts w:ascii="Sylfaen" w:hAnsi="Sylfaen"/>
          <w:sz w:val="24"/>
          <w:szCs w:val="24"/>
        </w:rPr>
        <w:t xml:space="preserve"> որոշվեն հետ</w:t>
      </w:r>
      <w:r>
        <w:rPr>
          <w:rFonts w:ascii="Sylfaen" w:hAnsi="Sylfaen"/>
          <w:sz w:val="24"/>
          <w:szCs w:val="24"/>
        </w:rPr>
        <w:t>եւ</w:t>
      </w:r>
      <w:r w:rsidRPr="00CA27E3">
        <w:rPr>
          <w:rFonts w:ascii="Sylfaen" w:hAnsi="Sylfaen"/>
          <w:sz w:val="24"/>
          <w:szCs w:val="24"/>
        </w:rPr>
        <w:t>յալ ցուցանիշները՝</w:t>
      </w:r>
    </w:p>
    <w:p w14:paraId="74F0B05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էներգետիկ արդյունավետության ցուցիչը (EEI).</w:t>
      </w:r>
    </w:p>
    <w:p w14:paraId="50AAD74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լվացքի արդյունավետության ցուցիչը (Iw).</w:t>
      </w:r>
    </w:p>
    <w:p w14:paraId="45124DA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ջրի ծախսը (Wt).</w:t>
      </w:r>
    </w:p>
    <w:p w14:paraId="6A3A181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մնացորդային խոնավության պարունակությունը:</w:t>
      </w:r>
    </w:p>
    <w:p w14:paraId="51BA55E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F84DC6">
        <w:rPr>
          <w:rFonts w:ascii="Sylfaen" w:hAnsi="Sylfaen"/>
          <w:spacing w:val="-4"/>
          <w:sz w:val="24"/>
          <w:szCs w:val="24"/>
        </w:rPr>
        <w:t>Անհրաժեշտ փորձարկումներով (չափումներով) հաշվարկները կատարվում են սույն պահանջների</w:t>
      </w:r>
      <w:r w:rsidR="00F84DC6">
        <w:rPr>
          <w:rFonts w:ascii="Sylfaen" w:hAnsi="Sylfaen"/>
          <w:sz w:val="24"/>
          <w:szCs w:val="24"/>
        </w:rPr>
        <w:t xml:space="preserve"> 5</w:t>
      </w:r>
      <w:r w:rsidR="009E687F" w:rsidRPr="009E687F">
        <w:rPr>
          <w:rFonts w:ascii="Sylfaen" w:hAnsi="Sylfaen"/>
          <w:sz w:val="24"/>
          <w:szCs w:val="24"/>
        </w:rPr>
        <w:t>-</w:t>
      </w:r>
      <w:r w:rsidRPr="00CA27E3">
        <w:rPr>
          <w:rFonts w:ascii="Sylfaen" w:hAnsi="Sylfaen"/>
          <w:sz w:val="24"/>
          <w:szCs w:val="24"/>
        </w:rPr>
        <w:t xml:space="preserve">7-րդ կետերին համապատասխան: </w:t>
      </w:r>
    </w:p>
    <w:p w14:paraId="747EB0A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Լվացքի մեքենաների՝ էլեկտրաէներգիայի սպառումը հաշվարկելու </w:t>
      </w:r>
      <w:r>
        <w:rPr>
          <w:rFonts w:ascii="Sylfaen" w:hAnsi="Sylfaen"/>
          <w:sz w:val="24"/>
          <w:szCs w:val="24"/>
        </w:rPr>
        <w:t>եւ</w:t>
      </w:r>
      <w:r w:rsidRPr="00CA27E3">
        <w:rPr>
          <w:rFonts w:ascii="Sylfaen" w:hAnsi="Sylfaen"/>
          <w:sz w:val="24"/>
          <w:szCs w:val="24"/>
        </w:rPr>
        <w:t xml:space="preserve"> այլ բնութագրեր որոշելու համար անհրաժեշտ է կատարել տ</w:t>
      </w:r>
      <w:r>
        <w:rPr>
          <w:rFonts w:ascii="Sylfaen" w:hAnsi="Sylfaen"/>
          <w:sz w:val="24"/>
          <w:szCs w:val="24"/>
        </w:rPr>
        <w:t>եւ</w:t>
      </w:r>
      <w:r w:rsidRPr="00CA27E3">
        <w:rPr>
          <w:rFonts w:ascii="Sylfaen" w:hAnsi="Sylfaen"/>
          <w:sz w:val="24"/>
          <w:szCs w:val="24"/>
        </w:rPr>
        <w:t xml:space="preserve">ողության, օգտագործվող հզորության, ջրի ծախսի </w:t>
      </w:r>
      <w:r>
        <w:rPr>
          <w:rFonts w:ascii="Sylfaen" w:hAnsi="Sylfaen"/>
          <w:sz w:val="24"/>
          <w:szCs w:val="24"/>
        </w:rPr>
        <w:t>եւ</w:t>
      </w:r>
      <w:r w:rsidRPr="00CA27E3">
        <w:rPr>
          <w:rFonts w:ascii="Sylfaen" w:hAnsi="Sylfaen"/>
          <w:sz w:val="24"/>
          <w:szCs w:val="24"/>
        </w:rPr>
        <w:t xml:space="preserve"> լվացքի որակի չափումներ ամբողջական գործընթացների (ցիկլերի) համար, որոնց ընթացքում իրականացվում է ստանդարտ աղտոտման բամբակե տեքստիլ արտադրատեսակների մշակում՝ լվացքի 60 °C </w:t>
      </w:r>
      <w:r>
        <w:rPr>
          <w:rFonts w:ascii="Sylfaen" w:hAnsi="Sylfaen"/>
          <w:sz w:val="24"/>
          <w:szCs w:val="24"/>
        </w:rPr>
        <w:t>եւ</w:t>
      </w:r>
      <w:r w:rsidRPr="00CA27E3">
        <w:rPr>
          <w:rFonts w:ascii="Sylfaen" w:hAnsi="Sylfaen"/>
          <w:sz w:val="24"/>
          <w:szCs w:val="24"/>
        </w:rPr>
        <w:t xml:space="preserve"> 40 °C անվանական ջերմաստիճանում (այսուհետ, համապատասխանաբար՝ «Բամբակ 60 °C» լվացքի ստանդարտ ծրագիր </w:t>
      </w:r>
      <w:r>
        <w:rPr>
          <w:rFonts w:ascii="Sylfaen" w:hAnsi="Sylfaen"/>
          <w:sz w:val="24"/>
          <w:szCs w:val="24"/>
        </w:rPr>
        <w:t>եւ</w:t>
      </w:r>
      <w:r w:rsidRPr="00CA27E3">
        <w:rPr>
          <w:rFonts w:ascii="Sylfaen" w:hAnsi="Sylfaen"/>
          <w:sz w:val="24"/>
          <w:szCs w:val="24"/>
        </w:rPr>
        <w:t xml:space="preserve"> «Բամբակ 40 °C» լվացքի ստանդարտ ծրագիր): Այդ ստանդարտ ծրագրերը պետք է նշված լինեն ծրագրի ընտրության սարքվածքի վրա </w:t>
      </w:r>
      <w:r>
        <w:rPr>
          <w:rFonts w:ascii="Sylfaen" w:hAnsi="Sylfaen"/>
          <w:sz w:val="24"/>
          <w:szCs w:val="24"/>
        </w:rPr>
        <w:t>եւ</w:t>
      </w:r>
      <w:r w:rsidRPr="00CA27E3">
        <w:rPr>
          <w:rFonts w:ascii="Sylfaen" w:hAnsi="Sylfaen"/>
          <w:sz w:val="24"/>
          <w:szCs w:val="24"/>
        </w:rPr>
        <w:t xml:space="preserve"> (կամ) լվացքի մեքենայի ցուցարկչի (առկայության դեպքում) վրա՝ որպես «Բամբակ 60 °C» լվացքի ստանդարտ ծրագիր </w:t>
      </w:r>
      <w:r>
        <w:rPr>
          <w:rFonts w:ascii="Sylfaen" w:hAnsi="Sylfaen"/>
          <w:sz w:val="24"/>
          <w:szCs w:val="24"/>
        </w:rPr>
        <w:t>եւ</w:t>
      </w:r>
      <w:r w:rsidRPr="00CA27E3">
        <w:rPr>
          <w:rFonts w:ascii="Sylfaen" w:hAnsi="Sylfaen"/>
          <w:sz w:val="24"/>
          <w:szCs w:val="24"/>
        </w:rPr>
        <w:t xml:space="preserve"> «Բամբակ 40 °C» լվացքի ստանդարտ ծրագիր:</w:t>
      </w:r>
    </w:p>
    <w:p w14:paraId="3B4BA473"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4.</w:t>
      </w:r>
      <w:r w:rsidR="00F84DC6" w:rsidRPr="00F84DC6">
        <w:rPr>
          <w:rFonts w:ascii="Sylfaen" w:hAnsi="Sylfaen"/>
          <w:sz w:val="24"/>
          <w:szCs w:val="24"/>
        </w:rPr>
        <w:tab/>
      </w:r>
      <w:r w:rsidRPr="00CA27E3">
        <w:rPr>
          <w:rFonts w:ascii="Sylfaen" w:hAnsi="Sylfaen"/>
          <w:sz w:val="24"/>
          <w:szCs w:val="24"/>
        </w:rPr>
        <w:t>Էներգետիկ արդյունավետության ցուցիչը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1 տասնորդական նիշ կլորացմամբ)՝</w:t>
      </w:r>
    </w:p>
    <w:p w14:paraId="5FF0A904" w14:textId="77777777" w:rsidR="00CA27E3" w:rsidRPr="00CA27E3" w:rsidRDefault="00CA27E3" w:rsidP="00CA27E3">
      <w:pPr>
        <w:pStyle w:val="1"/>
        <w:shd w:val="clear" w:color="auto" w:fill="auto"/>
        <w:spacing w:after="160"/>
        <w:ind w:firstLine="740"/>
        <w:jc w:val="both"/>
        <w:rPr>
          <w:rFonts w:ascii="Sylfaen" w:hAnsi="Sylfaen"/>
          <w:sz w:val="24"/>
          <w:szCs w:val="24"/>
        </w:rPr>
      </w:pPr>
      <m:oMathPara>
        <m:oMath>
          <m:r>
            <w:rPr>
              <w:rFonts w:ascii="Sylfaen" w:hAnsi="Sylfaen"/>
              <w:sz w:val="24"/>
              <w:szCs w:val="24"/>
            </w:rPr>
            <m:t>IEE</m:t>
          </m:r>
          <m:r>
            <w:rPr>
              <w:rFonts w:ascii="Cambria Math" w:hAnsi="Cambria Math"/>
              <w:sz w:val="24"/>
              <w:szCs w:val="24"/>
            </w:rPr>
            <m:t>IEE</m:t>
          </m:r>
          <m:r>
            <w:rPr>
              <w:rFonts w:ascii="Cambria Math" w:hAnsi="Sylfaen"/>
              <w:sz w:val="24"/>
              <w:szCs w:val="24"/>
            </w:rPr>
            <m:t>=</m:t>
          </m:r>
          <m:f>
            <m:fPr>
              <m:ctrlPr>
                <w:rPr>
                  <w:rFonts w:ascii="Cambria Math" w:hAnsi="Sylfaen"/>
                  <w:i/>
                  <w:sz w:val="24"/>
                  <w:szCs w:val="24"/>
                </w:rPr>
              </m:ctrlPr>
            </m:fPr>
            <m:num>
              <m:sSub>
                <m:sSubPr>
                  <m:ctrlPr>
                    <w:rPr>
                      <w:rFonts w:ascii="Cambria Math" w:hAnsi="Sylfaen"/>
                      <w:i/>
                      <w:sz w:val="24"/>
                      <w:szCs w:val="24"/>
                    </w:rPr>
                  </m:ctrlPr>
                </m:sSubPr>
                <m:e>
                  <m:r>
                    <w:rPr>
                      <w:rFonts w:ascii="Cambria Math" w:hAnsi="Cambria Math"/>
                      <w:sz w:val="24"/>
                      <w:szCs w:val="24"/>
                    </w:rPr>
                    <m:t>AE</m:t>
                  </m:r>
                </m:e>
                <m:sub>
                  <m:r>
                    <w:rPr>
                      <w:rFonts w:ascii="Cambria Math" w:hAnsi="Cambria Math"/>
                      <w:sz w:val="24"/>
                      <w:szCs w:val="24"/>
                    </w:rPr>
                    <m:t>c</m:t>
                  </m:r>
                </m:sub>
              </m:sSub>
            </m:num>
            <m:den>
              <m:sSub>
                <m:sSubPr>
                  <m:ctrlPr>
                    <w:rPr>
                      <w:rFonts w:ascii="Cambria Math" w:hAnsi="Sylfaen"/>
                      <w:i/>
                      <w:sz w:val="24"/>
                      <w:szCs w:val="24"/>
                    </w:rPr>
                  </m:ctrlPr>
                </m:sSubPr>
                <m:e>
                  <m:r>
                    <w:rPr>
                      <w:rFonts w:ascii="Cambria Math" w:hAnsi="Cambria Math"/>
                      <w:sz w:val="24"/>
                      <w:szCs w:val="24"/>
                    </w:rPr>
                    <m:t>SAE</m:t>
                  </m:r>
                </m:e>
                <m:sub>
                  <m:r>
                    <w:rPr>
                      <w:rFonts w:ascii="Cambria Math" w:hAnsi="Cambria Math"/>
                      <w:sz w:val="24"/>
                      <w:szCs w:val="24"/>
                    </w:rPr>
                    <m:t>c</m:t>
                  </m:r>
                </m:sub>
              </m:sSub>
            </m:den>
          </m:f>
          <m:r>
            <w:rPr>
              <w:rFonts w:ascii="Cambria Math" w:hAnsi="Cambria Math"/>
              <w:sz w:val="24"/>
              <w:szCs w:val="24"/>
            </w:rPr>
            <m:t>x</m:t>
          </m:r>
          <m:r>
            <w:rPr>
              <w:rFonts w:ascii="Cambria Math" w:hAnsi="Sylfaen"/>
              <w:sz w:val="24"/>
              <w:szCs w:val="24"/>
            </w:rPr>
            <m:t>100,</m:t>
          </m:r>
        </m:oMath>
      </m:oMathPara>
    </w:p>
    <w:p w14:paraId="2E90E51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որտեղ՝</w:t>
      </w:r>
    </w:p>
    <w:p w14:paraId="07B210C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AE</w:t>
      </w:r>
      <w:r w:rsidRPr="00CA27E3">
        <w:rPr>
          <w:rFonts w:ascii="Sylfaen" w:hAnsi="Sylfaen"/>
          <w:sz w:val="24"/>
          <w:szCs w:val="24"/>
          <w:vertAlign w:val="subscript"/>
        </w:rPr>
        <w:t>C</w:t>
      </w:r>
      <w:r w:rsidRPr="00CA27E3">
        <w:rPr>
          <w:rFonts w:ascii="Sylfaen" w:hAnsi="Sylfaen"/>
          <w:sz w:val="24"/>
          <w:szCs w:val="24"/>
        </w:rPr>
        <w:t>-ն՝ լվացքի մեքենայի՝ էլեկտրական էներգիայի տարեկան սպառումն է.</w:t>
      </w:r>
    </w:p>
    <w:p w14:paraId="553B7A1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-ն՝ լվացքի մեքենայի՝ էլեկտրական էներգիայի տարեկան ստանդարտ սպառումն է.</w:t>
      </w:r>
    </w:p>
    <w:p w14:paraId="65C69FB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-ն հաշվարկվում է (կՎտ·ժ-ով)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w:t>
      </w:r>
      <w:r w:rsidR="009E687F" w:rsidRPr="009E687F">
        <w:rPr>
          <w:rFonts w:ascii="Sylfaen" w:hAnsi="Sylfaen"/>
          <w:sz w:val="24"/>
          <w:szCs w:val="24"/>
        </w:rPr>
        <w:t> </w:t>
      </w:r>
      <w:r w:rsidRPr="00CA27E3">
        <w:rPr>
          <w:rFonts w:ascii="Sylfaen" w:hAnsi="Sylfaen"/>
          <w:sz w:val="24"/>
          <w:szCs w:val="24"/>
        </w:rPr>
        <w:t>տասնորդական նիշ կլորացմամբ)՝</w:t>
      </w:r>
    </w:p>
    <w:p w14:paraId="0FEAED08"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mallCaps/>
          <w:sz w:val="24"/>
          <w:szCs w:val="24"/>
        </w:rPr>
        <w:t>SAE</w:t>
      </w:r>
      <w:r w:rsidRPr="00CA27E3">
        <w:rPr>
          <w:rFonts w:ascii="Sylfaen" w:hAnsi="Sylfaen"/>
          <w:smallCaps/>
          <w:sz w:val="24"/>
          <w:szCs w:val="24"/>
          <w:vertAlign w:val="subscript"/>
        </w:rPr>
        <w:t>c</w:t>
      </w:r>
      <w:r w:rsidR="00F84DC6">
        <w:rPr>
          <w:rFonts w:ascii="Sylfaen" w:hAnsi="Sylfaen"/>
          <w:sz w:val="24"/>
          <w:szCs w:val="24"/>
        </w:rPr>
        <w:t xml:space="preserve"> = 47,0</w:t>
      </w:r>
      <w:r w:rsidRPr="00CA27E3">
        <w:rPr>
          <w:rFonts w:ascii="Sylfaen" w:hAnsi="Sylfaen"/>
          <w:sz w:val="24"/>
          <w:szCs w:val="24"/>
        </w:rPr>
        <w:t xml:space="preserve"> c + 51,7,</w:t>
      </w:r>
    </w:p>
    <w:p w14:paraId="4293F771" w14:textId="77777777" w:rsidR="009E687F" w:rsidRPr="003D2C38" w:rsidRDefault="009E687F" w:rsidP="00CA27E3">
      <w:pPr>
        <w:pStyle w:val="1"/>
        <w:shd w:val="clear" w:color="auto" w:fill="auto"/>
        <w:spacing w:after="160"/>
        <w:ind w:firstLine="567"/>
        <w:jc w:val="both"/>
        <w:rPr>
          <w:rFonts w:ascii="Sylfaen" w:hAnsi="Sylfaen"/>
          <w:sz w:val="24"/>
          <w:szCs w:val="24"/>
        </w:rPr>
      </w:pPr>
    </w:p>
    <w:p w14:paraId="418871F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 с-ն՝ (կգ-ով) լրիվ բեռնվածքի դեպքում «Բամբակ 60 °C» լվացքի ստանդարտ ծրագրի համար կամ լրիվ բեռնվածքի դեպքում «Բամբակ 40 °C» լվացքի ստանդարտ ծրագրի համար անվանական արտադրողականությունն է, որի դեպքում որոշիչ է համարվում երկու արժեքներից նվազագույնը:</w:t>
      </w:r>
    </w:p>
    <w:p w14:paraId="2A89926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Լվացքի մեքենայի էլեկտրական էներգիայի տարեկան սպառումը (AE</w:t>
      </w:r>
      <w:r w:rsidRPr="00CA27E3">
        <w:rPr>
          <w:rFonts w:ascii="Sylfaen" w:hAnsi="Sylfaen"/>
          <w:smallCaps/>
          <w:sz w:val="24"/>
          <w:szCs w:val="24"/>
          <w:vertAlign w:val="subscript"/>
        </w:rPr>
        <w:t>C</w:t>
      </w:r>
      <w:r w:rsidRPr="00CA27E3">
        <w:rPr>
          <w:rFonts w:ascii="Sylfaen" w:hAnsi="Sylfaen"/>
          <w:sz w:val="24"/>
          <w:szCs w:val="24"/>
        </w:rPr>
        <w:t>)</w:t>
      </w:r>
      <w:r w:rsidR="009E687F" w:rsidRPr="009E687F">
        <w:rPr>
          <w:rFonts w:ascii="Sylfaen" w:hAnsi="Sylfaen"/>
          <w:sz w:val="24"/>
          <w:szCs w:val="24"/>
        </w:rPr>
        <w:t> </w:t>
      </w:r>
      <w:r w:rsidRPr="00CA27E3">
        <w:rPr>
          <w:rFonts w:ascii="Sylfaen" w:hAnsi="Sylfaen"/>
          <w:sz w:val="24"/>
          <w:szCs w:val="24"/>
        </w:rPr>
        <w:t>կՎտ·ժ/տարով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w:t>
      </w:r>
      <w:r w:rsidR="009E687F" w:rsidRPr="009E687F">
        <w:rPr>
          <w:rFonts w:ascii="Sylfaen" w:hAnsi="Sylfaen"/>
          <w:sz w:val="24"/>
          <w:szCs w:val="24"/>
        </w:rPr>
        <w:t> </w:t>
      </w:r>
      <w:r w:rsidRPr="00CA27E3">
        <w:rPr>
          <w:rFonts w:ascii="Sylfaen" w:hAnsi="Sylfaen"/>
          <w:sz w:val="24"/>
          <w:szCs w:val="24"/>
        </w:rPr>
        <w:t>տասնորդական նիշ կլորացմամբ)՝</w:t>
      </w:r>
    </w:p>
    <w:p w14:paraId="7AC29305" w14:textId="77777777" w:rsidR="00CA27E3" w:rsidRPr="00CA27E3" w:rsidRDefault="00000000" w:rsidP="00F84DC6">
      <w:pPr>
        <w:pStyle w:val="1"/>
        <w:shd w:val="clear" w:color="auto" w:fill="auto"/>
        <w:spacing w:after="160"/>
        <w:ind w:firstLine="0"/>
        <w:jc w:val="both"/>
        <w:rPr>
          <w:rFonts w:ascii="Sylfaen" w:hAnsi="Sylfaen"/>
          <w:sz w:val="24"/>
          <w:szCs w:val="24"/>
        </w:rPr>
      </w:pPr>
      <m:oMathPara>
        <m:oMathParaPr>
          <m:jc m:val="center"/>
        </m:oMathParaPr>
        <m:oMath>
          <m:sSub>
            <m:sSubPr>
              <m:ctrlPr>
                <w:rPr>
                  <w:rFonts w:ascii="Cambria Math" w:hAnsi="Sylfaen"/>
                  <w:i/>
                  <w:sz w:val="24"/>
                  <w:szCs w:val="24"/>
                </w:rPr>
              </m:ctrlPr>
            </m:sSubPr>
            <m:e>
              <m:r>
                <w:rPr>
                  <w:rFonts w:ascii="Cambria Math" w:hAnsi="Cambria Math"/>
                  <w:sz w:val="24"/>
                  <w:szCs w:val="24"/>
                </w:rPr>
                <m:t>AE</m:t>
              </m:r>
            </m:e>
            <m:sub>
              <m:r>
                <w:rPr>
                  <w:rFonts w:ascii="Cambria Math" w:hAnsi="Cambria Math"/>
                  <w:sz w:val="24"/>
                  <w:szCs w:val="24"/>
                </w:rPr>
                <m:t>c</m:t>
              </m:r>
            </m:sub>
          </m:sSub>
          <m:r>
            <w:rPr>
              <w:rFonts w:ascii="Cambria Math" w:hAnsi="Sylfaen"/>
              <w:sz w:val="24"/>
              <w:szCs w:val="24"/>
            </w:rPr>
            <m:t>=</m:t>
          </m:r>
          <m:sSub>
            <m:sSubPr>
              <m:ctrlPr>
                <w:rPr>
                  <w:rFonts w:ascii="Cambria Math" w:hAnsi="Sylfaen"/>
                  <w:i/>
                  <w:sz w:val="24"/>
                  <w:szCs w:val="24"/>
                </w:rPr>
              </m:ctrlPr>
            </m:sSubPr>
            <m:e>
              <m:r>
                <w:rPr>
                  <w:rFonts w:ascii="Cambria Math" w:hAnsi="Cambria Math"/>
                  <w:sz w:val="24"/>
                  <w:szCs w:val="24"/>
                </w:rPr>
                <m:t>E</m:t>
              </m:r>
            </m:e>
            <m:sub>
              <m:r>
                <w:rPr>
                  <w:rFonts w:ascii="Cambria Math" w:hAnsi="Cambria Math"/>
                  <w:sz w:val="24"/>
                  <w:szCs w:val="24"/>
                </w:rPr>
                <m:t>t</m:t>
              </m:r>
            </m:sub>
          </m:sSub>
          <m:r>
            <w:rPr>
              <w:rFonts w:ascii="Sylfaen" w:hAnsi="Sylfaen"/>
              <w:sz w:val="24"/>
              <w:szCs w:val="24"/>
              <w:lang w:val="en-US"/>
            </w:rPr>
            <m:t>×</m:t>
          </m:r>
          <m:r>
            <w:rPr>
              <w:rFonts w:ascii="Cambria Math" w:hAnsi="Sylfaen"/>
              <w:sz w:val="24"/>
              <w:szCs w:val="24"/>
            </w:rPr>
            <m:t>220+</m:t>
          </m:r>
          <m:f>
            <m:fPr>
              <m:ctrlPr>
                <w:rPr>
                  <w:rFonts w:ascii="Cambria Math" w:hAnsi="Sylfaen"/>
                  <w:i/>
                  <w:sz w:val="24"/>
                  <w:szCs w:val="24"/>
                </w:rPr>
              </m:ctrlPr>
            </m:fPr>
            <m:num>
              <m:d>
                <m:dPr>
                  <m:begChr m:val="["/>
                  <m:endChr m:val="]"/>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P</m:t>
                      </m:r>
                    </m:e>
                    <m:sub>
                      <m:r>
                        <w:rPr>
                          <w:rFonts w:ascii="Cambria Math" w:hAnsi="Sylfaen"/>
                          <w:sz w:val="24"/>
                          <w:szCs w:val="24"/>
                        </w:rPr>
                        <m:t>0</m:t>
                      </m:r>
                    </m:sub>
                  </m:sSub>
                  <m:r>
                    <w:rPr>
                      <w:rFonts w:ascii="Sylfaen" w:hAnsi="Sylfaen"/>
                      <w:sz w:val="24"/>
                      <w:szCs w:val="24"/>
                      <w:lang w:val="en-US"/>
                    </w:rPr>
                    <m:t>×</m:t>
                  </m:r>
                  <m:f>
                    <m:fPr>
                      <m:ctrlPr>
                        <w:rPr>
                          <w:rFonts w:ascii="Cambria Math" w:hAnsi="Sylfaen"/>
                          <w:i/>
                          <w:sz w:val="24"/>
                          <w:szCs w:val="24"/>
                        </w:rPr>
                      </m:ctrlPr>
                    </m:fPr>
                    <m:num>
                      <m:r>
                        <w:rPr>
                          <w:rFonts w:ascii="Cambria Math" w:hAnsi="Sylfaen"/>
                          <w:sz w:val="24"/>
                          <w:szCs w:val="24"/>
                        </w:rPr>
                        <m:t>525600</m:t>
                      </m:r>
                      <m:r>
                        <w:rPr>
                          <w:rFonts w:ascii="Sylfaen" w:hAnsi="Sylfaen"/>
                          <w:sz w:val="24"/>
                          <w:szCs w:val="24"/>
                        </w:rPr>
                        <m:t>-</m:t>
                      </m:r>
                      <m:d>
                        <m:dPr>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T</m:t>
                              </m:r>
                            </m:e>
                            <m:sub>
                              <m:r>
                                <w:rPr>
                                  <w:rFonts w:ascii="Cambria Math" w:hAnsi="Cambria Math"/>
                                  <w:sz w:val="24"/>
                                  <w:szCs w:val="24"/>
                                </w:rPr>
                                <m:t>t</m:t>
                              </m:r>
                            </m:sub>
                          </m:sSub>
                          <m:r>
                            <w:rPr>
                              <w:rFonts w:ascii="Sylfaen" w:hAnsi="Sylfaen"/>
                              <w:sz w:val="24"/>
                              <w:szCs w:val="24"/>
                              <w:lang w:val="en-US"/>
                            </w:rPr>
                            <m:t>×</m:t>
                          </m:r>
                          <m:r>
                            <w:rPr>
                              <w:rFonts w:ascii="Cambria Math" w:hAnsi="Sylfaen"/>
                              <w:sz w:val="24"/>
                              <w:szCs w:val="24"/>
                            </w:rPr>
                            <m:t>220</m:t>
                          </m:r>
                        </m:e>
                      </m:d>
                    </m:num>
                    <m:den>
                      <m:r>
                        <w:rPr>
                          <w:rFonts w:ascii="Cambria Math" w:hAnsi="Sylfaen"/>
                          <w:sz w:val="24"/>
                          <w:szCs w:val="24"/>
                        </w:rPr>
                        <m:t>2</m:t>
                      </m:r>
                    </m:den>
                  </m:f>
                  <m:r>
                    <w:rPr>
                      <w:rFonts w:ascii="Cambria Math" w:hAnsi="Sylfaen"/>
                      <w:sz w:val="24"/>
                      <w:szCs w:val="24"/>
                    </w:rPr>
                    <m:t>+</m:t>
                  </m:r>
                  <m:sSub>
                    <m:sSubPr>
                      <m:ctrlPr>
                        <w:rPr>
                          <w:rFonts w:ascii="Cambria Math" w:hAnsi="Sylfaen"/>
                          <w:i/>
                          <w:sz w:val="24"/>
                          <w:szCs w:val="24"/>
                        </w:rPr>
                      </m:ctrlPr>
                    </m:sSubPr>
                    <m:e>
                      <m:r>
                        <w:rPr>
                          <w:rFonts w:ascii="Cambria Math" w:hAnsi="Cambria Math"/>
                          <w:sz w:val="24"/>
                          <w:szCs w:val="24"/>
                        </w:rPr>
                        <m:t>P</m:t>
                      </m:r>
                    </m:e>
                    <m:sub>
                      <m:r>
                        <w:rPr>
                          <w:rFonts w:ascii="Cambria Math" w:hAnsi="Sylfaen"/>
                          <w:sz w:val="24"/>
                          <w:szCs w:val="24"/>
                        </w:rPr>
                        <m:t>1</m:t>
                      </m:r>
                    </m:sub>
                  </m:sSub>
                  <m:r>
                    <w:rPr>
                      <w:rFonts w:ascii="Sylfaen" w:hAnsi="Sylfaen"/>
                      <w:sz w:val="24"/>
                      <w:szCs w:val="24"/>
                      <w:lang w:val="en-US"/>
                    </w:rPr>
                    <m:t>×</m:t>
                  </m:r>
                  <m:f>
                    <m:fPr>
                      <m:ctrlPr>
                        <w:rPr>
                          <w:rFonts w:ascii="Cambria Math" w:hAnsi="Sylfaen"/>
                          <w:i/>
                          <w:sz w:val="24"/>
                          <w:szCs w:val="24"/>
                        </w:rPr>
                      </m:ctrlPr>
                    </m:fPr>
                    <m:num>
                      <m:r>
                        <w:rPr>
                          <w:rFonts w:ascii="Cambria Math" w:hAnsi="Sylfaen"/>
                          <w:sz w:val="24"/>
                          <w:szCs w:val="24"/>
                        </w:rPr>
                        <m:t>525600</m:t>
                      </m:r>
                      <m:r>
                        <w:rPr>
                          <w:rFonts w:ascii="Sylfaen" w:hAnsi="Sylfaen"/>
                          <w:sz w:val="24"/>
                          <w:szCs w:val="24"/>
                        </w:rPr>
                        <m:t>-</m:t>
                      </m:r>
                      <m:d>
                        <m:dPr>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T</m:t>
                              </m:r>
                            </m:e>
                            <m:sub>
                              <m:r>
                                <w:rPr>
                                  <w:rFonts w:ascii="Cambria Math" w:hAnsi="Cambria Math"/>
                                  <w:sz w:val="24"/>
                                  <w:szCs w:val="24"/>
                                </w:rPr>
                                <m:t>t</m:t>
                              </m:r>
                            </m:sub>
                          </m:sSub>
                          <m:r>
                            <w:rPr>
                              <w:rFonts w:ascii="Sylfaen" w:hAnsi="Sylfaen"/>
                              <w:sz w:val="24"/>
                              <w:szCs w:val="24"/>
                              <w:lang w:val="en-US"/>
                            </w:rPr>
                            <m:t>×</m:t>
                          </m:r>
                          <m:r>
                            <w:rPr>
                              <w:rFonts w:ascii="Cambria Math" w:hAnsi="Sylfaen"/>
                              <w:sz w:val="24"/>
                              <w:szCs w:val="24"/>
                            </w:rPr>
                            <m:t>220</m:t>
                          </m:r>
                        </m:e>
                      </m:d>
                    </m:num>
                    <m:den>
                      <m:r>
                        <w:rPr>
                          <w:rFonts w:ascii="Cambria Math" w:hAnsi="Sylfaen"/>
                          <w:sz w:val="24"/>
                          <w:szCs w:val="24"/>
                        </w:rPr>
                        <m:t>2</m:t>
                      </m:r>
                    </m:den>
                  </m:f>
                </m:e>
              </m:d>
            </m:num>
            <m:den>
              <m:r>
                <w:rPr>
                  <w:rFonts w:ascii="Cambria Math" w:hAnsi="Sylfaen"/>
                  <w:sz w:val="24"/>
                  <w:szCs w:val="24"/>
                </w:rPr>
                <m:t>60</m:t>
              </m:r>
              <m:r>
                <w:rPr>
                  <w:rFonts w:ascii="Sylfaen" w:hAnsi="Sylfaen"/>
                  <w:sz w:val="24"/>
                  <w:szCs w:val="24"/>
                  <w:lang w:val="en-US"/>
                </w:rPr>
                <m:t>×</m:t>
              </m:r>
              <m:r>
                <w:rPr>
                  <w:rFonts w:ascii="Cambria Math" w:hAnsi="Sylfaen"/>
                  <w:sz w:val="24"/>
                  <w:szCs w:val="24"/>
                </w:rPr>
                <m:t>100</m:t>
              </m:r>
            </m:den>
          </m:f>
          <m:r>
            <w:rPr>
              <w:rFonts w:ascii="Cambria Math" w:hAnsi="Sylfaen"/>
              <w:sz w:val="24"/>
              <w:szCs w:val="24"/>
            </w:rPr>
            <m:t>,</m:t>
          </m:r>
        </m:oMath>
      </m:oMathPara>
    </w:p>
    <w:p w14:paraId="158F0E98" w14:textId="77777777" w:rsidR="009E687F" w:rsidRDefault="009E687F" w:rsidP="00CA27E3">
      <w:pPr>
        <w:pStyle w:val="1"/>
        <w:shd w:val="clear" w:color="auto" w:fill="auto"/>
        <w:spacing w:after="160"/>
        <w:ind w:firstLine="567"/>
        <w:jc w:val="both"/>
        <w:rPr>
          <w:rFonts w:ascii="Sylfaen" w:hAnsi="Sylfaen"/>
          <w:sz w:val="24"/>
          <w:szCs w:val="24"/>
          <w:lang w:val="en-US"/>
        </w:rPr>
      </w:pPr>
    </w:p>
    <w:p w14:paraId="2C2FA6B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3B1BE85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w:t>
      </w:r>
      <w:r w:rsidRPr="00CA27E3">
        <w:rPr>
          <w:rFonts w:ascii="Sylfaen" w:hAnsi="Sylfaen"/>
          <w:sz w:val="24"/>
          <w:szCs w:val="24"/>
        </w:rPr>
        <w:t>-ն՝ լվացքի մեկ ցիկլում միջին էներգասպառումն է՝ կՎտ·ժ-ով (մինչ</w:t>
      </w:r>
      <w:r>
        <w:rPr>
          <w:rFonts w:ascii="Sylfaen" w:hAnsi="Sylfaen"/>
          <w:sz w:val="24"/>
          <w:szCs w:val="24"/>
        </w:rPr>
        <w:t>եւ</w:t>
      </w:r>
      <w:r w:rsidRPr="00CA27E3">
        <w:rPr>
          <w:rFonts w:ascii="Sylfaen" w:hAnsi="Sylfaen"/>
          <w:sz w:val="24"/>
          <w:szCs w:val="24"/>
        </w:rPr>
        <w:t xml:space="preserve"> 3</w:t>
      </w:r>
      <w:r w:rsidR="00F84DC6" w:rsidRPr="00F84DC6">
        <w:rPr>
          <w:rFonts w:ascii="Sylfaen" w:hAnsi="Sylfaen"/>
          <w:sz w:val="24"/>
          <w:szCs w:val="24"/>
        </w:rPr>
        <w:t> </w:t>
      </w:r>
      <w:r w:rsidRPr="00CA27E3">
        <w:rPr>
          <w:rFonts w:ascii="Sylfaen" w:hAnsi="Sylfaen"/>
          <w:sz w:val="24"/>
          <w:szCs w:val="24"/>
        </w:rPr>
        <w:t>տասնորդական նիշ կլորացմամբ).</w:t>
      </w:r>
    </w:p>
    <w:p w14:paraId="38AC2E7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0</w:t>
      </w:r>
      <w:r w:rsidRPr="00CA27E3">
        <w:rPr>
          <w:rFonts w:ascii="Sylfaen" w:hAnsi="Sylfaen"/>
          <w:sz w:val="24"/>
          <w:szCs w:val="24"/>
        </w:rPr>
        <w:t>-ն՝ անջատման ռեժիմում օգտագործվող հզորությունն է՝ Վտ-ով (մինչ</w:t>
      </w:r>
      <w:r>
        <w:rPr>
          <w:rFonts w:ascii="Sylfaen" w:hAnsi="Sylfaen"/>
          <w:sz w:val="24"/>
          <w:szCs w:val="24"/>
        </w:rPr>
        <w:t>եւ</w:t>
      </w:r>
      <w:r w:rsidRPr="00CA27E3">
        <w:rPr>
          <w:rFonts w:ascii="Sylfaen" w:hAnsi="Sylfaen"/>
          <w:sz w:val="24"/>
          <w:szCs w:val="24"/>
        </w:rPr>
        <w:t xml:space="preserve"> 2</w:t>
      </w:r>
      <w:r w:rsidR="00F84DC6" w:rsidRPr="00F84DC6">
        <w:rPr>
          <w:rFonts w:ascii="Sylfaen" w:hAnsi="Sylfaen"/>
          <w:sz w:val="24"/>
          <w:szCs w:val="24"/>
        </w:rPr>
        <w:t> </w:t>
      </w:r>
      <w:r w:rsidRPr="00CA27E3">
        <w:rPr>
          <w:rFonts w:ascii="Sylfaen" w:hAnsi="Sylfaen"/>
          <w:sz w:val="24"/>
          <w:szCs w:val="24"/>
        </w:rPr>
        <w:t xml:space="preserve">տասնորդական նիշ կլորացմամբ). </w:t>
      </w:r>
    </w:p>
    <w:p w14:paraId="40803AB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1</w:t>
      </w:r>
      <w:r w:rsidRPr="00CA27E3">
        <w:rPr>
          <w:rFonts w:ascii="Sylfaen" w:hAnsi="Sylfaen"/>
          <w:sz w:val="24"/>
          <w:szCs w:val="24"/>
        </w:rPr>
        <w:t>-ն՝ սպասման ռեժիմում օգտագործվող հզորությունն է՝ Վտ-ով (մինչ</w:t>
      </w:r>
      <w:r>
        <w:rPr>
          <w:rFonts w:ascii="Sylfaen" w:hAnsi="Sylfaen"/>
          <w:sz w:val="24"/>
          <w:szCs w:val="24"/>
        </w:rPr>
        <w:t>եւ</w:t>
      </w:r>
      <w:r w:rsidRPr="00CA27E3">
        <w:rPr>
          <w:rFonts w:ascii="Sylfaen" w:hAnsi="Sylfaen"/>
          <w:sz w:val="24"/>
          <w:szCs w:val="24"/>
        </w:rPr>
        <w:t xml:space="preserve"> 2</w:t>
      </w:r>
      <w:r w:rsidR="00F84DC6" w:rsidRPr="00F84DC6">
        <w:rPr>
          <w:rFonts w:ascii="Sylfaen" w:hAnsi="Sylfaen"/>
          <w:sz w:val="24"/>
          <w:szCs w:val="24"/>
        </w:rPr>
        <w:t> </w:t>
      </w:r>
      <w:r w:rsidRPr="00CA27E3">
        <w:rPr>
          <w:rFonts w:ascii="Sylfaen" w:hAnsi="Sylfaen"/>
          <w:sz w:val="24"/>
          <w:szCs w:val="24"/>
        </w:rPr>
        <w:t>տասնորդական նիշ կլորացմամբ).</w:t>
      </w:r>
    </w:p>
    <w:p w14:paraId="1258648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T</w:t>
      </w:r>
      <w:r w:rsidRPr="00CA27E3">
        <w:rPr>
          <w:rFonts w:ascii="Sylfaen" w:hAnsi="Sylfaen"/>
          <w:sz w:val="24"/>
          <w:szCs w:val="24"/>
          <w:vertAlign w:val="subscript"/>
        </w:rPr>
        <w:t>t</w:t>
      </w:r>
      <w:r w:rsidRPr="00CA27E3">
        <w:rPr>
          <w:rFonts w:ascii="Sylfaen" w:hAnsi="Sylfaen"/>
          <w:sz w:val="24"/>
          <w:szCs w:val="24"/>
        </w:rPr>
        <w:t>-ն՝ ծրագրի տ</w:t>
      </w:r>
      <w:r>
        <w:rPr>
          <w:rFonts w:ascii="Sylfaen" w:hAnsi="Sylfaen"/>
          <w:sz w:val="24"/>
          <w:szCs w:val="24"/>
        </w:rPr>
        <w:t>եւ</w:t>
      </w:r>
      <w:r w:rsidRPr="00CA27E3">
        <w:rPr>
          <w:rFonts w:ascii="Sylfaen" w:hAnsi="Sylfaen"/>
          <w:sz w:val="24"/>
          <w:szCs w:val="24"/>
        </w:rPr>
        <w:t>ողությունն է՝ րոպեներով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6414784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220-ն՝ լվացքի ստանդարտ ցիկլերի տարեկան պայմանական սպասվող քանակն է:</w:t>
      </w:r>
    </w:p>
    <w:p w14:paraId="0057770B" w14:textId="77777777" w:rsidR="00CA27E3" w:rsidRPr="00DC5495"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Եթե լվացքի մեքենան համալրված է այնպիսի կառավարման համակարգով, որը ծրագրի ավարտվելուն պես ավտոմատ կերպով փոխարկում է լվացքի մեքենան անջատված վիճակի, ապա AE</w:t>
      </w:r>
      <w:r w:rsidRPr="00CA27E3">
        <w:rPr>
          <w:rFonts w:ascii="Sylfaen" w:hAnsi="Sylfaen"/>
          <w:sz w:val="24"/>
          <w:szCs w:val="24"/>
          <w:vertAlign w:val="subscript"/>
        </w:rPr>
        <w:t>C</w:t>
      </w:r>
      <w:r w:rsidRPr="00CA27E3">
        <w:rPr>
          <w:rFonts w:ascii="Sylfaen" w:hAnsi="Sylfaen"/>
          <w:sz w:val="24"/>
          <w:szCs w:val="24"/>
        </w:rPr>
        <w:t>-ն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367E9167" w14:textId="77777777" w:rsidR="00CA27E3" w:rsidRPr="00CA27E3" w:rsidRDefault="00000000" w:rsidP="00CA27E3">
      <w:pPr>
        <w:pStyle w:val="1"/>
        <w:shd w:val="clear" w:color="auto" w:fill="auto"/>
        <w:spacing w:after="160"/>
        <w:ind w:firstLine="720"/>
        <w:jc w:val="both"/>
        <w:rPr>
          <w:rFonts w:ascii="Sylfaen" w:hAnsi="Sylfaen"/>
          <w:sz w:val="24"/>
          <w:szCs w:val="24"/>
        </w:rPr>
      </w:pPr>
      <m:oMathPara>
        <m:oMath>
          <m:sSub>
            <m:sSubPr>
              <m:ctrlPr>
                <w:rPr>
                  <w:rFonts w:ascii="Cambria Math" w:hAnsi="Sylfaen"/>
                  <w:i/>
                  <w:sz w:val="24"/>
                  <w:szCs w:val="24"/>
                </w:rPr>
              </m:ctrlPr>
            </m:sSubPr>
            <m:e>
              <m:r>
                <w:rPr>
                  <w:rFonts w:ascii="Cambria Math" w:hAnsi="Cambria Math"/>
                  <w:sz w:val="24"/>
                  <w:szCs w:val="24"/>
                </w:rPr>
                <m:t>AE</m:t>
              </m:r>
            </m:e>
            <m:sub>
              <m:r>
                <w:rPr>
                  <w:rFonts w:ascii="Cambria Math" w:hAnsi="Cambria Math"/>
                  <w:sz w:val="24"/>
                  <w:szCs w:val="24"/>
                </w:rPr>
                <m:t>c</m:t>
              </m:r>
            </m:sub>
          </m:sSub>
          <m:r>
            <w:rPr>
              <w:rFonts w:ascii="Cambria Math" w:hAnsi="Sylfaen"/>
              <w:sz w:val="24"/>
              <w:szCs w:val="24"/>
            </w:rPr>
            <m:t>=</m:t>
          </m:r>
          <m:sSub>
            <m:sSubPr>
              <m:ctrlPr>
                <w:rPr>
                  <w:rFonts w:ascii="Cambria Math" w:hAnsi="Sylfaen"/>
                  <w:i/>
                  <w:sz w:val="24"/>
                  <w:szCs w:val="24"/>
                </w:rPr>
              </m:ctrlPr>
            </m:sSubPr>
            <m:e>
              <m:r>
                <w:rPr>
                  <w:rFonts w:ascii="Cambria Math" w:hAnsi="Cambria Math"/>
                  <w:sz w:val="24"/>
                  <w:szCs w:val="24"/>
                </w:rPr>
                <m:t>E</m:t>
              </m:r>
            </m:e>
            <m:sub>
              <m:r>
                <w:rPr>
                  <w:rFonts w:ascii="Cambria Math" w:hAnsi="Cambria Math"/>
                  <w:sz w:val="24"/>
                  <w:szCs w:val="24"/>
                </w:rPr>
                <m:t>t</m:t>
              </m:r>
            </m:sub>
          </m:sSub>
          <m:r>
            <w:rPr>
              <w:rFonts w:ascii="Sylfaen" w:hAnsi="Sylfaen"/>
              <w:sz w:val="24"/>
              <w:szCs w:val="24"/>
              <w:lang w:val="en-US"/>
            </w:rPr>
            <m:t>×</m:t>
          </m:r>
          <m:r>
            <w:rPr>
              <w:rFonts w:ascii="Cambria Math" w:hAnsi="Sylfaen"/>
              <w:sz w:val="24"/>
              <w:szCs w:val="24"/>
            </w:rPr>
            <m:t>220+</m:t>
          </m:r>
          <m:f>
            <m:fPr>
              <m:ctrlPr>
                <w:rPr>
                  <w:rFonts w:ascii="Cambria Math" w:hAnsi="Sylfaen"/>
                  <w:i/>
                  <w:sz w:val="24"/>
                  <w:szCs w:val="24"/>
                </w:rPr>
              </m:ctrlPr>
            </m:fPr>
            <m:num>
              <m:d>
                <m:dPr>
                  <m:begChr m:val="{"/>
                  <m:endChr m:val="}"/>
                  <m:ctrlPr>
                    <w:rPr>
                      <w:rFonts w:ascii="Cambria Math" w:hAnsi="Sylfaen"/>
                      <w:i/>
                      <w:sz w:val="24"/>
                      <w:szCs w:val="24"/>
                    </w:rPr>
                  </m:ctrlPr>
                </m:dPr>
                <m:e>
                  <m:d>
                    <m:dPr>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P</m:t>
                          </m:r>
                        </m:e>
                        <m:sub>
                          <m:r>
                            <w:rPr>
                              <w:rFonts w:ascii="Cambria Math" w:hAnsi="Sylfaen"/>
                              <w:sz w:val="24"/>
                              <w:szCs w:val="24"/>
                            </w:rPr>
                            <m:t>1</m:t>
                          </m:r>
                        </m:sub>
                      </m:sSub>
                      <m:r>
                        <w:rPr>
                          <w:rFonts w:ascii="Sylfaen" w:hAnsi="Sylfaen"/>
                          <w:sz w:val="24"/>
                          <w:szCs w:val="24"/>
                          <w:lang w:val="en-US"/>
                        </w:rPr>
                        <m:t>×</m:t>
                      </m:r>
                      <m:sSub>
                        <m:sSubPr>
                          <m:ctrlPr>
                            <w:rPr>
                              <w:rFonts w:ascii="Cambria Math" w:hAnsi="Sylfaen"/>
                              <w:i/>
                              <w:sz w:val="24"/>
                              <w:szCs w:val="24"/>
                            </w:rPr>
                          </m:ctrlPr>
                        </m:sSubPr>
                        <m:e>
                          <m:r>
                            <w:rPr>
                              <w:rFonts w:ascii="Cambria Math" w:hAnsi="Cambria Math"/>
                              <w:sz w:val="24"/>
                              <w:szCs w:val="24"/>
                            </w:rPr>
                            <m:t>T</m:t>
                          </m:r>
                        </m:e>
                        <m:sub>
                          <m:r>
                            <w:rPr>
                              <w:rFonts w:ascii="Cambria Math" w:hAnsi="Sylfaen"/>
                              <w:sz w:val="24"/>
                              <w:szCs w:val="24"/>
                            </w:rPr>
                            <m:t>1</m:t>
                          </m:r>
                        </m:sub>
                      </m:sSub>
                      <m:r>
                        <w:rPr>
                          <w:rFonts w:ascii="Sylfaen" w:hAnsi="Sylfaen"/>
                          <w:sz w:val="24"/>
                          <w:szCs w:val="24"/>
                          <w:lang w:val="en-US"/>
                        </w:rPr>
                        <m:t>×</m:t>
                      </m:r>
                      <m:r>
                        <w:rPr>
                          <w:rFonts w:ascii="Cambria Math" w:hAnsi="Sylfaen"/>
                          <w:sz w:val="24"/>
                          <w:szCs w:val="24"/>
                        </w:rPr>
                        <m:t>220</m:t>
                      </m:r>
                    </m:e>
                  </m:d>
                  <m:r>
                    <w:rPr>
                      <w:rFonts w:ascii="Cambria Math" w:hAnsi="Sylfaen"/>
                      <w:sz w:val="24"/>
                      <w:szCs w:val="24"/>
                    </w:rPr>
                    <m:t>+</m:t>
                  </m:r>
                  <m:sSub>
                    <m:sSubPr>
                      <m:ctrlPr>
                        <w:rPr>
                          <w:rFonts w:ascii="Cambria Math" w:hAnsi="Sylfaen"/>
                          <w:i/>
                          <w:sz w:val="24"/>
                          <w:szCs w:val="24"/>
                        </w:rPr>
                      </m:ctrlPr>
                    </m:sSubPr>
                    <m:e>
                      <m:r>
                        <w:rPr>
                          <w:rFonts w:ascii="Cambria Math" w:hAnsi="Cambria Math"/>
                          <w:sz w:val="24"/>
                          <w:szCs w:val="24"/>
                        </w:rPr>
                        <m:t>P</m:t>
                      </m:r>
                    </m:e>
                    <m:sub>
                      <m:r>
                        <w:rPr>
                          <w:rFonts w:ascii="Cambria Math" w:hAnsi="Sylfaen"/>
                          <w:sz w:val="24"/>
                          <w:szCs w:val="24"/>
                        </w:rPr>
                        <m:t>0</m:t>
                      </m:r>
                    </m:sub>
                  </m:sSub>
                  <m:r>
                    <w:rPr>
                      <w:rFonts w:ascii="Sylfaen" w:hAnsi="Sylfaen"/>
                      <w:sz w:val="24"/>
                      <w:szCs w:val="24"/>
                      <w:lang w:val="en-US"/>
                    </w:rPr>
                    <m:t>×</m:t>
                  </m:r>
                  <m:d>
                    <m:dPr>
                      <m:begChr m:val="["/>
                      <m:endChr m:val="]"/>
                      <m:ctrlPr>
                        <w:rPr>
                          <w:rFonts w:ascii="Cambria Math" w:hAnsi="Sylfaen"/>
                          <w:i/>
                          <w:sz w:val="24"/>
                          <w:szCs w:val="24"/>
                        </w:rPr>
                      </m:ctrlPr>
                    </m:dPr>
                    <m:e>
                      <m:r>
                        <w:rPr>
                          <w:rFonts w:ascii="Cambria Math" w:hAnsi="Sylfaen"/>
                          <w:sz w:val="24"/>
                          <w:szCs w:val="24"/>
                        </w:rPr>
                        <m:t>525600</m:t>
                      </m:r>
                      <m:r>
                        <w:rPr>
                          <w:rFonts w:ascii="Sylfaen" w:hAnsi="Sylfaen"/>
                          <w:sz w:val="24"/>
                          <w:szCs w:val="24"/>
                        </w:rPr>
                        <m:t>-</m:t>
                      </m:r>
                      <m:d>
                        <m:dPr>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T</m:t>
                              </m:r>
                            </m:e>
                            <m:sub>
                              <m:r>
                                <w:rPr>
                                  <w:rFonts w:ascii="Cambria Math" w:hAnsi="Cambria Math"/>
                                  <w:sz w:val="24"/>
                                  <w:szCs w:val="24"/>
                                </w:rPr>
                                <m:t>t</m:t>
                              </m:r>
                            </m:sub>
                          </m:sSub>
                          <m:r>
                            <w:rPr>
                              <w:rFonts w:ascii="Sylfaen" w:hAnsi="Sylfaen"/>
                              <w:sz w:val="24"/>
                              <w:szCs w:val="24"/>
                              <w:lang w:val="en-US"/>
                            </w:rPr>
                            <m:t>×</m:t>
                          </m:r>
                          <m:r>
                            <w:rPr>
                              <w:rFonts w:ascii="Cambria Math" w:hAnsi="Sylfaen"/>
                              <w:sz w:val="24"/>
                              <w:szCs w:val="24"/>
                            </w:rPr>
                            <m:t>220</m:t>
                          </m:r>
                        </m:e>
                      </m:d>
                      <m:r>
                        <w:rPr>
                          <w:rFonts w:ascii="Sylfaen" w:hAnsi="Sylfaen"/>
                          <w:sz w:val="24"/>
                          <w:szCs w:val="24"/>
                        </w:rPr>
                        <m:t>-</m:t>
                      </m:r>
                      <m:d>
                        <m:dPr>
                          <m:ctrlPr>
                            <w:rPr>
                              <w:rFonts w:ascii="Cambria Math" w:hAnsi="Sylfaen"/>
                              <w:i/>
                              <w:sz w:val="24"/>
                              <w:szCs w:val="24"/>
                            </w:rPr>
                          </m:ctrlPr>
                        </m:dPr>
                        <m:e>
                          <m:sSub>
                            <m:sSubPr>
                              <m:ctrlPr>
                                <w:rPr>
                                  <w:rFonts w:ascii="Cambria Math" w:hAnsi="Sylfaen"/>
                                  <w:i/>
                                  <w:sz w:val="24"/>
                                  <w:szCs w:val="24"/>
                                </w:rPr>
                              </m:ctrlPr>
                            </m:sSubPr>
                            <m:e>
                              <m:r>
                                <w:rPr>
                                  <w:rFonts w:ascii="Cambria Math" w:hAnsi="Cambria Math"/>
                                  <w:sz w:val="24"/>
                                  <w:szCs w:val="24"/>
                                </w:rPr>
                                <m:t>T</m:t>
                              </m:r>
                            </m:e>
                            <m:sub>
                              <m:r>
                                <w:rPr>
                                  <w:rFonts w:ascii="Cambria Math" w:hAnsi="Sylfaen"/>
                                  <w:sz w:val="24"/>
                                  <w:szCs w:val="24"/>
                                </w:rPr>
                                <m:t>1</m:t>
                              </m:r>
                            </m:sub>
                          </m:sSub>
                          <m:r>
                            <w:rPr>
                              <w:rFonts w:ascii="Sylfaen" w:hAnsi="Sylfaen"/>
                              <w:sz w:val="24"/>
                              <w:szCs w:val="24"/>
                              <w:lang w:val="en-US"/>
                            </w:rPr>
                            <m:t>×</m:t>
                          </m:r>
                          <m:r>
                            <w:rPr>
                              <w:rFonts w:ascii="Cambria Math" w:hAnsi="Sylfaen"/>
                              <w:sz w:val="24"/>
                              <w:szCs w:val="24"/>
                            </w:rPr>
                            <m:t>220</m:t>
                          </m:r>
                        </m:e>
                      </m:d>
                    </m:e>
                  </m:d>
                </m:e>
              </m:d>
            </m:num>
            <m:den>
              <m:r>
                <w:rPr>
                  <w:rFonts w:ascii="Cambria Math" w:hAnsi="Sylfaen"/>
                  <w:sz w:val="24"/>
                  <w:szCs w:val="24"/>
                </w:rPr>
                <m:t>60</m:t>
              </m:r>
              <m:r>
                <w:rPr>
                  <w:rFonts w:ascii="Sylfaen" w:hAnsi="Sylfaen"/>
                  <w:sz w:val="24"/>
                  <w:szCs w:val="24"/>
                  <w:lang w:val="en-US"/>
                </w:rPr>
                <m:t>×</m:t>
              </m:r>
              <m:r>
                <w:rPr>
                  <w:rFonts w:ascii="Cambria Math" w:hAnsi="Sylfaen"/>
                  <w:sz w:val="24"/>
                  <w:szCs w:val="24"/>
                </w:rPr>
                <m:t>1000</m:t>
              </m:r>
            </m:den>
          </m:f>
          <m:r>
            <w:rPr>
              <w:rFonts w:ascii="Cambria Math" w:hAnsi="Sylfaen"/>
              <w:sz w:val="24"/>
              <w:szCs w:val="24"/>
            </w:rPr>
            <m:t>,</m:t>
          </m:r>
        </m:oMath>
      </m:oMathPara>
    </w:p>
    <w:p w14:paraId="309CDCEF" w14:textId="77777777" w:rsidR="00F84DC6" w:rsidRDefault="00F84DC6" w:rsidP="00CA27E3">
      <w:pPr>
        <w:pStyle w:val="1"/>
        <w:shd w:val="clear" w:color="auto" w:fill="auto"/>
        <w:spacing w:after="160"/>
        <w:ind w:firstLine="567"/>
        <w:jc w:val="both"/>
        <w:rPr>
          <w:rFonts w:ascii="Sylfaen" w:hAnsi="Sylfaen"/>
          <w:sz w:val="24"/>
          <w:szCs w:val="24"/>
          <w:lang w:val="en-US"/>
        </w:rPr>
      </w:pPr>
    </w:p>
    <w:p w14:paraId="0CD48DC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 T</w:t>
      </w:r>
      <w:r w:rsidRPr="00CA27E3">
        <w:rPr>
          <w:rFonts w:ascii="Sylfaen" w:hAnsi="Sylfaen"/>
          <w:sz w:val="24"/>
          <w:szCs w:val="24"/>
          <w:vertAlign w:val="subscript"/>
        </w:rPr>
        <w:t>l</w:t>
      </w:r>
      <w:r w:rsidRPr="00CA27E3">
        <w:rPr>
          <w:rFonts w:ascii="Sylfaen" w:hAnsi="Sylfaen"/>
          <w:sz w:val="24"/>
          <w:szCs w:val="24"/>
        </w:rPr>
        <w:t>-ն՝ սպասման ռեժիմում մեքենայի գտնվելու ժամանակն է՝ րոպեներով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514EB8D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Լվացքի մեկ ցիկլում միջին էներգասպառումը (E</w:t>
      </w:r>
      <w:r w:rsidRPr="00CA27E3">
        <w:rPr>
          <w:rFonts w:ascii="Sylfaen" w:hAnsi="Sylfaen"/>
          <w:sz w:val="24"/>
          <w:szCs w:val="24"/>
          <w:vertAlign w:val="subscript"/>
        </w:rPr>
        <w:t>t</w:t>
      </w:r>
      <w:r w:rsidRPr="00CA27E3">
        <w:rPr>
          <w:rFonts w:ascii="Sylfaen" w:hAnsi="Sylfaen"/>
          <w:sz w:val="24"/>
          <w:szCs w:val="24"/>
        </w:rPr>
        <w:t>) կՎտ∙ժ-ով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5415215C" w14:textId="77777777" w:rsidR="00CA27E3" w:rsidRPr="00CA27E3" w:rsidRDefault="00000000" w:rsidP="00CA27E3">
      <w:pPr>
        <w:pStyle w:val="1"/>
        <w:shd w:val="clear" w:color="auto" w:fill="auto"/>
        <w:tabs>
          <w:tab w:val="left" w:pos="2563"/>
          <w:tab w:val="left" w:pos="4733"/>
        </w:tabs>
        <w:spacing w:after="160"/>
        <w:ind w:firstLine="0"/>
        <w:jc w:val="center"/>
        <w:rPr>
          <w:rFonts w:ascii="Sylfaen" w:hAnsi="Sylfaen"/>
          <w:sz w:val="24"/>
          <w:szCs w:val="24"/>
        </w:rPr>
      </w:pPr>
      <m:oMath>
        <m:sSub>
          <m:sSubPr>
            <m:ctrlPr>
              <w:rPr>
                <w:rFonts w:ascii="Cambria Math" w:hAnsi="Sylfaen"/>
                <w:i/>
                <w:sz w:val="24"/>
                <w:szCs w:val="24"/>
                <w:vertAlign w:val="superscript"/>
              </w:rPr>
            </m:ctrlPr>
          </m:sSubPr>
          <m:e>
            <m:r>
              <w:rPr>
                <w:rFonts w:ascii="Cambria Math" w:hAnsi="Cambria Math"/>
                <w:sz w:val="24"/>
                <w:szCs w:val="24"/>
                <w:vertAlign w:val="superscript"/>
              </w:rPr>
              <m:t>E</m:t>
            </m:r>
          </m:e>
          <m:sub>
            <m:r>
              <w:rPr>
                <w:rFonts w:ascii="Cambria Math" w:hAnsi="Cambria Math"/>
                <w:sz w:val="24"/>
                <w:szCs w:val="24"/>
                <w:vertAlign w:val="superscript"/>
              </w:rPr>
              <m:t>t</m:t>
            </m:r>
          </m:sub>
        </m:sSub>
        <m:r>
          <w:rPr>
            <w:rFonts w:ascii="Cambria Math" w:hAnsi="Sylfaen"/>
            <w:sz w:val="24"/>
            <w:szCs w:val="24"/>
            <w:vertAlign w:val="superscript"/>
          </w:rPr>
          <m:t>=</m:t>
        </m:r>
        <m:f>
          <m:fPr>
            <m:ctrlPr>
              <w:rPr>
                <w:rFonts w:ascii="Cambria Math" w:hAnsi="Sylfaen"/>
                <w:i/>
                <w:sz w:val="24"/>
                <w:szCs w:val="24"/>
                <w:vertAlign w:val="superscript"/>
              </w:rPr>
            </m:ctrlPr>
          </m:fPr>
          <m:num>
            <m:d>
              <m:dPr>
                <m:begChr m:val="["/>
                <m:endChr m:val="]"/>
                <m:ctrlPr>
                  <w:rPr>
                    <w:rFonts w:ascii="Cambria Math" w:hAnsi="Sylfaen"/>
                    <w:i/>
                    <w:sz w:val="24"/>
                    <w:szCs w:val="24"/>
                    <w:vertAlign w:val="superscript"/>
                  </w:rPr>
                </m:ctrlPr>
              </m:dPr>
              <m:e>
                <m:r>
                  <w:rPr>
                    <w:rFonts w:ascii="Cambria Math" w:hAnsi="Sylfaen"/>
                    <w:sz w:val="24"/>
                    <w:szCs w:val="24"/>
                    <w:vertAlign w:val="superscript"/>
                  </w:rPr>
                  <m:t>3</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E</m:t>
                    </m:r>
                  </m:e>
                  <m:sub>
                    <m:r>
                      <w:rPr>
                        <w:rFonts w:ascii="Cambria Math" w:hAnsi="Cambria Math"/>
                        <w:sz w:val="24"/>
                        <w:szCs w:val="24"/>
                        <w:vertAlign w:val="superscript"/>
                      </w:rPr>
                      <m:t>t</m:t>
                    </m:r>
                    <m:r>
                      <w:rPr>
                        <w:rFonts w:ascii="Cambria Math" w:hAnsi="Sylfaen"/>
                        <w:sz w:val="24"/>
                        <w:szCs w:val="24"/>
                        <w:vertAlign w:val="superscript"/>
                      </w:rPr>
                      <m:t>,60</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E</m:t>
                    </m:r>
                  </m:e>
                  <m:sub>
                    <m:r>
                      <w:rPr>
                        <w:rFonts w:ascii="Cambria Math" w:hAnsi="Cambria Math"/>
                        <w:sz w:val="24"/>
                        <w:szCs w:val="24"/>
                        <w:vertAlign w:val="superscript"/>
                      </w:rPr>
                      <m:t>t</m:t>
                    </m:r>
                    <m:r>
                      <w:rPr>
                        <w:rFonts w:ascii="Cambria Math" w:hAnsi="Sylfaen"/>
                        <w:sz w:val="24"/>
                        <w:szCs w:val="24"/>
                        <w:vertAlign w:val="superscript"/>
                      </w:rPr>
                      <m:t>,60</m:t>
                    </m:r>
                    <m:r>
                      <m:rPr>
                        <m:sty m:val="p"/>
                      </m:rPr>
                      <w:rPr>
                        <w:rFonts w:ascii="Sylfaen" w:hAnsi="Sylfaen"/>
                        <w:sz w:val="24"/>
                        <w:szCs w:val="24"/>
                        <w:u w:val="single"/>
                      </w:rPr>
                      <m:t>½</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E</m:t>
                    </m:r>
                  </m:e>
                  <m:sub>
                    <m:r>
                      <w:rPr>
                        <w:rFonts w:ascii="Cambria Math" w:hAnsi="Cambria Math"/>
                        <w:sz w:val="24"/>
                        <w:szCs w:val="24"/>
                        <w:vertAlign w:val="superscript"/>
                      </w:rPr>
                      <m:t>t</m:t>
                    </m:r>
                    <m:r>
                      <w:rPr>
                        <w:rFonts w:ascii="Cambria Math" w:hAnsi="Sylfaen"/>
                        <w:sz w:val="24"/>
                        <w:szCs w:val="24"/>
                        <w:vertAlign w:val="superscript"/>
                      </w:rPr>
                      <m:t>,40</m:t>
                    </m:r>
                    <m:r>
                      <m:rPr>
                        <m:sty m:val="p"/>
                      </m:rPr>
                      <w:rPr>
                        <w:rFonts w:ascii="Sylfaen" w:hAnsi="Sylfaen"/>
                        <w:sz w:val="24"/>
                        <w:szCs w:val="24"/>
                        <w:u w:val="single"/>
                      </w:rPr>
                      <m:t>½</m:t>
                    </m:r>
                  </m:sub>
                </m:sSub>
              </m:e>
            </m:d>
          </m:num>
          <m:den>
            <m:r>
              <w:rPr>
                <w:rFonts w:ascii="Cambria Math" w:hAnsi="Sylfaen"/>
                <w:sz w:val="24"/>
                <w:szCs w:val="24"/>
                <w:vertAlign w:val="superscript"/>
              </w:rPr>
              <m:t>7</m:t>
            </m:r>
          </m:den>
        </m:f>
      </m:oMath>
      <w:r w:rsidR="00CA27E3" w:rsidRPr="00CA27E3" w:rsidDel="00424FF2">
        <w:rPr>
          <w:rFonts w:ascii="Sylfaen" w:hAnsi="Sylfaen"/>
          <w:sz w:val="24"/>
          <w:szCs w:val="24"/>
          <w:vertAlign w:val="superscript"/>
        </w:rPr>
        <w:t>,</w:t>
      </w:r>
      <w:r w:rsidR="00CA27E3" w:rsidRPr="00CA27E3">
        <w:rPr>
          <w:rFonts w:ascii="Sylfaen" w:hAnsi="Sylfaen"/>
          <w:sz w:val="24"/>
          <w:szCs w:val="24"/>
        </w:rPr>
        <w:t>,</w:t>
      </w:r>
    </w:p>
    <w:p w14:paraId="49ADB4CA" w14:textId="77777777" w:rsidR="00F84DC6" w:rsidRPr="00DC5495" w:rsidRDefault="00F84DC6" w:rsidP="00CA27E3">
      <w:pPr>
        <w:pStyle w:val="1"/>
        <w:shd w:val="clear" w:color="auto" w:fill="auto"/>
        <w:spacing w:after="160"/>
        <w:ind w:firstLine="567"/>
        <w:jc w:val="both"/>
        <w:rPr>
          <w:rFonts w:ascii="Sylfaen" w:hAnsi="Sylfaen"/>
          <w:sz w:val="24"/>
          <w:szCs w:val="24"/>
        </w:rPr>
      </w:pPr>
    </w:p>
    <w:p w14:paraId="27FD989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46D32E8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t,60</w:t>
      </w:r>
      <w:r w:rsidRPr="00CA27E3">
        <w:rPr>
          <w:rFonts w:ascii="Sylfaen" w:hAnsi="Sylfaen"/>
          <w:sz w:val="24"/>
          <w:szCs w:val="24"/>
        </w:rPr>
        <w:t>-ն՝ լրիվ բեռնվածքի դեպքում «Բամբակ 60 °C» լվացքի ստանդարտ ծրագրի համար էներգասպառումն է՝ կՎտ-ով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2EAC8C7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t,60 ½</w:t>
      </w:r>
      <w:r w:rsidRPr="00CA27E3">
        <w:rPr>
          <w:rFonts w:ascii="Sylfaen" w:hAnsi="Sylfaen"/>
          <w:sz w:val="24"/>
          <w:szCs w:val="24"/>
        </w:rPr>
        <w:t>-ն՝ մասնակի բեռնվածքի դեպքում «Բամբակ 60 °C» լվացքի ստանդարտ ծրագրի համար էներգասպառումն է՝ կՎտ-ով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2C959D8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t,40 ½</w:t>
      </w:r>
      <w:r w:rsidRPr="00CA27E3">
        <w:rPr>
          <w:rFonts w:ascii="Sylfaen" w:hAnsi="Sylfaen"/>
          <w:sz w:val="24"/>
          <w:szCs w:val="24"/>
        </w:rPr>
        <w:t>-ն՝ մասնակի բեռնվածքի դեպքում «Բամբակ 40 °C» լվացքի ստանդարտ ծրագրի համար էներգասպառումն է՝ կՎտ-ով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02C8236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F84DC6">
        <w:rPr>
          <w:rFonts w:ascii="Sylfaen" w:hAnsi="Sylfaen"/>
          <w:spacing w:val="-4"/>
          <w:sz w:val="24"/>
          <w:szCs w:val="24"/>
        </w:rPr>
        <w:lastRenderedPageBreak/>
        <w:t>Անջատման ռեժիմում օգտագործվող հզորությունը (Р</w:t>
      </w:r>
      <w:r w:rsidRPr="00F84DC6">
        <w:rPr>
          <w:rFonts w:ascii="Sylfaen" w:hAnsi="Sylfaen"/>
          <w:spacing w:val="-4"/>
          <w:sz w:val="24"/>
          <w:szCs w:val="24"/>
          <w:vertAlign w:val="subscript"/>
        </w:rPr>
        <w:t>о</w:t>
      </w:r>
      <w:r w:rsidRPr="00F84DC6">
        <w:rPr>
          <w:rFonts w:ascii="Sylfaen" w:hAnsi="Sylfaen"/>
          <w:spacing w:val="-4"/>
          <w:sz w:val="24"/>
          <w:szCs w:val="24"/>
        </w:rPr>
        <w:t>) Վտ-ով հաշվարկվում է հետեւյալ</w:t>
      </w:r>
      <w:r w:rsidRPr="00CA27E3">
        <w:rPr>
          <w:rFonts w:ascii="Sylfaen" w:hAnsi="Sylfaen"/>
          <w:sz w:val="24"/>
          <w:szCs w:val="24"/>
        </w:rPr>
        <w:t xml:space="preserve">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5302C91C" w14:textId="77777777" w:rsidR="00CA27E3" w:rsidRPr="00CA27E3" w:rsidRDefault="00000000" w:rsidP="00CA27E3">
      <w:pPr>
        <w:pStyle w:val="1"/>
        <w:shd w:val="clear" w:color="auto" w:fill="auto"/>
        <w:tabs>
          <w:tab w:val="left" w:pos="2563"/>
          <w:tab w:val="left" w:pos="4733"/>
        </w:tabs>
        <w:spacing w:after="160"/>
        <w:ind w:firstLine="0"/>
        <w:jc w:val="center"/>
        <w:rPr>
          <w:rFonts w:ascii="Sylfaen" w:hAnsi="Sylfaen"/>
          <w:sz w:val="24"/>
          <w:szCs w:val="24"/>
        </w:rPr>
      </w:pPr>
      <m:oMath>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0</m:t>
            </m:r>
          </m:sub>
        </m:sSub>
        <m:r>
          <w:rPr>
            <w:rFonts w:ascii="Cambria Math" w:hAnsi="Sylfaen"/>
            <w:sz w:val="24"/>
            <w:szCs w:val="24"/>
            <w:vertAlign w:val="superscript"/>
          </w:rPr>
          <m:t>=</m:t>
        </m:r>
        <m:f>
          <m:fPr>
            <m:ctrlPr>
              <w:rPr>
                <w:rFonts w:ascii="Cambria Math" w:hAnsi="Sylfaen"/>
                <w:i/>
                <w:sz w:val="24"/>
                <w:szCs w:val="24"/>
                <w:vertAlign w:val="superscript"/>
              </w:rPr>
            </m:ctrlPr>
          </m:fPr>
          <m:num>
            <m:d>
              <m:dPr>
                <m:begChr m:val="["/>
                <m:endChr m:val="]"/>
                <m:ctrlPr>
                  <w:rPr>
                    <w:rFonts w:ascii="Cambria Math" w:hAnsi="Sylfaen"/>
                    <w:i/>
                    <w:sz w:val="24"/>
                    <w:szCs w:val="24"/>
                    <w:vertAlign w:val="superscript"/>
                  </w:rPr>
                </m:ctrlPr>
              </m:dPr>
              <m:e>
                <m:r>
                  <w:rPr>
                    <w:rFonts w:ascii="Cambria Math" w:hAnsi="Sylfaen"/>
                    <w:sz w:val="24"/>
                    <w:szCs w:val="24"/>
                    <w:vertAlign w:val="superscript"/>
                  </w:rPr>
                  <m:t>3</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0,60</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0,60</m:t>
                    </m:r>
                    <m:r>
                      <m:rPr>
                        <m:sty m:val="p"/>
                      </m:rPr>
                      <w:rPr>
                        <w:rFonts w:ascii="Sylfaen" w:hAnsi="Sylfaen"/>
                        <w:sz w:val="24"/>
                        <w:szCs w:val="24"/>
                        <w:u w:val="single"/>
                      </w:rPr>
                      <m:t>½</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0,40</m:t>
                    </m:r>
                    <m:r>
                      <m:rPr>
                        <m:sty m:val="p"/>
                      </m:rPr>
                      <w:rPr>
                        <w:rFonts w:ascii="Sylfaen" w:hAnsi="Sylfaen"/>
                        <w:sz w:val="24"/>
                        <w:szCs w:val="24"/>
                        <w:u w:val="single"/>
                      </w:rPr>
                      <m:t>½</m:t>
                    </m:r>
                  </m:sub>
                </m:sSub>
              </m:e>
            </m:d>
          </m:num>
          <m:den>
            <m:r>
              <w:rPr>
                <w:rFonts w:ascii="Cambria Math" w:hAnsi="Sylfaen"/>
                <w:sz w:val="24"/>
                <w:szCs w:val="24"/>
                <w:vertAlign w:val="superscript"/>
              </w:rPr>
              <m:t>7</m:t>
            </m:r>
          </m:den>
        </m:f>
      </m:oMath>
      <w:r w:rsidR="00CA27E3" w:rsidRPr="00CA27E3">
        <w:rPr>
          <w:rFonts w:ascii="Sylfaen" w:hAnsi="Sylfaen"/>
          <w:sz w:val="24"/>
          <w:szCs w:val="24"/>
        </w:rPr>
        <w:t>,</w:t>
      </w:r>
    </w:p>
    <w:p w14:paraId="2CEA14D6" w14:textId="77777777" w:rsidR="00F84DC6" w:rsidRPr="00DC5495" w:rsidRDefault="00F84DC6" w:rsidP="00CA27E3">
      <w:pPr>
        <w:pStyle w:val="1"/>
        <w:shd w:val="clear" w:color="auto" w:fill="auto"/>
        <w:spacing w:after="160"/>
        <w:ind w:firstLine="567"/>
        <w:jc w:val="both"/>
        <w:rPr>
          <w:rFonts w:ascii="Sylfaen" w:hAnsi="Sylfaen"/>
          <w:sz w:val="24"/>
          <w:szCs w:val="24"/>
        </w:rPr>
      </w:pPr>
    </w:p>
    <w:p w14:paraId="2B2E222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23E1AFF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0,60</w:t>
      </w:r>
      <w:r w:rsidRPr="00CA27E3">
        <w:rPr>
          <w:rFonts w:ascii="Sylfaen" w:hAnsi="Sylfaen"/>
          <w:sz w:val="24"/>
          <w:szCs w:val="24"/>
        </w:rPr>
        <w:t>-ն՝ լրիվ բեռնվածքի դեպքում «Բամբակ 60 °C» լվացքի ստանդարտ ծրագրի համար անջատված վիճակում օգտագործվող հզորությունն է՝ Վտ-ով (մինչ</w:t>
      </w:r>
      <w:r>
        <w:rPr>
          <w:rFonts w:ascii="Sylfaen" w:hAnsi="Sylfaen"/>
          <w:sz w:val="24"/>
          <w:szCs w:val="24"/>
        </w:rPr>
        <w:t>եւ</w:t>
      </w:r>
      <w:r w:rsidRPr="00CA27E3">
        <w:rPr>
          <w:rFonts w:ascii="Sylfaen" w:hAnsi="Sylfaen"/>
          <w:sz w:val="24"/>
          <w:szCs w:val="24"/>
        </w:rPr>
        <w:t xml:space="preserve"> 2</w:t>
      </w:r>
      <w:r w:rsidR="00F84DC6" w:rsidRPr="00DC5495">
        <w:rPr>
          <w:rFonts w:ascii="Sylfaen" w:hAnsi="Sylfaen"/>
          <w:sz w:val="24"/>
          <w:szCs w:val="24"/>
        </w:rPr>
        <w:t> </w:t>
      </w:r>
      <w:r w:rsidRPr="00CA27E3">
        <w:rPr>
          <w:rFonts w:ascii="Sylfaen" w:hAnsi="Sylfaen"/>
          <w:sz w:val="24"/>
          <w:szCs w:val="24"/>
        </w:rPr>
        <w:t>տասնորդական նիշ կլորացմամբ).</w:t>
      </w:r>
    </w:p>
    <w:p w14:paraId="2427DF6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0,60 ½</w:t>
      </w:r>
      <w:r w:rsidRPr="00CA27E3">
        <w:rPr>
          <w:rFonts w:ascii="Sylfaen" w:hAnsi="Sylfaen"/>
          <w:sz w:val="24"/>
          <w:szCs w:val="24"/>
        </w:rPr>
        <w:t>-ն՝ մասնակի բեռնվածքի դեպքում «Բամբակ 60 °C» լվացքի ստանդարտ ծրագրի համար անջատված վիճակում օգտագործվող հզորությունն է՝ Վտ-ով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28B37D3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0,40 ½</w:t>
      </w:r>
      <w:r w:rsidRPr="00CA27E3">
        <w:rPr>
          <w:rFonts w:ascii="Sylfaen" w:hAnsi="Sylfaen"/>
          <w:sz w:val="24"/>
          <w:szCs w:val="24"/>
        </w:rPr>
        <w:t>-ն՝ մասնակի բեռնվածքի դեպքում «Բամբակ 40 °C» լվացքի ստանդարտ ծրագրի համար անջատված վիճակում օգտագործվող հզորությունն է՝ Վտ-ով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08D7834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Սպասման ռեժիմում օգտագործվող հզորությունը (P</w:t>
      </w:r>
      <w:r w:rsidRPr="00CA27E3">
        <w:rPr>
          <w:rFonts w:ascii="Sylfaen" w:hAnsi="Sylfaen"/>
          <w:sz w:val="24"/>
          <w:szCs w:val="24"/>
          <w:vertAlign w:val="subscript"/>
        </w:rPr>
        <w:t>1</w:t>
      </w:r>
      <w:r w:rsidRPr="00CA27E3">
        <w:rPr>
          <w:rFonts w:ascii="Sylfaen" w:hAnsi="Sylfaen"/>
          <w:sz w:val="24"/>
          <w:szCs w:val="24"/>
        </w:rPr>
        <w:t>) Վտ-ով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4ED4A5B1" w14:textId="77777777" w:rsidR="00CA27E3" w:rsidRPr="00CA27E3" w:rsidRDefault="00000000" w:rsidP="00CA27E3">
      <w:pPr>
        <w:pStyle w:val="1"/>
        <w:shd w:val="clear" w:color="auto" w:fill="auto"/>
        <w:tabs>
          <w:tab w:val="left" w:pos="2563"/>
          <w:tab w:val="left" w:pos="4733"/>
        </w:tabs>
        <w:spacing w:after="160"/>
        <w:ind w:firstLine="0"/>
        <w:jc w:val="center"/>
        <w:rPr>
          <w:rFonts w:ascii="Sylfaen" w:hAnsi="Sylfaen"/>
          <w:sz w:val="24"/>
          <w:szCs w:val="24"/>
        </w:rPr>
      </w:pPr>
      <m:oMath>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1</m:t>
            </m:r>
          </m:sub>
        </m:sSub>
        <m:r>
          <w:rPr>
            <w:rFonts w:ascii="Cambria Math" w:hAnsi="Sylfaen"/>
            <w:sz w:val="24"/>
            <w:szCs w:val="24"/>
            <w:vertAlign w:val="superscript"/>
          </w:rPr>
          <m:t>=</m:t>
        </m:r>
        <m:f>
          <m:fPr>
            <m:ctrlPr>
              <w:rPr>
                <w:rFonts w:ascii="Cambria Math" w:hAnsi="Sylfaen"/>
                <w:i/>
                <w:sz w:val="24"/>
                <w:szCs w:val="24"/>
                <w:vertAlign w:val="superscript"/>
              </w:rPr>
            </m:ctrlPr>
          </m:fPr>
          <m:num>
            <m:d>
              <m:dPr>
                <m:begChr m:val="["/>
                <m:endChr m:val="]"/>
                <m:ctrlPr>
                  <w:rPr>
                    <w:rFonts w:ascii="Cambria Math" w:hAnsi="Sylfaen"/>
                    <w:i/>
                    <w:sz w:val="24"/>
                    <w:szCs w:val="24"/>
                    <w:vertAlign w:val="superscript"/>
                  </w:rPr>
                </m:ctrlPr>
              </m:dPr>
              <m:e>
                <m:r>
                  <w:rPr>
                    <w:rFonts w:ascii="Cambria Math" w:hAnsi="Sylfaen"/>
                    <w:sz w:val="24"/>
                    <w:szCs w:val="24"/>
                    <w:vertAlign w:val="superscript"/>
                  </w:rPr>
                  <m:t>3</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1,60</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1,60</m:t>
                    </m:r>
                    <m:r>
                      <m:rPr>
                        <m:sty m:val="p"/>
                      </m:rPr>
                      <w:rPr>
                        <w:rFonts w:ascii="Sylfaen" w:hAnsi="Sylfaen"/>
                        <w:sz w:val="24"/>
                        <w:szCs w:val="24"/>
                        <w:u w:val="single"/>
                      </w:rPr>
                      <m:t>½</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P</m:t>
                    </m:r>
                  </m:e>
                  <m:sub>
                    <m:r>
                      <w:rPr>
                        <w:rFonts w:ascii="Cambria Math" w:hAnsi="Sylfaen"/>
                        <w:sz w:val="24"/>
                        <w:szCs w:val="24"/>
                        <w:vertAlign w:val="superscript"/>
                      </w:rPr>
                      <m:t>1,40</m:t>
                    </m:r>
                    <m:r>
                      <m:rPr>
                        <m:sty m:val="p"/>
                      </m:rPr>
                      <w:rPr>
                        <w:rFonts w:ascii="Sylfaen" w:hAnsi="Sylfaen"/>
                        <w:sz w:val="24"/>
                        <w:szCs w:val="24"/>
                        <w:u w:val="single"/>
                      </w:rPr>
                      <m:t>½</m:t>
                    </m:r>
                  </m:sub>
                </m:sSub>
              </m:e>
            </m:d>
          </m:num>
          <m:den>
            <m:r>
              <w:rPr>
                <w:rFonts w:ascii="Cambria Math" w:hAnsi="Sylfaen"/>
                <w:sz w:val="24"/>
                <w:szCs w:val="24"/>
                <w:vertAlign w:val="superscript"/>
              </w:rPr>
              <m:t>7</m:t>
            </m:r>
          </m:den>
        </m:f>
      </m:oMath>
      <w:r w:rsidR="00CA27E3" w:rsidRPr="00CA27E3">
        <w:rPr>
          <w:rFonts w:ascii="Sylfaen" w:hAnsi="Sylfaen"/>
          <w:sz w:val="24"/>
          <w:szCs w:val="24"/>
          <w:vertAlign w:val="superscript"/>
        </w:rPr>
        <w:t>,</w:t>
      </w:r>
    </w:p>
    <w:p w14:paraId="4EE56226" w14:textId="77777777" w:rsidR="00F84DC6" w:rsidRPr="00DC5495" w:rsidRDefault="00F84DC6" w:rsidP="00CA27E3">
      <w:pPr>
        <w:pStyle w:val="1"/>
        <w:shd w:val="clear" w:color="auto" w:fill="auto"/>
        <w:spacing w:after="160"/>
        <w:ind w:firstLine="567"/>
        <w:jc w:val="both"/>
        <w:rPr>
          <w:rFonts w:ascii="Sylfaen" w:hAnsi="Sylfaen"/>
          <w:sz w:val="24"/>
          <w:szCs w:val="24"/>
        </w:rPr>
      </w:pPr>
    </w:p>
    <w:p w14:paraId="50F3266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1B14BB5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1,60</w:t>
      </w:r>
      <w:r w:rsidRPr="00CA27E3">
        <w:rPr>
          <w:rFonts w:ascii="Sylfaen" w:hAnsi="Sylfaen"/>
          <w:sz w:val="24"/>
          <w:szCs w:val="24"/>
        </w:rPr>
        <w:t>-ն՝ լրիվ բեռնվածքի դեպքում «Բամբակ 60 °C» լվացքի ստանդարտ ծրագրի համար «թողնված է միացված» ռեժիմում օգտագործվող հզորությունն է՝ Վտ-ով.</w:t>
      </w:r>
    </w:p>
    <w:p w14:paraId="05630F5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1,60 ½</w:t>
      </w:r>
      <w:r w:rsidRPr="00CA27E3">
        <w:rPr>
          <w:rFonts w:ascii="Sylfaen" w:hAnsi="Sylfaen"/>
          <w:sz w:val="24"/>
          <w:szCs w:val="24"/>
        </w:rPr>
        <w:t>-ն՝ մասնակի բեռնվածքի դեպքում «Բամբակ 60 °C» լվացքի ստանդարտ ծրագրի համար «թողնված է միացված» ռեժիմում օգտագործվող հզորությունն է՝ Վտ-ով.</w:t>
      </w:r>
    </w:p>
    <w:p w14:paraId="445001D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P</w:t>
      </w:r>
      <w:r w:rsidRPr="00CA27E3">
        <w:rPr>
          <w:rFonts w:ascii="Sylfaen" w:hAnsi="Sylfaen"/>
          <w:sz w:val="24"/>
          <w:szCs w:val="24"/>
          <w:vertAlign w:val="subscript"/>
        </w:rPr>
        <w:t>1,40 ½</w:t>
      </w:r>
      <w:r w:rsidRPr="00CA27E3">
        <w:rPr>
          <w:rFonts w:ascii="Sylfaen" w:hAnsi="Sylfaen"/>
          <w:sz w:val="24"/>
          <w:szCs w:val="24"/>
        </w:rPr>
        <w:t>-ն՝ մասնակի բեռնվածքի դեպքում «Բամբակ 40 °C» լվացքի ստանդարտ ծրագրի համար «թողնված է միացված» ռեժիմում օգտագործվող հզորությունն է՝ Վտ-ով:</w:t>
      </w:r>
    </w:p>
    <w:p w14:paraId="4C63D71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Ծրագրի կատարման տ</w:t>
      </w:r>
      <w:r>
        <w:rPr>
          <w:rFonts w:ascii="Sylfaen" w:hAnsi="Sylfaen"/>
          <w:sz w:val="24"/>
          <w:szCs w:val="24"/>
        </w:rPr>
        <w:t>եւ</w:t>
      </w:r>
      <w:r w:rsidRPr="00CA27E3">
        <w:rPr>
          <w:rFonts w:ascii="Sylfaen" w:hAnsi="Sylfaen"/>
          <w:sz w:val="24"/>
          <w:szCs w:val="24"/>
        </w:rPr>
        <w:t>ողությունը (T</w:t>
      </w:r>
      <w:r w:rsidRPr="00CA27E3">
        <w:rPr>
          <w:rFonts w:ascii="Sylfaen" w:hAnsi="Sylfaen"/>
          <w:sz w:val="24"/>
          <w:szCs w:val="24"/>
          <w:vertAlign w:val="subscript"/>
        </w:rPr>
        <w:t>t</w:t>
      </w:r>
      <w:r w:rsidRPr="00CA27E3">
        <w:rPr>
          <w:rFonts w:ascii="Sylfaen" w:hAnsi="Sylfaen"/>
          <w:sz w:val="24"/>
          <w:szCs w:val="24"/>
        </w:rPr>
        <w:t>) րոպեներով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ամբողջ արժեք կլորացմամբ)՝</w:t>
      </w:r>
    </w:p>
    <w:p w14:paraId="2D3F97D3" w14:textId="77777777" w:rsidR="00CA27E3" w:rsidRPr="00CA27E3" w:rsidRDefault="00000000" w:rsidP="00CA27E3">
      <w:pPr>
        <w:pStyle w:val="1"/>
        <w:shd w:val="clear" w:color="auto" w:fill="auto"/>
        <w:spacing w:after="160"/>
        <w:ind w:firstLine="720"/>
        <w:jc w:val="both"/>
        <w:rPr>
          <w:rFonts w:ascii="Sylfaen" w:hAnsi="Sylfaen"/>
          <w:sz w:val="24"/>
          <w:szCs w:val="24"/>
        </w:rPr>
      </w:pPr>
      <m:oMathPara>
        <m:oMath>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Cambria Math"/>
                  <w:sz w:val="24"/>
                  <w:szCs w:val="24"/>
                  <w:vertAlign w:val="superscript"/>
                </w:rPr>
                <m:t>t</m:t>
              </m:r>
            </m:sub>
          </m:sSub>
          <m:r>
            <w:rPr>
              <w:rFonts w:ascii="Cambria Math" w:hAnsi="Sylfaen"/>
              <w:sz w:val="24"/>
              <w:szCs w:val="24"/>
              <w:vertAlign w:val="superscript"/>
            </w:rPr>
            <m:t>=</m:t>
          </m:r>
          <m:f>
            <m:fPr>
              <m:ctrlPr>
                <w:rPr>
                  <w:rFonts w:ascii="Cambria Math" w:hAnsi="Sylfaen"/>
                  <w:i/>
                  <w:sz w:val="24"/>
                  <w:szCs w:val="24"/>
                  <w:vertAlign w:val="superscript"/>
                </w:rPr>
              </m:ctrlPr>
            </m:fPr>
            <m:num>
              <m:d>
                <m:dPr>
                  <m:begChr m:val="["/>
                  <m:endChr m:val="]"/>
                  <m:ctrlPr>
                    <w:rPr>
                      <w:rFonts w:ascii="Cambria Math" w:hAnsi="Sylfaen"/>
                      <w:i/>
                      <w:sz w:val="24"/>
                      <w:szCs w:val="24"/>
                      <w:vertAlign w:val="superscript"/>
                    </w:rPr>
                  </m:ctrlPr>
                </m:dPr>
                <m:e>
                  <m:r>
                    <w:rPr>
                      <w:rFonts w:ascii="Cambria Math" w:hAnsi="Sylfaen"/>
                      <w:sz w:val="24"/>
                      <w:szCs w:val="24"/>
                      <w:vertAlign w:val="superscript"/>
                    </w:rPr>
                    <m:t>3</m:t>
                  </m:r>
                  <m:r>
                    <w:rPr>
                      <w:rFonts w:ascii="Sylfaen" w:hAnsi="Sylfaen"/>
                      <w:sz w:val="24"/>
                      <w:szCs w:val="24"/>
                      <w:lang w:val="en-US"/>
                    </w:rPr>
                    <m:t>×</m:t>
                  </m:r>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Cambria Math"/>
                          <w:sz w:val="24"/>
                          <w:szCs w:val="24"/>
                          <w:vertAlign w:val="superscript"/>
                        </w:rPr>
                        <m:t>t</m:t>
                      </m:r>
                      <m:r>
                        <w:rPr>
                          <w:rFonts w:ascii="Cambria Math" w:hAnsi="Sylfaen"/>
                          <w:sz w:val="24"/>
                          <w:szCs w:val="24"/>
                          <w:vertAlign w:val="superscript"/>
                        </w:rPr>
                        <m:t>,60</m:t>
                      </m:r>
                    </m:sub>
                  </m:sSub>
                  <m:r>
                    <w:rPr>
                      <w:rFonts w:ascii="Cambria Math" w:hAnsi="Sylfaen"/>
                      <w:sz w:val="24"/>
                      <w:szCs w:val="24"/>
                      <w:vertAlign w:val="superscript"/>
                    </w:rPr>
                    <m:t>+2</m:t>
                  </m:r>
                  <m:r>
                    <w:rPr>
                      <w:rFonts w:ascii="Sylfaen" w:hAnsi="Sylfaen"/>
                      <w:sz w:val="24"/>
                      <w:szCs w:val="24"/>
                      <w:lang w:val="en-US"/>
                    </w:rPr>
                    <m:t>×</m:t>
                  </m:r>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Cambria Math"/>
                          <w:sz w:val="24"/>
                          <w:szCs w:val="24"/>
                          <w:vertAlign w:val="superscript"/>
                        </w:rPr>
                        <m:t>t</m:t>
                      </m:r>
                      <m:r>
                        <w:rPr>
                          <w:rFonts w:ascii="Cambria Math" w:hAnsi="Sylfaen"/>
                          <w:sz w:val="24"/>
                          <w:szCs w:val="24"/>
                          <w:vertAlign w:val="superscript"/>
                        </w:rPr>
                        <m:t>,60</m:t>
                      </m:r>
                      <m:r>
                        <m:rPr>
                          <m:sty m:val="p"/>
                        </m:rPr>
                        <w:rPr>
                          <w:rFonts w:ascii="Sylfaen" w:hAnsi="Sylfaen"/>
                          <w:sz w:val="24"/>
                          <w:szCs w:val="24"/>
                          <w:u w:val="single"/>
                        </w:rPr>
                        <m:t>½</m:t>
                      </m:r>
                    </m:sub>
                  </m:sSub>
                  <m:r>
                    <w:rPr>
                      <w:rFonts w:ascii="Cambria Math" w:hAnsi="Sylfaen"/>
                      <w:sz w:val="24"/>
                      <w:szCs w:val="24"/>
                      <w:vertAlign w:val="superscript"/>
                    </w:rPr>
                    <m:t>+2</m:t>
                  </m:r>
                  <m:r>
                    <w:rPr>
                      <w:rFonts w:ascii="Sylfaen" w:hAnsi="Sylfaen"/>
                      <w:sz w:val="24"/>
                      <w:szCs w:val="24"/>
                      <w:lang w:val="en-US"/>
                    </w:rPr>
                    <m:t>×</m:t>
                  </m:r>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Cambria Math"/>
                          <w:sz w:val="24"/>
                          <w:szCs w:val="24"/>
                          <w:vertAlign w:val="superscript"/>
                        </w:rPr>
                        <m:t>t</m:t>
                      </m:r>
                      <m:r>
                        <w:rPr>
                          <w:rFonts w:ascii="Cambria Math" w:hAnsi="Sylfaen"/>
                          <w:sz w:val="24"/>
                          <w:szCs w:val="24"/>
                          <w:vertAlign w:val="superscript"/>
                        </w:rPr>
                        <m:t>,40</m:t>
                      </m:r>
                      <m:r>
                        <m:rPr>
                          <m:sty m:val="p"/>
                        </m:rPr>
                        <w:rPr>
                          <w:rFonts w:ascii="Sylfaen" w:hAnsi="Sylfaen"/>
                          <w:sz w:val="24"/>
                          <w:szCs w:val="24"/>
                          <w:u w:val="single"/>
                        </w:rPr>
                        <m:t>½</m:t>
                      </m:r>
                    </m:sub>
                  </m:sSub>
                </m:e>
              </m:d>
            </m:num>
            <m:den>
              <m:r>
                <w:rPr>
                  <w:rFonts w:ascii="Cambria Math" w:hAnsi="Sylfaen"/>
                  <w:sz w:val="24"/>
                  <w:szCs w:val="24"/>
                  <w:vertAlign w:val="superscript"/>
                </w:rPr>
                <m:t>7</m:t>
              </m:r>
            </m:den>
          </m:f>
          <m:r>
            <w:rPr>
              <w:rFonts w:ascii="Cambria Math" w:hAnsi="Sylfaen"/>
              <w:sz w:val="24"/>
              <w:szCs w:val="24"/>
              <w:vertAlign w:val="superscript"/>
            </w:rPr>
            <m:t>,</m:t>
          </m:r>
        </m:oMath>
      </m:oMathPara>
    </w:p>
    <w:p w14:paraId="7BB046E6" w14:textId="77777777" w:rsidR="00F84DC6" w:rsidRDefault="00F84DC6" w:rsidP="00CA27E3">
      <w:pPr>
        <w:pStyle w:val="1"/>
        <w:shd w:val="clear" w:color="auto" w:fill="auto"/>
        <w:spacing w:after="160"/>
        <w:ind w:firstLine="567"/>
        <w:jc w:val="both"/>
        <w:rPr>
          <w:rFonts w:ascii="Sylfaen" w:hAnsi="Sylfaen"/>
          <w:sz w:val="24"/>
          <w:szCs w:val="24"/>
          <w:lang w:val="en-US"/>
        </w:rPr>
      </w:pPr>
    </w:p>
    <w:p w14:paraId="349CF02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03B6A35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t,60</w:t>
      </w:r>
      <w:r w:rsidRPr="00CA27E3">
        <w:rPr>
          <w:rFonts w:ascii="Sylfaen" w:hAnsi="Sylfaen"/>
          <w:sz w:val="24"/>
          <w:szCs w:val="24"/>
        </w:rPr>
        <w:t xml:space="preserve">-ն՝ լրիվ բեռնվածքի դեպքում «Բամբակ 60 °C» լվացքի ստանդարտ ծրագրի կատարման ժամանակն է՝ րոպեներով. </w:t>
      </w:r>
    </w:p>
    <w:p w14:paraId="10A46ABE"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t,60 ½</w:t>
      </w:r>
      <w:r w:rsidRPr="00CA27E3">
        <w:rPr>
          <w:rFonts w:ascii="Sylfaen" w:hAnsi="Sylfaen"/>
          <w:sz w:val="24"/>
          <w:szCs w:val="24"/>
        </w:rPr>
        <w:t>-ն՝ մասնակի բեռնվածքի դեպքում «Բամբակ 60 °C» լվացքի ստանդարտ ծրագրի կատարման ժամանակն է՝ րոպեներով.</w:t>
      </w:r>
    </w:p>
    <w:p w14:paraId="0E9FA85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t,40½</w:t>
      </w:r>
      <w:r w:rsidRPr="00CA27E3">
        <w:rPr>
          <w:rFonts w:ascii="Sylfaen" w:hAnsi="Sylfaen"/>
          <w:sz w:val="24"/>
          <w:szCs w:val="24"/>
        </w:rPr>
        <w:t>-ն՝ մասնակի բեռնվածքի դեպքում «Բամբակ 40 °C» լվացքի ստանդարտ ծրագրի կատարման ժամանակն է՝ րոպեներով:</w:t>
      </w:r>
    </w:p>
    <w:p w14:paraId="1E0A80C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Սպասման ռեժիմում ժամանակը (T</w:t>
      </w:r>
      <w:r w:rsidRPr="00CA27E3">
        <w:rPr>
          <w:rFonts w:ascii="Sylfaen" w:hAnsi="Sylfaen"/>
          <w:sz w:val="24"/>
          <w:szCs w:val="24"/>
          <w:vertAlign w:val="subscript"/>
        </w:rPr>
        <w:t>1</w:t>
      </w:r>
      <w:r w:rsidRPr="00CA27E3">
        <w:rPr>
          <w:rFonts w:ascii="Sylfaen" w:hAnsi="Sylfaen"/>
          <w:sz w:val="24"/>
          <w:szCs w:val="24"/>
        </w:rPr>
        <w:t>) րոպեներով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ամբողջ արժեք կլորացմամբ)՝</w:t>
      </w:r>
    </w:p>
    <w:p w14:paraId="13FB2458" w14:textId="77777777" w:rsidR="00CA27E3" w:rsidRPr="00CA27E3" w:rsidRDefault="00000000" w:rsidP="00CA27E3">
      <w:pPr>
        <w:pStyle w:val="1"/>
        <w:shd w:val="clear" w:color="auto" w:fill="auto"/>
        <w:tabs>
          <w:tab w:val="left" w:pos="2563"/>
          <w:tab w:val="left" w:pos="4733"/>
        </w:tabs>
        <w:spacing w:after="160"/>
        <w:ind w:firstLine="0"/>
        <w:jc w:val="center"/>
        <w:rPr>
          <w:rFonts w:ascii="Sylfaen" w:hAnsi="Sylfaen"/>
          <w:sz w:val="24"/>
          <w:szCs w:val="24"/>
        </w:rPr>
      </w:pPr>
      <m:oMath>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Sylfaen"/>
                <w:sz w:val="24"/>
                <w:szCs w:val="24"/>
                <w:vertAlign w:val="superscript"/>
              </w:rPr>
              <m:t>1</m:t>
            </m:r>
          </m:sub>
        </m:sSub>
        <m:r>
          <w:rPr>
            <w:rFonts w:ascii="Cambria Math" w:hAnsi="Sylfaen"/>
            <w:sz w:val="24"/>
            <w:szCs w:val="24"/>
            <w:vertAlign w:val="superscript"/>
          </w:rPr>
          <m:t>=</m:t>
        </m:r>
        <m:f>
          <m:fPr>
            <m:ctrlPr>
              <w:rPr>
                <w:rFonts w:ascii="Cambria Math" w:hAnsi="Sylfaen"/>
                <w:i/>
                <w:sz w:val="24"/>
                <w:szCs w:val="24"/>
                <w:vertAlign w:val="superscript"/>
              </w:rPr>
            </m:ctrlPr>
          </m:fPr>
          <m:num>
            <m:d>
              <m:dPr>
                <m:begChr m:val="["/>
                <m:endChr m:val="]"/>
                <m:ctrlPr>
                  <w:rPr>
                    <w:rFonts w:ascii="Cambria Math" w:hAnsi="Sylfaen"/>
                    <w:i/>
                    <w:sz w:val="24"/>
                    <w:szCs w:val="24"/>
                    <w:vertAlign w:val="superscript"/>
                  </w:rPr>
                </m:ctrlPr>
              </m:dPr>
              <m:e>
                <m:r>
                  <w:rPr>
                    <w:rFonts w:ascii="Cambria Math" w:hAnsi="Sylfaen"/>
                    <w:sz w:val="24"/>
                    <w:szCs w:val="24"/>
                    <w:vertAlign w:val="superscript"/>
                  </w:rPr>
                  <m:t>3</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Sylfaen"/>
                        <w:sz w:val="24"/>
                        <w:szCs w:val="24"/>
                        <w:vertAlign w:val="superscript"/>
                      </w:rPr>
                      <m:t>1,60</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Sylfaen"/>
                        <w:sz w:val="24"/>
                        <w:szCs w:val="24"/>
                        <w:vertAlign w:val="superscript"/>
                      </w:rPr>
                      <m:t>1,60</m:t>
                    </m:r>
                    <m:r>
                      <m:rPr>
                        <m:sty m:val="p"/>
                      </m:rPr>
                      <w:rPr>
                        <w:rFonts w:ascii="Sylfaen" w:hAnsi="Sylfaen"/>
                        <w:sz w:val="24"/>
                        <w:szCs w:val="24"/>
                        <w:u w:val="single"/>
                      </w:rPr>
                      <m:t>½</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T</m:t>
                    </m:r>
                  </m:e>
                  <m:sub>
                    <m:r>
                      <w:rPr>
                        <w:rFonts w:ascii="Cambria Math" w:hAnsi="Sylfaen"/>
                        <w:sz w:val="24"/>
                        <w:szCs w:val="24"/>
                        <w:vertAlign w:val="superscript"/>
                      </w:rPr>
                      <m:t>1,40</m:t>
                    </m:r>
                    <m:r>
                      <m:rPr>
                        <m:sty m:val="p"/>
                      </m:rPr>
                      <w:rPr>
                        <w:rFonts w:ascii="Sylfaen" w:hAnsi="Sylfaen"/>
                        <w:sz w:val="24"/>
                        <w:szCs w:val="24"/>
                        <w:u w:val="single"/>
                      </w:rPr>
                      <m:t>½</m:t>
                    </m:r>
                  </m:sub>
                </m:sSub>
              </m:e>
            </m:d>
          </m:num>
          <m:den>
            <m:r>
              <w:rPr>
                <w:rFonts w:ascii="Cambria Math" w:hAnsi="Sylfaen"/>
                <w:sz w:val="24"/>
                <w:szCs w:val="24"/>
                <w:vertAlign w:val="superscript"/>
              </w:rPr>
              <m:t>7</m:t>
            </m:r>
          </m:den>
        </m:f>
      </m:oMath>
      <w:r w:rsidR="00CA27E3" w:rsidRPr="00CA27E3">
        <w:rPr>
          <w:rFonts w:ascii="Sylfaen" w:hAnsi="Sylfaen"/>
          <w:sz w:val="24"/>
          <w:szCs w:val="24"/>
        </w:rPr>
        <w:t>,</w:t>
      </w:r>
    </w:p>
    <w:p w14:paraId="24ADF37A" w14:textId="77777777" w:rsidR="00F84DC6" w:rsidRPr="00DC5495" w:rsidRDefault="00F84DC6" w:rsidP="00CA27E3">
      <w:pPr>
        <w:pStyle w:val="1"/>
        <w:shd w:val="clear" w:color="auto" w:fill="auto"/>
        <w:spacing w:after="160"/>
        <w:ind w:firstLine="567"/>
        <w:jc w:val="both"/>
        <w:rPr>
          <w:rFonts w:ascii="Sylfaen" w:hAnsi="Sylfaen"/>
          <w:sz w:val="24"/>
          <w:szCs w:val="24"/>
        </w:rPr>
      </w:pPr>
    </w:p>
    <w:p w14:paraId="406248F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1595132E"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1,60</w:t>
      </w:r>
      <w:r w:rsidRPr="00CA27E3">
        <w:rPr>
          <w:rFonts w:ascii="Sylfaen" w:hAnsi="Sylfaen"/>
          <w:sz w:val="24"/>
          <w:szCs w:val="24"/>
        </w:rPr>
        <w:t>-ն՝ անվանական բեռնվածքի դեպքում «Բամբակ 60 °C» լվացքի ստանդարտ ծրագրի համար «թողնված է միացված» ռեժիմում ժամանակն է՝ րոպեներով.</w:t>
      </w:r>
    </w:p>
    <w:p w14:paraId="130D861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1,60 ½</w:t>
      </w:r>
      <w:r w:rsidRPr="00CA27E3">
        <w:rPr>
          <w:rFonts w:ascii="Sylfaen" w:hAnsi="Sylfaen"/>
          <w:sz w:val="24"/>
          <w:szCs w:val="24"/>
        </w:rPr>
        <w:t>-ն՝ մասնակի բեռնվածքի դեպքում «Բամբակ 60 °C» լվացքի ստանդարտ ծրագրի համար «թողնված է միացված» ռեժիմում ժամանակն է՝ րոպեներով.</w:t>
      </w:r>
    </w:p>
    <w:p w14:paraId="08DD9A37" w14:textId="77777777" w:rsidR="00F84DC6"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T</w:t>
      </w:r>
      <w:r w:rsidRPr="00CA27E3">
        <w:rPr>
          <w:rFonts w:ascii="Sylfaen" w:hAnsi="Sylfaen"/>
          <w:sz w:val="24"/>
          <w:szCs w:val="24"/>
          <w:vertAlign w:val="subscript"/>
        </w:rPr>
        <w:t>1,40½</w:t>
      </w:r>
      <w:r w:rsidRPr="00CA27E3">
        <w:rPr>
          <w:rFonts w:ascii="Sylfaen" w:hAnsi="Sylfaen"/>
          <w:sz w:val="24"/>
          <w:szCs w:val="24"/>
        </w:rPr>
        <w:t>-ն՝ մասնակի բեռնվածքի դեպքում «Բամբակ 40 °C» լվացքի ստանդարտ ծրագրի համար «թողնված է միացված» ռեժիմում ժամանակն է՝ րոպեներով:</w:t>
      </w:r>
    </w:p>
    <w:p w14:paraId="3871E781"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5.</w:t>
      </w:r>
      <w:r w:rsidR="00F84DC6" w:rsidRPr="00F84DC6">
        <w:rPr>
          <w:rFonts w:ascii="Sylfaen" w:hAnsi="Sylfaen"/>
          <w:sz w:val="24"/>
          <w:szCs w:val="24"/>
        </w:rPr>
        <w:tab/>
      </w:r>
      <w:r w:rsidRPr="00CA27E3">
        <w:rPr>
          <w:rFonts w:ascii="Sylfaen" w:hAnsi="Sylfaen"/>
          <w:sz w:val="24"/>
          <w:szCs w:val="24"/>
        </w:rPr>
        <w:t xml:space="preserve">Լվացքի արդյունավետության ցուցիչը (Iw) հաշվարկելու համար փորձարկվող լվացքի մեքենայի լվացքի արդյունավետությունը համեմատում են լրիվ </w:t>
      </w:r>
      <w:r>
        <w:rPr>
          <w:rFonts w:ascii="Sylfaen" w:hAnsi="Sylfaen"/>
          <w:sz w:val="24"/>
          <w:szCs w:val="24"/>
        </w:rPr>
        <w:t>եւ</w:t>
      </w:r>
      <w:r w:rsidRPr="00CA27E3">
        <w:rPr>
          <w:rFonts w:ascii="Sylfaen" w:hAnsi="Sylfaen"/>
          <w:sz w:val="24"/>
          <w:szCs w:val="24"/>
        </w:rPr>
        <w:t xml:space="preserve"> մասնակի բեռնվածքի դեպքում «Բամբակ 60 °C» լվացքի ստանդարտ ծրագրով աշխատանքի </w:t>
      </w:r>
      <w:r>
        <w:rPr>
          <w:rFonts w:ascii="Sylfaen" w:hAnsi="Sylfaen"/>
          <w:sz w:val="24"/>
          <w:szCs w:val="24"/>
        </w:rPr>
        <w:t>եւ</w:t>
      </w:r>
      <w:r w:rsidRPr="00CA27E3">
        <w:rPr>
          <w:rFonts w:ascii="Sylfaen" w:hAnsi="Sylfaen"/>
          <w:sz w:val="24"/>
          <w:szCs w:val="24"/>
        </w:rPr>
        <w:t xml:space="preserve"> մասնակի բեռնվածքի դեպքում «Բամբակ 40 °C» լվացքի ստանդարտ ծրագրով աշխատանքի ժամանակ չափանմուշային լվացքի մեքենայի լվացքի արդյունավետության հետ:</w:t>
      </w:r>
    </w:p>
    <w:p w14:paraId="04CB0A3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Լվացքի արդյունավետության ցուցիչը (I</w:t>
      </w:r>
      <w:r w:rsidRPr="00CA27E3">
        <w:rPr>
          <w:rFonts w:ascii="Sylfaen" w:hAnsi="Sylfaen"/>
          <w:sz w:val="24"/>
          <w:szCs w:val="24"/>
          <w:vertAlign w:val="subscript"/>
        </w:rPr>
        <w:t>w</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7C52DAD4" w14:textId="77777777" w:rsidR="00CA27E3" w:rsidRPr="00CA27E3" w:rsidRDefault="00000000" w:rsidP="00CA27E3">
      <w:pPr>
        <w:pStyle w:val="1"/>
        <w:shd w:val="clear" w:color="auto" w:fill="auto"/>
        <w:tabs>
          <w:tab w:val="left" w:pos="2563"/>
          <w:tab w:val="left" w:pos="4733"/>
        </w:tabs>
        <w:spacing w:after="160"/>
        <w:ind w:firstLine="0"/>
        <w:jc w:val="center"/>
        <w:rPr>
          <w:rFonts w:ascii="Sylfaen" w:hAnsi="Sylfaen"/>
          <w:sz w:val="24"/>
          <w:szCs w:val="24"/>
        </w:rPr>
      </w:pPr>
      <m:oMath>
        <m:sSub>
          <m:sSubPr>
            <m:ctrlPr>
              <w:rPr>
                <w:rFonts w:ascii="Cambria Math" w:hAnsi="Sylfaen"/>
                <w:i/>
                <w:sz w:val="24"/>
                <w:szCs w:val="24"/>
                <w:vertAlign w:val="superscript"/>
              </w:rPr>
            </m:ctrlPr>
          </m:sSubPr>
          <m:e>
            <m:r>
              <w:rPr>
                <w:rFonts w:ascii="Cambria Math" w:hAnsi="Cambria Math"/>
                <w:sz w:val="24"/>
                <w:szCs w:val="24"/>
                <w:vertAlign w:val="superscript"/>
              </w:rPr>
              <m:t>I</m:t>
            </m:r>
          </m:e>
          <m:sub>
            <m:r>
              <w:rPr>
                <w:rFonts w:ascii="Cambria Math" w:hAnsi="Cambria Math"/>
                <w:sz w:val="24"/>
                <w:szCs w:val="24"/>
                <w:vertAlign w:val="superscript"/>
              </w:rPr>
              <m:t>w</m:t>
            </m:r>
          </m:sub>
        </m:sSub>
        <m:r>
          <w:rPr>
            <w:rFonts w:ascii="Cambria Math" w:hAnsi="Sylfaen"/>
            <w:sz w:val="24"/>
            <w:szCs w:val="24"/>
            <w:vertAlign w:val="superscript"/>
          </w:rPr>
          <m:t>=</m:t>
        </m:r>
        <m:f>
          <m:fPr>
            <m:ctrlPr>
              <w:rPr>
                <w:rFonts w:ascii="Cambria Math" w:hAnsi="Sylfaen"/>
                <w:i/>
                <w:sz w:val="24"/>
                <w:szCs w:val="24"/>
                <w:vertAlign w:val="superscript"/>
              </w:rPr>
            </m:ctrlPr>
          </m:fPr>
          <m:num>
            <m:d>
              <m:dPr>
                <m:begChr m:val="["/>
                <m:endChr m:val="]"/>
                <m:ctrlPr>
                  <w:rPr>
                    <w:rFonts w:ascii="Cambria Math" w:hAnsi="Sylfaen"/>
                    <w:i/>
                    <w:sz w:val="24"/>
                    <w:szCs w:val="24"/>
                    <w:vertAlign w:val="superscript"/>
                  </w:rPr>
                </m:ctrlPr>
              </m:dPr>
              <m:e>
                <m:r>
                  <w:rPr>
                    <w:rFonts w:ascii="Cambria Math" w:hAnsi="Sylfaen"/>
                    <w:sz w:val="24"/>
                    <w:szCs w:val="24"/>
                    <w:vertAlign w:val="superscript"/>
                  </w:rPr>
                  <m:t>3</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I</m:t>
                    </m:r>
                  </m:e>
                  <m:sub>
                    <m:r>
                      <w:rPr>
                        <w:rFonts w:ascii="Cambria Math" w:hAnsi="Cambria Math"/>
                        <w:sz w:val="24"/>
                        <w:szCs w:val="24"/>
                        <w:vertAlign w:val="superscript"/>
                      </w:rPr>
                      <m:t>w</m:t>
                    </m:r>
                    <m:r>
                      <w:rPr>
                        <w:rFonts w:ascii="Cambria Math" w:hAnsi="Sylfaen"/>
                        <w:sz w:val="24"/>
                        <w:szCs w:val="24"/>
                        <w:vertAlign w:val="superscript"/>
                      </w:rPr>
                      <m:t>,60</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I</m:t>
                    </m:r>
                  </m:e>
                  <m:sub>
                    <m:r>
                      <w:rPr>
                        <w:rFonts w:ascii="Cambria Math" w:hAnsi="Cambria Math"/>
                        <w:sz w:val="24"/>
                        <w:szCs w:val="24"/>
                        <w:vertAlign w:val="superscript"/>
                      </w:rPr>
                      <m:t>w</m:t>
                    </m:r>
                    <m:r>
                      <w:rPr>
                        <w:rFonts w:ascii="Cambria Math" w:hAnsi="Sylfaen"/>
                        <w:sz w:val="24"/>
                        <w:szCs w:val="24"/>
                        <w:vertAlign w:val="superscript"/>
                      </w:rPr>
                      <m:t>,60</m:t>
                    </m:r>
                    <m:r>
                      <m:rPr>
                        <m:sty m:val="p"/>
                      </m:rPr>
                      <w:rPr>
                        <w:rFonts w:ascii="Sylfaen" w:hAnsi="Sylfaen"/>
                        <w:sz w:val="24"/>
                        <w:szCs w:val="24"/>
                        <w:u w:val="single"/>
                      </w:rPr>
                      <m:t>½</m:t>
                    </m:r>
                  </m:sub>
                </m:sSub>
                <m:r>
                  <w:rPr>
                    <w:rFonts w:ascii="Cambria Math" w:hAnsi="Sylfaen"/>
                    <w:sz w:val="24"/>
                    <w:szCs w:val="24"/>
                    <w:vertAlign w:val="superscript"/>
                  </w:rPr>
                  <m:t>+2</m:t>
                </m:r>
                <m:r>
                  <w:rPr>
                    <w:rFonts w:ascii="Sylfaen" w:hAnsi="Sylfaen"/>
                    <w:sz w:val="24"/>
                    <w:szCs w:val="24"/>
                  </w:rPr>
                  <m:t>×</m:t>
                </m:r>
                <m:sSub>
                  <m:sSubPr>
                    <m:ctrlPr>
                      <w:rPr>
                        <w:rFonts w:ascii="Cambria Math" w:hAnsi="Sylfaen"/>
                        <w:i/>
                        <w:sz w:val="24"/>
                        <w:szCs w:val="24"/>
                        <w:vertAlign w:val="superscript"/>
                      </w:rPr>
                    </m:ctrlPr>
                  </m:sSubPr>
                  <m:e>
                    <m:r>
                      <w:rPr>
                        <w:rFonts w:ascii="Cambria Math" w:hAnsi="Cambria Math"/>
                        <w:sz w:val="24"/>
                        <w:szCs w:val="24"/>
                        <w:vertAlign w:val="superscript"/>
                      </w:rPr>
                      <m:t>I</m:t>
                    </m:r>
                  </m:e>
                  <m:sub>
                    <m:r>
                      <w:rPr>
                        <w:rFonts w:ascii="Cambria Math" w:hAnsi="Cambria Math"/>
                        <w:sz w:val="24"/>
                        <w:szCs w:val="24"/>
                        <w:vertAlign w:val="superscript"/>
                      </w:rPr>
                      <m:t>w</m:t>
                    </m:r>
                    <m:r>
                      <w:rPr>
                        <w:rFonts w:ascii="Cambria Math" w:hAnsi="Sylfaen"/>
                        <w:sz w:val="24"/>
                        <w:szCs w:val="24"/>
                        <w:vertAlign w:val="superscript"/>
                      </w:rPr>
                      <m:t>,40</m:t>
                    </m:r>
                    <m:r>
                      <m:rPr>
                        <m:sty m:val="p"/>
                      </m:rPr>
                      <w:rPr>
                        <w:rFonts w:ascii="Sylfaen" w:hAnsi="Sylfaen"/>
                        <w:sz w:val="24"/>
                        <w:szCs w:val="24"/>
                        <w:u w:val="single"/>
                      </w:rPr>
                      <m:t>½</m:t>
                    </m:r>
                  </m:sub>
                </m:sSub>
              </m:e>
            </m:d>
          </m:num>
          <m:den>
            <m:r>
              <w:rPr>
                <w:rFonts w:ascii="Cambria Math" w:hAnsi="Sylfaen"/>
                <w:sz w:val="24"/>
                <w:szCs w:val="24"/>
                <w:vertAlign w:val="superscript"/>
              </w:rPr>
              <m:t>7</m:t>
            </m:r>
          </m:den>
        </m:f>
      </m:oMath>
      <w:r w:rsidR="00CA27E3" w:rsidRPr="00CA27E3">
        <w:rPr>
          <w:rFonts w:ascii="Sylfaen" w:hAnsi="Sylfaen"/>
          <w:sz w:val="24"/>
          <w:szCs w:val="24"/>
        </w:rPr>
        <w:t>,</w:t>
      </w:r>
    </w:p>
    <w:p w14:paraId="11A1FFD6" w14:textId="77777777" w:rsidR="00F84DC6" w:rsidRPr="00DC5495" w:rsidRDefault="00F84DC6" w:rsidP="00CA27E3">
      <w:pPr>
        <w:pStyle w:val="1"/>
        <w:shd w:val="clear" w:color="auto" w:fill="auto"/>
        <w:spacing w:after="160"/>
        <w:ind w:firstLine="567"/>
        <w:jc w:val="both"/>
        <w:rPr>
          <w:rFonts w:ascii="Sylfaen" w:hAnsi="Sylfaen"/>
          <w:sz w:val="24"/>
          <w:szCs w:val="24"/>
        </w:rPr>
      </w:pPr>
    </w:p>
    <w:p w14:paraId="0EE0824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55F3510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I</w:t>
      </w:r>
      <w:r w:rsidRPr="00CA27E3">
        <w:rPr>
          <w:rFonts w:ascii="Sylfaen" w:hAnsi="Sylfaen"/>
          <w:sz w:val="24"/>
          <w:szCs w:val="24"/>
          <w:vertAlign w:val="subscript"/>
        </w:rPr>
        <w:t>w,60</w:t>
      </w:r>
      <w:r w:rsidRPr="00CA27E3">
        <w:rPr>
          <w:rFonts w:ascii="Sylfaen" w:hAnsi="Sylfaen"/>
          <w:sz w:val="24"/>
          <w:szCs w:val="24"/>
        </w:rPr>
        <w:t>-ն՝ լրիվ բեռնվածքի դեպքում «Բամբակ 60 °C» լվացքի ստանդարտ ծրագրի համար լվացքի արդյունավետության ցուցիչն է.</w:t>
      </w:r>
    </w:p>
    <w:p w14:paraId="7277AAC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I</w:t>
      </w:r>
      <w:r w:rsidRPr="00CA27E3">
        <w:rPr>
          <w:rFonts w:ascii="Sylfaen" w:hAnsi="Sylfaen"/>
          <w:sz w:val="24"/>
          <w:szCs w:val="24"/>
          <w:vertAlign w:val="subscript"/>
        </w:rPr>
        <w:t>w,60½</w:t>
      </w:r>
      <w:r w:rsidRPr="00CA27E3">
        <w:rPr>
          <w:rFonts w:ascii="Sylfaen" w:hAnsi="Sylfaen"/>
          <w:sz w:val="24"/>
          <w:szCs w:val="24"/>
        </w:rPr>
        <w:t>-ն՝ մասնակի բեռնվածքի դեպքում «Բամբակ 60 °C» լվացքի ստանդարտ ծրագրի համար լվացքի արդյունավետության ցուցիչն է.</w:t>
      </w:r>
    </w:p>
    <w:p w14:paraId="73E00B4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I</w:t>
      </w:r>
      <w:r w:rsidRPr="00CA27E3">
        <w:rPr>
          <w:rFonts w:ascii="Sylfaen" w:hAnsi="Sylfaen"/>
          <w:sz w:val="24"/>
          <w:szCs w:val="24"/>
          <w:vertAlign w:val="subscript"/>
        </w:rPr>
        <w:t>w,40½</w:t>
      </w:r>
      <w:r w:rsidRPr="00CA27E3">
        <w:rPr>
          <w:rFonts w:ascii="Sylfaen" w:hAnsi="Sylfaen"/>
          <w:sz w:val="24"/>
          <w:szCs w:val="24"/>
        </w:rPr>
        <w:t>-ն՝ մասնակի բեռնվածքի դեպքում «Բամբակ 40 °C» լվացքի ստանդարտ ծրագրի համար լվացքի արդյունավետության ցուցիչն է:</w:t>
      </w:r>
    </w:p>
    <w:p w14:paraId="751CB0D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Բամբակե տեքստիլ արտադրատեսակների լվացքի յուրաքանչյուր ստանդարտ ծրագրի համար լվացքի արդյունավետության ցուցիչը (I</w:t>
      </w:r>
      <w:r w:rsidRPr="00CA27E3">
        <w:rPr>
          <w:rFonts w:ascii="Sylfaen" w:hAnsi="Sylfaen"/>
          <w:sz w:val="24"/>
          <w:szCs w:val="24"/>
          <w:vertAlign w:val="subscript"/>
        </w:rPr>
        <w:t>w,p</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 xml:space="preserve">ով՝ </w:t>
      </w:r>
    </w:p>
    <w:p w14:paraId="68B8845D" w14:textId="77777777" w:rsidR="00CA27E3" w:rsidRPr="00CA27E3" w:rsidRDefault="00000000" w:rsidP="00CA27E3">
      <w:pPr>
        <w:pStyle w:val="1"/>
        <w:shd w:val="clear" w:color="auto" w:fill="auto"/>
        <w:spacing w:after="160"/>
        <w:ind w:firstLine="720"/>
        <w:jc w:val="both"/>
        <w:rPr>
          <w:rFonts w:ascii="Sylfaen" w:hAnsi="Sylfaen"/>
          <w:sz w:val="24"/>
          <w:szCs w:val="24"/>
          <w:vertAlign w:val="subscript"/>
        </w:rPr>
      </w:pPr>
      <m:oMathPara>
        <m:oMath>
          <m:sSub>
            <m:sSubPr>
              <m:ctrlPr>
                <w:rPr>
                  <w:rFonts w:ascii="Cambria Math" w:hAnsi="Sylfaen"/>
                  <w:i/>
                  <w:sz w:val="24"/>
                  <w:szCs w:val="24"/>
                  <w:vertAlign w:val="subscript"/>
                </w:rPr>
              </m:ctrlPr>
            </m:sSubPr>
            <m:e>
              <m:r>
                <w:rPr>
                  <w:rFonts w:ascii="Cambria Math" w:hAnsi="Cambria Math"/>
                  <w:sz w:val="24"/>
                  <w:szCs w:val="24"/>
                  <w:vertAlign w:val="subscript"/>
                </w:rPr>
                <m:t>I</m:t>
              </m:r>
            </m:e>
            <m:sub>
              <m:r>
                <w:rPr>
                  <w:rFonts w:ascii="Cambria Math" w:hAnsi="Cambria Math"/>
                  <w:sz w:val="24"/>
                  <w:szCs w:val="24"/>
                  <w:vertAlign w:val="subscript"/>
                </w:rPr>
                <m:t>W</m:t>
              </m:r>
              <m:r>
                <w:rPr>
                  <w:rFonts w:ascii="Cambria Math" w:hAnsi="Sylfaen"/>
                  <w:sz w:val="24"/>
                  <w:szCs w:val="24"/>
                  <w:vertAlign w:val="subscript"/>
                </w:rPr>
                <m:t>,</m:t>
              </m:r>
              <m:r>
                <w:rPr>
                  <w:rFonts w:ascii="Cambria Math" w:hAnsi="Cambria Math"/>
                  <w:sz w:val="24"/>
                  <w:szCs w:val="24"/>
                  <w:vertAlign w:val="subscript"/>
                </w:rPr>
                <m:t>P</m:t>
              </m:r>
            </m:sub>
          </m:sSub>
          <m:r>
            <w:rPr>
              <w:rFonts w:ascii="Cambria Math" w:hAnsi="Sylfaen"/>
              <w:sz w:val="24"/>
              <w:szCs w:val="24"/>
              <w:vertAlign w:val="subscript"/>
            </w:rPr>
            <m:t>=</m:t>
          </m:r>
          <m:f>
            <m:fPr>
              <m:ctrlPr>
                <w:rPr>
                  <w:rFonts w:ascii="Cambria Math" w:hAnsi="Sylfaen"/>
                  <w:i/>
                  <w:sz w:val="24"/>
                  <w:szCs w:val="24"/>
                  <w:vertAlign w:val="subscript"/>
                </w:rPr>
              </m:ctrlPr>
            </m:fPr>
            <m:num>
              <m:r>
                <w:rPr>
                  <w:rFonts w:ascii="Cambria Math" w:hAnsi="Sylfaen"/>
                  <w:sz w:val="24"/>
                  <w:szCs w:val="24"/>
                  <w:vertAlign w:val="subscript"/>
                </w:rPr>
                <m:t>1</m:t>
              </m:r>
            </m:num>
            <m:den>
              <m:r>
                <w:rPr>
                  <w:rFonts w:ascii="Cambria Math" w:hAnsi="Cambria Math"/>
                  <w:sz w:val="24"/>
                  <w:szCs w:val="24"/>
                  <w:vertAlign w:val="subscript"/>
                </w:rPr>
                <m:t>n</m:t>
              </m:r>
            </m:den>
          </m:f>
          <m:r>
            <w:rPr>
              <w:rFonts w:ascii="Sylfaen" w:hAnsi="Sylfaen"/>
              <w:sz w:val="24"/>
              <w:szCs w:val="24"/>
              <w:lang w:val="en-US"/>
            </w:rPr>
            <m:t>×</m:t>
          </m:r>
          <m:nary>
            <m:naryPr>
              <m:chr m:val="∑"/>
              <m:limLoc m:val="undOvr"/>
              <m:ctrlPr>
                <w:rPr>
                  <w:rFonts w:ascii="Cambria Math" w:hAnsi="Sylfaen"/>
                  <w:i/>
                  <w:sz w:val="24"/>
                  <w:szCs w:val="24"/>
                  <w:vertAlign w:val="subscript"/>
                </w:rPr>
              </m:ctrlPr>
            </m:naryPr>
            <m:sub>
              <m:r>
                <w:rPr>
                  <w:rFonts w:ascii="Cambria Math" w:hAnsi="Cambria Math"/>
                  <w:sz w:val="24"/>
                  <w:szCs w:val="24"/>
                  <w:vertAlign w:val="subscript"/>
                </w:rPr>
                <m:t>i</m:t>
              </m:r>
              <m:r>
                <w:rPr>
                  <w:rFonts w:ascii="Cambria Math" w:hAnsi="Sylfaen"/>
                  <w:sz w:val="24"/>
                  <w:szCs w:val="24"/>
                  <w:vertAlign w:val="subscript"/>
                </w:rPr>
                <m:t>=1</m:t>
              </m:r>
            </m:sub>
            <m:sup>
              <m:r>
                <w:rPr>
                  <w:rFonts w:ascii="Cambria Math" w:hAnsi="Cambria Math"/>
                  <w:sz w:val="24"/>
                  <w:szCs w:val="24"/>
                  <w:vertAlign w:val="subscript"/>
                </w:rPr>
                <m:t>n</m:t>
              </m:r>
            </m:sup>
            <m:e>
              <m:d>
                <m:dPr>
                  <m:ctrlPr>
                    <w:rPr>
                      <w:rFonts w:ascii="Cambria Math" w:hAnsi="Sylfaen"/>
                      <w:i/>
                      <w:sz w:val="24"/>
                      <w:szCs w:val="24"/>
                      <w:vertAlign w:val="subscript"/>
                    </w:rPr>
                  </m:ctrlPr>
                </m:dPr>
                <m:e>
                  <m:f>
                    <m:fPr>
                      <m:ctrlPr>
                        <w:rPr>
                          <w:rFonts w:ascii="Cambria Math" w:hAnsi="Sylfaen"/>
                          <w:i/>
                          <w:sz w:val="24"/>
                          <w:szCs w:val="24"/>
                          <w:vertAlign w:val="subscript"/>
                        </w:rPr>
                      </m:ctrlPr>
                    </m:fPr>
                    <m:num>
                      <m:sSub>
                        <m:sSubPr>
                          <m:ctrlPr>
                            <w:rPr>
                              <w:rFonts w:ascii="Cambria Math" w:hAnsi="Sylfaen"/>
                              <w:i/>
                              <w:sz w:val="24"/>
                              <w:szCs w:val="24"/>
                              <w:vertAlign w:val="subscript"/>
                            </w:rPr>
                          </m:ctrlPr>
                        </m:sSubPr>
                        <m:e>
                          <m:r>
                            <w:rPr>
                              <w:rFonts w:ascii="Cambria Math" w:hAnsi="Cambria Math"/>
                              <w:sz w:val="24"/>
                              <w:szCs w:val="24"/>
                              <w:vertAlign w:val="subscript"/>
                            </w:rPr>
                            <m:t>W</m:t>
                          </m:r>
                        </m:e>
                        <m:sub>
                          <m:r>
                            <w:rPr>
                              <w:rFonts w:ascii="Cambria Math" w:hAnsi="Cambria Math"/>
                              <w:sz w:val="24"/>
                              <w:szCs w:val="24"/>
                              <w:vertAlign w:val="subscript"/>
                            </w:rPr>
                            <m:t>T</m:t>
                          </m:r>
                          <m:r>
                            <w:rPr>
                              <w:rFonts w:ascii="Cambria Math" w:hAnsi="Sylfaen"/>
                              <w:sz w:val="24"/>
                              <w:szCs w:val="24"/>
                              <w:vertAlign w:val="subscript"/>
                            </w:rPr>
                            <m:t>,</m:t>
                          </m:r>
                          <m:r>
                            <w:rPr>
                              <w:rFonts w:ascii="Cambria Math" w:hAnsi="Cambria Math"/>
                              <w:sz w:val="24"/>
                              <w:szCs w:val="24"/>
                              <w:vertAlign w:val="subscript"/>
                            </w:rPr>
                            <m:t>i</m:t>
                          </m:r>
                        </m:sub>
                      </m:sSub>
                    </m:num>
                    <m:den>
                      <m:sSub>
                        <m:sSubPr>
                          <m:ctrlPr>
                            <w:rPr>
                              <w:rFonts w:ascii="Cambria Math" w:hAnsi="Sylfaen"/>
                              <w:i/>
                              <w:sz w:val="24"/>
                              <w:szCs w:val="24"/>
                              <w:vertAlign w:val="subscript"/>
                            </w:rPr>
                          </m:ctrlPr>
                        </m:sSubPr>
                        <m:e>
                          <m:r>
                            <w:rPr>
                              <w:rFonts w:ascii="Cambria Math" w:hAnsi="Cambria Math"/>
                              <w:sz w:val="24"/>
                              <w:szCs w:val="24"/>
                              <w:vertAlign w:val="subscript"/>
                            </w:rPr>
                            <m:t>W</m:t>
                          </m:r>
                        </m:e>
                        <m:sub>
                          <m:r>
                            <w:rPr>
                              <w:rFonts w:ascii="Cambria Math" w:hAnsi="Cambria Math"/>
                              <w:sz w:val="24"/>
                              <w:szCs w:val="24"/>
                              <w:vertAlign w:val="subscript"/>
                            </w:rPr>
                            <m:t>R</m:t>
                          </m:r>
                          <m:r>
                            <w:rPr>
                              <w:rFonts w:ascii="Cambria Math" w:hAnsi="Sylfaen"/>
                              <w:sz w:val="24"/>
                              <w:szCs w:val="24"/>
                              <w:vertAlign w:val="subscript"/>
                            </w:rPr>
                            <m:t>,</m:t>
                          </m:r>
                          <m:r>
                            <w:rPr>
                              <w:rFonts w:ascii="Cambria Math" w:hAnsi="Cambria Math"/>
                              <w:sz w:val="24"/>
                              <w:szCs w:val="24"/>
                              <w:vertAlign w:val="subscript"/>
                            </w:rPr>
                            <m:t>a</m:t>
                          </m:r>
                        </m:sub>
                      </m:sSub>
                    </m:den>
                  </m:f>
                </m:e>
              </m:d>
            </m:e>
          </m:nary>
          <m:r>
            <w:rPr>
              <w:rFonts w:ascii="Cambria Math" w:hAnsi="Sylfaen"/>
              <w:sz w:val="24"/>
              <w:szCs w:val="24"/>
              <w:vertAlign w:val="subscript"/>
            </w:rPr>
            <m:t>,</m:t>
          </m:r>
        </m:oMath>
      </m:oMathPara>
    </w:p>
    <w:p w14:paraId="09BACB6A" w14:textId="77777777" w:rsidR="009E687F" w:rsidRDefault="009E687F" w:rsidP="00CA27E3">
      <w:pPr>
        <w:pStyle w:val="1"/>
        <w:shd w:val="clear" w:color="auto" w:fill="auto"/>
        <w:spacing w:after="160"/>
        <w:ind w:firstLine="567"/>
        <w:jc w:val="both"/>
        <w:rPr>
          <w:rFonts w:ascii="Sylfaen" w:hAnsi="Sylfaen"/>
          <w:sz w:val="24"/>
          <w:szCs w:val="24"/>
          <w:lang w:val="en-US"/>
        </w:rPr>
      </w:pPr>
    </w:p>
    <w:p w14:paraId="5E1A5D0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որտեղ՝</w:t>
      </w:r>
    </w:p>
    <w:p w14:paraId="346EAB6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T,i</w:t>
      </w:r>
      <w:r w:rsidRPr="00CA27E3">
        <w:rPr>
          <w:rFonts w:ascii="Sylfaen" w:hAnsi="Sylfaen"/>
          <w:sz w:val="24"/>
          <w:szCs w:val="24"/>
        </w:rPr>
        <w:t>-ն՝ մեկ ցիկլի (i ցիկլի) ընթացքում լվացքի մեքենայի փորձարկման ժամանակ լվացքի արդյունավետությունն է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14B1950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R,a</w:t>
      </w:r>
      <w:r w:rsidRPr="00CA27E3">
        <w:rPr>
          <w:rFonts w:ascii="Sylfaen" w:hAnsi="Sylfaen"/>
          <w:sz w:val="24"/>
          <w:szCs w:val="24"/>
        </w:rPr>
        <w:t>-ն՝ չափանմուշային լվացքի մեքենայի լվացքի միջին արդյունավետությունն է.</w:t>
      </w:r>
    </w:p>
    <w:p w14:paraId="7BAF4A3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n-ն՝ փորձարկումների ցիկլերի քանակն է, որը պետք է լինի՝</w:t>
      </w:r>
    </w:p>
    <w:p w14:paraId="0EBF18E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առնվազն 3՝ լրիվ բեռնվածքի դեպքում «Բամբակ 60 °C» լվացքի ստանդարտ ծրագրի համար. </w:t>
      </w:r>
    </w:p>
    <w:p w14:paraId="542BA97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առնվազն 2՝ մասնակի բեռնվածքի դեպքում «Բամբակ 60 °C» լվացքի ստանդարտ ծրագրի համար.</w:t>
      </w:r>
    </w:p>
    <w:p w14:paraId="2A10252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առնվազն 2՝ մասնակի բեռնվածքի դեպքում «Բամբակ 40 °C» լվացքի ստանդարտ ծրագրի համար:</w:t>
      </w:r>
    </w:p>
    <w:p w14:paraId="486D04A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Լվացքի արդյունավետությունը (W) փորձարկումների համապատասխան ցիկլի ավարտից հետո թեստային շերտով որոշվող միջին մեծությունն է:</w:t>
      </w:r>
    </w:p>
    <w:p w14:paraId="195783A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6. Ջրի ծախսը (W</w:t>
      </w:r>
      <w:r w:rsidRPr="00CA27E3">
        <w:rPr>
          <w:rFonts w:ascii="Sylfaen" w:hAnsi="Sylfaen"/>
          <w:sz w:val="24"/>
          <w:szCs w:val="24"/>
          <w:vertAlign w:val="subscript"/>
        </w:rPr>
        <w:t>t</w:t>
      </w:r>
      <w:r w:rsidRPr="00CA27E3">
        <w:rPr>
          <w:rFonts w:ascii="Sylfaen" w:hAnsi="Sylfaen"/>
          <w:sz w:val="24"/>
          <w:szCs w:val="24"/>
        </w:rPr>
        <w:t>) ընդունվում է՝ լրիվ բեռնվածքի դեպքում «Բամբակ 60 °C» ստանդարտ ծրագրով լվացքի դեպքում ջրի ծախսին (W</w:t>
      </w:r>
      <w:r w:rsidRPr="00CA27E3">
        <w:rPr>
          <w:rFonts w:ascii="Sylfaen" w:hAnsi="Sylfaen"/>
          <w:sz w:val="24"/>
          <w:szCs w:val="24"/>
          <w:vertAlign w:val="subscript"/>
        </w:rPr>
        <w:t>t</w:t>
      </w:r>
      <w:r w:rsidRPr="00CA27E3">
        <w:rPr>
          <w:rFonts w:ascii="Sylfaen" w:hAnsi="Sylfaen"/>
          <w:sz w:val="24"/>
          <w:szCs w:val="24"/>
        </w:rPr>
        <w:t>,</w:t>
      </w:r>
      <w:r w:rsidRPr="00CA27E3">
        <w:rPr>
          <w:rFonts w:ascii="Sylfaen" w:hAnsi="Sylfaen"/>
          <w:sz w:val="24"/>
          <w:szCs w:val="24"/>
          <w:vertAlign w:val="subscript"/>
        </w:rPr>
        <w:t>60</w:t>
      </w:r>
      <w:r w:rsidRPr="00CA27E3">
        <w:rPr>
          <w:rFonts w:ascii="Sylfaen" w:hAnsi="Sylfaen"/>
          <w:sz w:val="24"/>
          <w:szCs w:val="24"/>
        </w:rPr>
        <w:t xml:space="preserve">) հավասար </w:t>
      </w:r>
      <w:r>
        <w:rPr>
          <w:rFonts w:ascii="Sylfaen" w:hAnsi="Sylfaen"/>
          <w:sz w:val="24"/>
          <w:szCs w:val="24"/>
        </w:rPr>
        <w:t>եւ</w:t>
      </w:r>
      <w:r w:rsidRPr="00CA27E3">
        <w:rPr>
          <w:rFonts w:ascii="Sylfaen" w:hAnsi="Sylfaen"/>
          <w:sz w:val="24"/>
          <w:szCs w:val="24"/>
        </w:rPr>
        <w:t xml:space="preserve">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1 տասնորդական նիշ կլորացմամբ)՝</w:t>
      </w:r>
    </w:p>
    <w:p w14:paraId="4D639954"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t</w:t>
      </w:r>
      <w:r w:rsidRPr="00CA27E3">
        <w:rPr>
          <w:rFonts w:ascii="Sylfaen" w:hAnsi="Sylfaen"/>
          <w:sz w:val="24"/>
          <w:szCs w:val="24"/>
        </w:rPr>
        <w:t xml:space="preserve"> = W</w:t>
      </w:r>
      <w:r w:rsidRPr="00CA27E3">
        <w:rPr>
          <w:rFonts w:ascii="Sylfaen" w:hAnsi="Sylfaen"/>
          <w:sz w:val="24"/>
          <w:szCs w:val="24"/>
          <w:vertAlign w:val="subscript"/>
        </w:rPr>
        <w:t>t</w:t>
      </w:r>
      <w:r w:rsidRPr="00CA27E3">
        <w:rPr>
          <w:rFonts w:ascii="Sylfaen" w:hAnsi="Sylfaen"/>
          <w:sz w:val="24"/>
          <w:szCs w:val="24"/>
        </w:rPr>
        <w:t>,60:</w:t>
      </w:r>
    </w:p>
    <w:p w14:paraId="00FE13AC" w14:textId="77777777" w:rsidR="00066F60" w:rsidRDefault="00066F60" w:rsidP="00CA27E3">
      <w:pPr>
        <w:pStyle w:val="1"/>
        <w:shd w:val="clear" w:color="auto" w:fill="auto"/>
        <w:spacing w:after="160"/>
        <w:ind w:firstLine="567"/>
        <w:jc w:val="both"/>
        <w:rPr>
          <w:rFonts w:ascii="Sylfaen" w:hAnsi="Sylfaen"/>
          <w:sz w:val="24"/>
          <w:szCs w:val="24"/>
        </w:rPr>
      </w:pPr>
    </w:p>
    <w:p w14:paraId="2E454D08"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7.</w:t>
      </w:r>
      <w:r w:rsidR="00F84DC6" w:rsidRPr="00F84DC6">
        <w:rPr>
          <w:rFonts w:ascii="Sylfaen" w:hAnsi="Sylfaen"/>
          <w:sz w:val="24"/>
          <w:szCs w:val="24"/>
        </w:rPr>
        <w:tab/>
      </w:r>
      <w:r w:rsidRPr="00CA27E3">
        <w:rPr>
          <w:rFonts w:ascii="Sylfaen" w:hAnsi="Sylfaen"/>
          <w:sz w:val="24"/>
          <w:szCs w:val="24"/>
        </w:rPr>
        <w:t>Մնացորդային խոնավության պարունակությունը յուրաքանչյուր ծրագրի համար հաշվարկվում է տոկոսներով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33A8F171"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8.</w:t>
      </w:r>
      <w:r w:rsidR="00F84DC6" w:rsidRPr="00F84DC6">
        <w:rPr>
          <w:rFonts w:ascii="Sylfaen" w:hAnsi="Sylfaen"/>
          <w:sz w:val="24"/>
          <w:szCs w:val="24"/>
        </w:rPr>
        <w:tab/>
      </w:r>
      <w:r w:rsidRPr="00CA27E3">
        <w:rPr>
          <w:rFonts w:ascii="Sylfaen" w:hAnsi="Sylfaen"/>
          <w:sz w:val="24"/>
          <w:szCs w:val="24"/>
        </w:rPr>
        <w:t>Լվացքի մեքենաները պետք է համապատասխանեն հետ</w:t>
      </w:r>
      <w:r>
        <w:rPr>
          <w:rFonts w:ascii="Sylfaen" w:hAnsi="Sylfaen"/>
          <w:sz w:val="24"/>
          <w:szCs w:val="24"/>
        </w:rPr>
        <w:t>եւ</w:t>
      </w:r>
      <w:r w:rsidRPr="00CA27E3">
        <w:rPr>
          <w:rFonts w:ascii="Sylfaen" w:hAnsi="Sylfaen"/>
          <w:sz w:val="24"/>
          <w:szCs w:val="24"/>
        </w:rPr>
        <w:t>յալ պահանջներին՝</w:t>
      </w:r>
    </w:p>
    <w:p w14:paraId="7343509B"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F84DC6" w:rsidRPr="00DC5495">
        <w:rPr>
          <w:rFonts w:ascii="Sylfaen" w:hAnsi="Sylfaen"/>
          <w:sz w:val="24"/>
          <w:szCs w:val="24"/>
        </w:rPr>
        <w:tab/>
      </w:r>
      <w:r w:rsidRPr="00CA27E3">
        <w:rPr>
          <w:rFonts w:ascii="Sylfaen" w:hAnsi="Sylfaen"/>
          <w:sz w:val="24"/>
          <w:szCs w:val="24"/>
        </w:rPr>
        <w:t>2020 թվականի սեպտեմբերի 1-ից՝</w:t>
      </w:r>
    </w:p>
    <w:p w14:paraId="7878369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 xml:space="preserve">4 կգ </w:t>
      </w:r>
      <w:r>
        <w:rPr>
          <w:rFonts w:ascii="Sylfaen" w:hAnsi="Sylfaen"/>
          <w:sz w:val="24"/>
          <w:szCs w:val="24"/>
        </w:rPr>
        <w:t>եւ</w:t>
      </w:r>
      <w:r w:rsidRPr="00CA27E3">
        <w:rPr>
          <w:rFonts w:ascii="Sylfaen" w:hAnsi="Sylfaen"/>
          <w:sz w:val="24"/>
          <w:szCs w:val="24"/>
        </w:rPr>
        <w:t xml:space="preserve"> ավելի անվանական բեռնվածքով լվացքի մեքենաների էներգետիկ արդյունավետության ցուցիչը (EEI) պետք է լինի 59-ից պակաս, իսկ 4 կգ-ից պակաս անվանական բեռնվածքով լվացքի մեքենաներինը՝ 68-ից պակաս. </w:t>
      </w:r>
    </w:p>
    <w:p w14:paraId="36D427A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3 կգ-ից ավելի անվանական բեռնվածքով լվացքի մեքենաների լվացքի արդյունավետության ցուցիչը (I</w:t>
      </w:r>
      <w:r w:rsidRPr="00CA27E3">
        <w:rPr>
          <w:rFonts w:ascii="Sylfaen" w:hAnsi="Sylfaen"/>
          <w:sz w:val="24"/>
          <w:szCs w:val="24"/>
          <w:vertAlign w:val="subscript"/>
        </w:rPr>
        <w:t>w</w:t>
      </w:r>
      <w:r w:rsidRPr="00CA27E3">
        <w:rPr>
          <w:rFonts w:ascii="Sylfaen" w:hAnsi="Sylfaen"/>
          <w:sz w:val="24"/>
          <w:szCs w:val="24"/>
        </w:rPr>
        <w:t>) պետք է լինի 1,03-ից ավելի, իսկ 3 կգ-ից ոչ ավելի անվանական բեռնվածքով լվացքի մեքենաներինը՝ 1,00-ից ավելի.</w:t>
      </w:r>
    </w:p>
    <w:p w14:paraId="040162C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լվացքի մեքենաներում պետք է նախատեսվի ծրագրի ընտրության համար սարքվածքի վրա </w:t>
      </w:r>
      <w:r>
        <w:rPr>
          <w:rFonts w:ascii="Sylfaen" w:hAnsi="Sylfaen"/>
          <w:sz w:val="24"/>
          <w:szCs w:val="24"/>
        </w:rPr>
        <w:t>եւ</w:t>
      </w:r>
      <w:r w:rsidRPr="00CA27E3">
        <w:rPr>
          <w:rFonts w:ascii="Sylfaen" w:hAnsi="Sylfaen"/>
          <w:sz w:val="24"/>
          <w:szCs w:val="24"/>
        </w:rPr>
        <w:t xml:space="preserve"> (կամ) լվացքի մեքենայի ցուցարկչի (առկայության դեպքում) վրա համապատասխան ծրագրի նշմամբ 20 °C ջերմաստիճանում լվացքի հնարավորություն.</w:t>
      </w:r>
    </w:p>
    <w:p w14:paraId="4436EF24" w14:textId="77777777" w:rsid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լվացքի մեքենայի ջրի ծախսը (W</w:t>
      </w:r>
      <w:r w:rsidRPr="00CA27E3">
        <w:rPr>
          <w:rFonts w:ascii="Sylfaen" w:hAnsi="Sylfaen"/>
          <w:sz w:val="24"/>
          <w:szCs w:val="24"/>
          <w:vertAlign w:val="subscript"/>
        </w:rPr>
        <w:t>t</w:t>
      </w:r>
      <w:r w:rsidRPr="00CA27E3">
        <w:rPr>
          <w:rFonts w:ascii="Sylfaen" w:hAnsi="Sylfaen"/>
          <w:sz w:val="24"/>
          <w:szCs w:val="24"/>
        </w:rPr>
        <w:t>)՝ լիտրերով պետք է համապատասխանի հետ</w:t>
      </w:r>
      <w:r>
        <w:rPr>
          <w:rFonts w:ascii="Sylfaen" w:hAnsi="Sylfaen"/>
          <w:sz w:val="24"/>
          <w:szCs w:val="24"/>
        </w:rPr>
        <w:t>եւ</w:t>
      </w:r>
      <w:r w:rsidRPr="00CA27E3">
        <w:rPr>
          <w:rFonts w:ascii="Sylfaen" w:hAnsi="Sylfaen"/>
          <w:sz w:val="24"/>
          <w:szCs w:val="24"/>
        </w:rPr>
        <w:t>յալ անհավասարությանը՝</w:t>
      </w:r>
    </w:p>
    <w:p w14:paraId="0A810E2D"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 xml:space="preserve">t </w:t>
      </w:r>
      <w:r w:rsidRPr="00CA27E3">
        <w:rPr>
          <w:rFonts w:ascii="Sylfaen" w:hAnsi="Sylfaen"/>
          <w:sz w:val="24"/>
          <w:szCs w:val="24"/>
        </w:rPr>
        <w:t>≤ 5∙c + 35,</w:t>
      </w:r>
    </w:p>
    <w:p w14:paraId="14097C83" w14:textId="77777777" w:rsidR="00F84DC6" w:rsidRPr="00DC5495" w:rsidRDefault="00F84DC6" w:rsidP="00CA27E3">
      <w:pPr>
        <w:pStyle w:val="1"/>
        <w:shd w:val="clear" w:color="auto" w:fill="auto"/>
        <w:spacing w:after="160"/>
        <w:ind w:firstLine="567"/>
        <w:jc w:val="both"/>
        <w:rPr>
          <w:rFonts w:ascii="Sylfaen" w:hAnsi="Sylfaen"/>
          <w:sz w:val="24"/>
          <w:szCs w:val="24"/>
        </w:rPr>
      </w:pPr>
    </w:p>
    <w:p w14:paraId="4AFA6ED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որտեղ с-ն՝ «Բամբակ 60 °C» </w:t>
      </w:r>
      <w:r>
        <w:rPr>
          <w:rFonts w:ascii="Sylfaen" w:hAnsi="Sylfaen"/>
          <w:sz w:val="24"/>
          <w:szCs w:val="24"/>
        </w:rPr>
        <w:t>եւ</w:t>
      </w:r>
      <w:r w:rsidRPr="00CA27E3">
        <w:rPr>
          <w:rFonts w:ascii="Sylfaen" w:hAnsi="Sylfaen"/>
          <w:sz w:val="24"/>
          <w:szCs w:val="24"/>
        </w:rPr>
        <w:t xml:space="preserve"> «Բամբակ 40 °C» լվացքի ստանդարտ ծրագրերի համար լվացքի մեքենայի անվանական տարողության մեծություններից նվազագույնն է.</w:t>
      </w:r>
    </w:p>
    <w:p w14:paraId="047B830E"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F84DC6" w:rsidRPr="00F84DC6">
        <w:rPr>
          <w:rFonts w:ascii="Sylfaen" w:hAnsi="Sylfaen"/>
          <w:sz w:val="24"/>
          <w:szCs w:val="24"/>
        </w:rPr>
        <w:tab/>
      </w:r>
      <w:r w:rsidRPr="00CA27E3">
        <w:rPr>
          <w:rFonts w:ascii="Sylfaen" w:hAnsi="Sylfaen"/>
          <w:sz w:val="24"/>
          <w:szCs w:val="24"/>
        </w:rPr>
        <w:t>2022 թվականի սեպտեմբերի 1-ից լվացքի մեքենայի ջրի ծախսը (W</w:t>
      </w:r>
      <w:r w:rsidRPr="00CA27E3">
        <w:rPr>
          <w:rFonts w:ascii="Sylfaen" w:hAnsi="Sylfaen"/>
          <w:sz w:val="24"/>
          <w:szCs w:val="24"/>
          <w:vertAlign w:val="subscript"/>
        </w:rPr>
        <w:t>t</w:t>
      </w:r>
      <w:r w:rsidRPr="00CA27E3">
        <w:rPr>
          <w:rFonts w:ascii="Sylfaen" w:hAnsi="Sylfaen"/>
          <w:sz w:val="24"/>
          <w:szCs w:val="24"/>
        </w:rPr>
        <w:t>)՝ լիտրերով պետք է համապատասխանի հետ</w:t>
      </w:r>
      <w:r>
        <w:rPr>
          <w:rFonts w:ascii="Sylfaen" w:hAnsi="Sylfaen"/>
          <w:sz w:val="24"/>
          <w:szCs w:val="24"/>
        </w:rPr>
        <w:t>եւ</w:t>
      </w:r>
      <w:r w:rsidRPr="00CA27E3">
        <w:rPr>
          <w:rFonts w:ascii="Sylfaen" w:hAnsi="Sylfaen"/>
          <w:sz w:val="24"/>
          <w:szCs w:val="24"/>
        </w:rPr>
        <w:t>յալ անհավասարությանը՝</w:t>
      </w:r>
    </w:p>
    <w:p w14:paraId="115F6C1B"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t</w:t>
      </w:r>
      <w:r w:rsidRPr="00CA27E3">
        <w:rPr>
          <w:rFonts w:ascii="Sylfaen" w:hAnsi="Sylfaen"/>
          <w:sz w:val="24"/>
          <w:szCs w:val="24"/>
        </w:rPr>
        <w:t xml:space="preserve"> ≤ 5∙</w:t>
      </w:r>
      <w:r w:rsidRPr="009E687F">
        <w:rPr>
          <w:rFonts w:ascii="Sylfaen" w:hAnsi="Sylfaen"/>
          <w:sz w:val="24"/>
          <w:szCs w:val="24"/>
        </w:rPr>
        <w:t>с</w:t>
      </w:r>
      <w:r w:rsidRPr="00CA27E3">
        <w:rPr>
          <w:rFonts w:ascii="Sylfaen" w:hAnsi="Sylfaen"/>
          <w:smallCaps/>
          <w:sz w:val="24"/>
          <w:szCs w:val="24"/>
          <w:vertAlign w:val="subscript"/>
        </w:rPr>
        <w:t>1/2</w:t>
      </w:r>
      <w:r w:rsidRPr="00CA27E3">
        <w:rPr>
          <w:rFonts w:ascii="Sylfaen" w:hAnsi="Sylfaen"/>
          <w:sz w:val="24"/>
          <w:szCs w:val="24"/>
        </w:rPr>
        <w:t xml:space="preserve"> + 35,</w:t>
      </w:r>
    </w:p>
    <w:p w14:paraId="14C30E3F" w14:textId="77777777" w:rsidR="00066F60" w:rsidRDefault="00066F60" w:rsidP="00CA27E3">
      <w:pPr>
        <w:pStyle w:val="1"/>
        <w:shd w:val="clear" w:color="auto" w:fill="auto"/>
        <w:spacing w:after="160"/>
        <w:ind w:firstLine="567"/>
        <w:jc w:val="both"/>
        <w:rPr>
          <w:rFonts w:ascii="Sylfaen" w:hAnsi="Sylfaen"/>
          <w:sz w:val="24"/>
          <w:szCs w:val="24"/>
        </w:rPr>
      </w:pPr>
    </w:p>
    <w:p w14:paraId="1A06307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 с</w:t>
      </w:r>
      <w:r w:rsidRPr="00CA27E3">
        <w:rPr>
          <w:rFonts w:ascii="Sylfaen" w:hAnsi="Sylfaen"/>
          <w:sz w:val="24"/>
          <w:szCs w:val="24"/>
          <w:vertAlign w:val="subscript"/>
        </w:rPr>
        <w:t>1/2</w:t>
      </w:r>
      <w:r w:rsidRPr="00CA27E3">
        <w:rPr>
          <w:rFonts w:ascii="Sylfaen" w:hAnsi="Sylfaen"/>
          <w:sz w:val="24"/>
          <w:szCs w:val="24"/>
        </w:rPr>
        <w:t xml:space="preserve">-ն՝ մասնակի բեռնվածքի դեպքում «Բամբակ 60 °C» </w:t>
      </w:r>
      <w:r>
        <w:rPr>
          <w:rFonts w:ascii="Sylfaen" w:hAnsi="Sylfaen"/>
          <w:sz w:val="24"/>
          <w:szCs w:val="24"/>
        </w:rPr>
        <w:t>եւ</w:t>
      </w:r>
      <w:r w:rsidRPr="00CA27E3">
        <w:rPr>
          <w:rFonts w:ascii="Sylfaen" w:hAnsi="Sylfaen"/>
          <w:sz w:val="24"/>
          <w:szCs w:val="24"/>
        </w:rPr>
        <w:t xml:space="preserve"> մասնակի բեռնվածքի դեպքում «Բամբակ 40 °C» լվացքի ստանդարտ ծրագրերի համար լվացքի մեքենայի անվանական տարողության մեծություններից նվազագույնն է:</w:t>
      </w:r>
    </w:p>
    <w:p w14:paraId="7A7E6486" w14:textId="77777777" w:rsidR="00CA27E3" w:rsidRPr="00CA27E3" w:rsidRDefault="00CA27E3" w:rsidP="009E687F">
      <w:pPr>
        <w:pStyle w:val="1"/>
        <w:shd w:val="clear" w:color="auto" w:fill="auto"/>
        <w:tabs>
          <w:tab w:val="left" w:pos="1134"/>
          <w:tab w:val="left" w:pos="1843"/>
        </w:tabs>
        <w:spacing w:after="160"/>
        <w:ind w:firstLine="567"/>
        <w:jc w:val="both"/>
        <w:rPr>
          <w:rFonts w:ascii="Sylfaen" w:hAnsi="Sylfaen"/>
          <w:sz w:val="24"/>
          <w:szCs w:val="24"/>
        </w:rPr>
      </w:pPr>
      <w:r w:rsidRPr="00CA27E3">
        <w:rPr>
          <w:rFonts w:ascii="Sylfaen" w:hAnsi="Sylfaen"/>
          <w:sz w:val="24"/>
          <w:szCs w:val="24"/>
        </w:rPr>
        <w:t>9.</w:t>
      </w:r>
      <w:r w:rsidR="00F84DC6" w:rsidRPr="00F84DC6">
        <w:rPr>
          <w:rFonts w:ascii="Sylfaen" w:hAnsi="Sylfaen"/>
          <w:sz w:val="24"/>
          <w:szCs w:val="24"/>
        </w:rPr>
        <w:tab/>
      </w:r>
      <w:r w:rsidRPr="00CA27E3">
        <w:rPr>
          <w:rFonts w:ascii="Sylfaen" w:hAnsi="Sylfaen"/>
          <w:sz w:val="24"/>
          <w:szCs w:val="24"/>
        </w:rPr>
        <w:t xml:space="preserve">Լվացքի մեքենաներին կից ներկայացվող՝ «Էներգասպառող սարքվածքների էներգետիկ արդյունավետությանը ներկայացվող պահանջների </w:t>
      </w:r>
      <w:r w:rsidRPr="00CA27E3">
        <w:rPr>
          <w:rFonts w:ascii="Sylfaen" w:hAnsi="Sylfaen"/>
          <w:sz w:val="24"/>
          <w:szCs w:val="24"/>
        </w:rPr>
        <w:lastRenderedPageBreak/>
        <w:t>մասին» Եվրասիական տնտեսական միության տեխնիկական կանոնակարգի (ԵԱՏՄ ՏԿ</w:t>
      </w:r>
      <w:r w:rsidR="009E687F" w:rsidRPr="009E687F">
        <w:rPr>
          <w:rFonts w:ascii="Sylfaen" w:hAnsi="Sylfaen"/>
          <w:sz w:val="24"/>
          <w:szCs w:val="24"/>
        </w:rPr>
        <w:tab/>
      </w:r>
      <w:r w:rsidRPr="00CA27E3">
        <w:rPr>
          <w:rFonts w:ascii="Sylfaen" w:hAnsi="Sylfaen"/>
          <w:sz w:val="24"/>
          <w:szCs w:val="24"/>
        </w:rPr>
        <w:t>/20</w:t>
      </w:r>
      <w:r w:rsidR="009E687F" w:rsidRPr="009E687F">
        <w:rPr>
          <w:rFonts w:ascii="Sylfaen" w:hAnsi="Sylfaen"/>
          <w:sz w:val="24"/>
          <w:szCs w:val="24"/>
        </w:rPr>
        <w:tab/>
      </w:r>
      <w:r w:rsidRPr="00CA27E3">
        <w:rPr>
          <w:rFonts w:ascii="Sylfaen" w:hAnsi="Sylfaen"/>
          <w:sz w:val="24"/>
          <w:szCs w:val="24"/>
        </w:rPr>
        <w:t xml:space="preserve">) (այսուհետ՝ տեխնիկական կանոնակարգ) 13-րդ կետով նախատեսված շահագործման փաստաթղթերը պետք է պարունակեն՝ </w:t>
      </w:r>
    </w:p>
    <w:p w14:paraId="5DE36F53"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F84DC6" w:rsidRPr="00F84DC6">
        <w:rPr>
          <w:rFonts w:ascii="Sylfaen" w:hAnsi="Sylfaen"/>
          <w:sz w:val="24"/>
          <w:szCs w:val="24"/>
        </w:rPr>
        <w:tab/>
      </w:r>
      <w:r w:rsidR="00F84DC6">
        <w:rPr>
          <w:rFonts w:ascii="Sylfaen" w:hAnsi="Sylfaen"/>
          <w:sz w:val="24"/>
          <w:szCs w:val="24"/>
        </w:rPr>
        <w:t>սույն պահանջների 5</w:t>
      </w:r>
      <w:r w:rsidR="00F84DC6" w:rsidRPr="00F84DC6">
        <w:rPr>
          <w:rFonts w:ascii="Sylfaen" w:hAnsi="Sylfaen"/>
          <w:sz w:val="24"/>
          <w:szCs w:val="24"/>
        </w:rPr>
        <w:t>-</w:t>
      </w:r>
      <w:r w:rsidRPr="00CA27E3">
        <w:rPr>
          <w:rFonts w:ascii="Sylfaen" w:hAnsi="Sylfaen"/>
          <w:sz w:val="24"/>
          <w:szCs w:val="24"/>
        </w:rPr>
        <w:t>7-րդ կետերին համապատասխան սահմանված՝ EEI, I</w:t>
      </w:r>
      <w:r w:rsidRPr="00CA27E3">
        <w:rPr>
          <w:rFonts w:ascii="Sylfaen" w:hAnsi="Sylfaen"/>
          <w:sz w:val="24"/>
          <w:szCs w:val="24"/>
          <w:vertAlign w:val="subscript"/>
        </w:rPr>
        <w:t>w</w:t>
      </w:r>
      <w:r w:rsidRPr="00CA27E3">
        <w:rPr>
          <w:rFonts w:ascii="Sylfaen" w:hAnsi="Sylfaen"/>
          <w:sz w:val="24"/>
          <w:szCs w:val="24"/>
        </w:rPr>
        <w:t>, W</w:t>
      </w:r>
      <w:r w:rsidRPr="00CA27E3">
        <w:rPr>
          <w:rFonts w:ascii="Sylfaen" w:hAnsi="Sylfaen"/>
          <w:sz w:val="24"/>
          <w:szCs w:val="24"/>
          <w:vertAlign w:val="subscript"/>
        </w:rPr>
        <w:t>t</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մնացորդային խոնավության արժեքները. </w:t>
      </w:r>
    </w:p>
    <w:p w14:paraId="7932ACB9"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F84DC6" w:rsidRPr="00DC5495">
        <w:rPr>
          <w:rFonts w:ascii="Sylfaen" w:hAnsi="Sylfaen"/>
          <w:sz w:val="24"/>
          <w:szCs w:val="24"/>
        </w:rPr>
        <w:tab/>
      </w:r>
      <w:r w:rsidRPr="00CA27E3">
        <w:rPr>
          <w:rFonts w:ascii="Sylfaen" w:hAnsi="Sylfaen"/>
          <w:sz w:val="24"/>
          <w:szCs w:val="24"/>
        </w:rPr>
        <w:t xml:space="preserve">«Բամբակ 60 °C» լվացքի ստանդարտ ծրագիր </w:t>
      </w:r>
      <w:r>
        <w:rPr>
          <w:rFonts w:ascii="Sylfaen" w:hAnsi="Sylfaen"/>
          <w:sz w:val="24"/>
          <w:szCs w:val="24"/>
        </w:rPr>
        <w:t>եւ</w:t>
      </w:r>
      <w:r w:rsidRPr="00CA27E3">
        <w:rPr>
          <w:rFonts w:ascii="Sylfaen" w:hAnsi="Sylfaen"/>
          <w:sz w:val="24"/>
          <w:szCs w:val="24"/>
        </w:rPr>
        <w:t xml:space="preserve"> «Բամբակ 60 °C» լվացքի ստանդարտ ծրագիր կոչվող՝ 60 °C </w:t>
      </w:r>
      <w:r>
        <w:rPr>
          <w:rFonts w:ascii="Sylfaen" w:hAnsi="Sylfaen"/>
          <w:sz w:val="24"/>
          <w:szCs w:val="24"/>
        </w:rPr>
        <w:t>եւ</w:t>
      </w:r>
      <w:r w:rsidRPr="00CA27E3">
        <w:rPr>
          <w:rFonts w:ascii="Sylfaen" w:hAnsi="Sylfaen"/>
          <w:sz w:val="24"/>
          <w:szCs w:val="24"/>
        </w:rPr>
        <w:t xml:space="preserve"> 40 °C ջերմաստիճաններում բամբակե արտադրատեսակների լվացքի համար ստանդարտ ծրագրերի մասին տեղեկությունները (պետք է նշվի այն, որ դրանք պիտանի են սովորական աղտոտման բամբակե արտադրատեսակների լվացքի համար, բամբակե գործվածքներ լվանալու համար՝ էլեկտրաէներգիայի սպառման </w:t>
      </w:r>
      <w:r>
        <w:rPr>
          <w:rFonts w:ascii="Sylfaen" w:hAnsi="Sylfaen"/>
          <w:sz w:val="24"/>
          <w:szCs w:val="24"/>
        </w:rPr>
        <w:t>եւ</w:t>
      </w:r>
      <w:r w:rsidRPr="00CA27E3">
        <w:rPr>
          <w:rFonts w:ascii="Sylfaen" w:hAnsi="Sylfaen"/>
          <w:sz w:val="24"/>
          <w:szCs w:val="24"/>
        </w:rPr>
        <w:t xml:space="preserve"> ջրի ծախսի տեսանկյունից առավել արդյունավետ ծրագրեր են, ինչպես նա</w:t>
      </w:r>
      <w:r>
        <w:rPr>
          <w:rFonts w:ascii="Sylfaen" w:hAnsi="Sylfaen"/>
          <w:sz w:val="24"/>
          <w:szCs w:val="24"/>
        </w:rPr>
        <w:t>եւ</w:t>
      </w:r>
      <w:r w:rsidRPr="00CA27E3">
        <w:rPr>
          <w:rFonts w:ascii="Sylfaen" w:hAnsi="Sylfaen"/>
          <w:sz w:val="24"/>
          <w:szCs w:val="24"/>
        </w:rPr>
        <w:t xml:space="preserve"> պետք է նշված լինի այն, որ ջրի փաստացի ջերմաստիճանը կարող է տարբերվել տվյալ ցիկլի համար հայտագրված ջերմաստիճանից).</w:t>
      </w:r>
    </w:p>
    <w:p w14:paraId="281932CA"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F84DC6" w:rsidRPr="00F84DC6">
        <w:rPr>
          <w:rFonts w:ascii="Sylfaen" w:hAnsi="Sylfaen"/>
          <w:sz w:val="24"/>
          <w:szCs w:val="24"/>
        </w:rPr>
        <w:tab/>
      </w:r>
      <w:r w:rsidRPr="00CA27E3">
        <w:rPr>
          <w:rFonts w:ascii="Sylfaen" w:hAnsi="Sylfaen"/>
          <w:sz w:val="24"/>
          <w:szCs w:val="24"/>
        </w:rPr>
        <w:t xml:space="preserve">անջատման ռեժիմում </w:t>
      </w:r>
      <w:r>
        <w:rPr>
          <w:rFonts w:ascii="Sylfaen" w:hAnsi="Sylfaen"/>
          <w:sz w:val="24"/>
          <w:szCs w:val="24"/>
        </w:rPr>
        <w:t>եւ</w:t>
      </w:r>
      <w:r w:rsidRPr="00CA27E3">
        <w:rPr>
          <w:rFonts w:ascii="Sylfaen" w:hAnsi="Sylfaen"/>
          <w:sz w:val="24"/>
          <w:szCs w:val="24"/>
        </w:rPr>
        <w:t xml:space="preserve"> սպասման ռեժիմում էլեկտրաէներգիայի սպառման մեծության մասին տեղեկատվությունը.</w:t>
      </w:r>
    </w:p>
    <w:p w14:paraId="69BE3357"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դ)</w:t>
      </w:r>
      <w:r w:rsidR="00F84DC6" w:rsidRPr="00F84DC6">
        <w:rPr>
          <w:rFonts w:ascii="Sylfaen" w:hAnsi="Sylfaen"/>
          <w:sz w:val="24"/>
          <w:szCs w:val="24"/>
        </w:rPr>
        <w:tab/>
      </w:r>
      <w:r w:rsidRPr="00CA27E3">
        <w:rPr>
          <w:rFonts w:ascii="Sylfaen" w:hAnsi="Sylfaen"/>
          <w:sz w:val="24"/>
          <w:szCs w:val="24"/>
        </w:rPr>
        <w:t>լրիվ կամ մասնակի բեռնվածքի դեպքում կամ բեռնվածքի երկու ծավալների համար լվացքի հիմնական ծրագրերի օգտագործման ժամանակ՝ լվացքի մեքենայի աշխատանքի ցիկլի տ</w:t>
      </w:r>
      <w:r>
        <w:rPr>
          <w:rFonts w:ascii="Sylfaen" w:hAnsi="Sylfaen"/>
          <w:sz w:val="24"/>
          <w:szCs w:val="24"/>
        </w:rPr>
        <w:t>եւ</w:t>
      </w:r>
      <w:r w:rsidRPr="00CA27E3">
        <w:rPr>
          <w:rFonts w:ascii="Sylfaen" w:hAnsi="Sylfaen"/>
          <w:sz w:val="24"/>
          <w:szCs w:val="24"/>
        </w:rPr>
        <w:t xml:space="preserve">ողության, մնացորդային խոնավության, էներգիայի սպառման </w:t>
      </w:r>
      <w:r>
        <w:rPr>
          <w:rFonts w:ascii="Sylfaen" w:hAnsi="Sylfaen"/>
          <w:sz w:val="24"/>
          <w:szCs w:val="24"/>
        </w:rPr>
        <w:t>եւ</w:t>
      </w:r>
      <w:r w:rsidRPr="00CA27E3">
        <w:rPr>
          <w:rFonts w:ascii="Sylfaen" w:hAnsi="Sylfaen"/>
          <w:sz w:val="24"/>
          <w:szCs w:val="24"/>
        </w:rPr>
        <w:t xml:space="preserve"> ջրի ծախսի մասին տեղեկատվությունը.</w:t>
      </w:r>
    </w:p>
    <w:p w14:paraId="40C48724" w14:textId="77777777" w:rsidR="00CA27E3" w:rsidRPr="00CA27E3" w:rsidRDefault="00CA27E3" w:rsidP="00F84DC6">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ե)</w:t>
      </w:r>
      <w:r w:rsidR="00F84DC6" w:rsidRPr="00F84DC6">
        <w:rPr>
          <w:rFonts w:ascii="Sylfaen" w:hAnsi="Sylfaen"/>
          <w:sz w:val="24"/>
          <w:szCs w:val="24"/>
        </w:rPr>
        <w:tab/>
      </w:r>
      <w:r w:rsidRPr="00CA27E3">
        <w:rPr>
          <w:rFonts w:ascii="Sylfaen" w:hAnsi="Sylfaen"/>
          <w:sz w:val="24"/>
          <w:szCs w:val="24"/>
        </w:rPr>
        <w:t>առաջարկություններ առ այն, թե որ տիպի լվացող միջոցը պիտանի է տարբեր ջերմաստիճաններում լվացքի համար:</w:t>
      </w:r>
    </w:p>
    <w:p w14:paraId="4E81578E" w14:textId="77777777" w:rsidR="00F84DC6" w:rsidRDefault="00F84DC6">
      <w:pPr>
        <w:rPr>
          <w:rFonts w:ascii="Sylfaen" w:hAnsi="Sylfaen"/>
        </w:rPr>
      </w:pPr>
      <w:r>
        <w:rPr>
          <w:rFonts w:ascii="Sylfaen" w:hAnsi="Sylfaen"/>
        </w:rPr>
        <w:br w:type="page"/>
      </w:r>
    </w:p>
    <w:p w14:paraId="5308B681" w14:textId="77777777" w:rsidR="00CA27E3" w:rsidRPr="00CA27E3" w:rsidRDefault="00CA27E3" w:rsidP="00F84DC6">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lastRenderedPageBreak/>
        <w:t>IV. Լվացքի մեքենաների էներգետիկ արդյունավետության պարամետրերի թույլատրելի շեղումները՝ դրանք շրջանառության մեջ դրվելուց հետո փորձարկումների (չափումների) կատարման ժամանակ</w:t>
      </w:r>
    </w:p>
    <w:p w14:paraId="104E5D7D" w14:textId="77777777" w:rsidR="00CA27E3" w:rsidRPr="00CA27E3" w:rsidRDefault="00CA27E3" w:rsidP="008C013D">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10.</w:t>
      </w:r>
      <w:r w:rsidR="008C013D" w:rsidRPr="00DC5495">
        <w:rPr>
          <w:rFonts w:ascii="Sylfaen" w:hAnsi="Sylfaen"/>
          <w:sz w:val="24"/>
          <w:szCs w:val="24"/>
        </w:rPr>
        <w:tab/>
      </w:r>
      <w:r w:rsidRPr="00CA27E3">
        <w:rPr>
          <w:rFonts w:ascii="Sylfaen" w:hAnsi="Sylfaen"/>
          <w:sz w:val="24"/>
          <w:szCs w:val="24"/>
        </w:rPr>
        <w:t>Լվացքի մեքենաները շրջանառության մեջ դրվելուց հետո դրանց փորձարկումները (չափումները) կատարելիս պետք է փորձարկվի լվացքի մեքենայի յուրաքանչյուր մոդելի 1 տիպային օրինակ։</w:t>
      </w:r>
    </w:p>
    <w:p w14:paraId="29654A1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Լվացքի մեքենայի մոդելը համարվում է սույն պահանջներին համապատասխանող, եթե լվացքի մեքենայի պարամետրերի </w:t>
      </w:r>
      <w:r>
        <w:rPr>
          <w:rFonts w:ascii="Sylfaen" w:hAnsi="Sylfaen"/>
          <w:sz w:val="24"/>
          <w:szCs w:val="24"/>
        </w:rPr>
        <w:t>եւ</w:t>
      </w:r>
      <w:r w:rsidRPr="00CA27E3">
        <w:rPr>
          <w:rFonts w:ascii="Sylfaen" w:hAnsi="Sylfaen"/>
          <w:sz w:val="24"/>
          <w:szCs w:val="24"/>
        </w:rPr>
        <w:t xml:space="preserve"> բնութագրերի չափված արժեքները համապատասխանում են սույն պահանջների III բաժնին </w:t>
      </w:r>
      <w:r>
        <w:rPr>
          <w:rFonts w:ascii="Sylfaen" w:hAnsi="Sylfaen"/>
          <w:sz w:val="24"/>
          <w:szCs w:val="24"/>
        </w:rPr>
        <w:t>եւ</w:t>
      </w:r>
      <w:r w:rsidRPr="00CA27E3">
        <w:rPr>
          <w:rFonts w:ascii="Sylfaen" w:hAnsi="Sylfaen"/>
          <w:sz w:val="24"/>
          <w:szCs w:val="24"/>
        </w:rPr>
        <w:t xml:space="preserve"> արտադրողի հայտագրված անվանական արժեքներին՝ աղյուսակում նշված թույլատրելի շեղումների սահմաններում:</w:t>
      </w:r>
    </w:p>
    <w:p w14:paraId="2DD851B6" w14:textId="77777777" w:rsidR="008C013D" w:rsidRPr="00DC5495" w:rsidRDefault="008C013D" w:rsidP="00CA27E3">
      <w:pPr>
        <w:pStyle w:val="1"/>
        <w:shd w:val="clear" w:color="auto" w:fill="auto"/>
        <w:spacing w:after="160"/>
        <w:ind w:firstLine="0"/>
        <w:jc w:val="right"/>
        <w:rPr>
          <w:rFonts w:ascii="Sylfaen" w:hAnsi="Sylfaen"/>
          <w:sz w:val="24"/>
          <w:szCs w:val="24"/>
        </w:rPr>
      </w:pPr>
    </w:p>
    <w:p w14:paraId="5EC38889" w14:textId="77777777" w:rsidR="00CA27E3" w:rsidRPr="00CA27E3" w:rsidRDefault="00CA27E3" w:rsidP="00CA27E3">
      <w:pPr>
        <w:pStyle w:val="1"/>
        <w:shd w:val="clear" w:color="auto" w:fill="auto"/>
        <w:spacing w:after="160"/>
        <w:ind w:firstLine="0"/>
        <w:jc w:val="right"/>
        <w:rPr>
          <w:rFonts w:ascii="Sylfaen" w:hAnsi="Sylfaen"/>
          <w:sz w:val="24"/>
          <w:szCs w:val="24"/>
        </w:rPr>
      </w:pPr>
      <w:r w:rsidRPr="00CA27E3">
        <w:rPr>
          <w:rFonts w:ascii="Sylfaen" w:hAnsi="Sylfaen"/>
          <w:sz w:val="24"/>
          <w:szCs w:val="24"/>
        </w:rPr>
        <w:t xml:space="preserve">Աղյուսակ </w:t>
      </w:r>
    </w:p>
    <w:p w14:paraId="0E59CC4F"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Թույլատրելի շեղումները</w:t>
      </w:r>
    </w:p>
    <w:tbl>
      <w:tblPr>
        <w:tblOverlap w:val="never"/>
        <w:tblW w:w="9514" w:type="dxa"/>
        <w:jc w:val="center"/>
        <w:tblLayout w:type="fixed"/>
        <w:tblCellMar>
          <w:left w:w="10" w:type="dxa"/>
          <w:right w:w="10" w:type="dxa"/>
        </w:tblCellMar>
        <w:tblLook w:val="0000" w:firstRow="0" w:lastRow="0" w:firstColumn="0" w:lastColumn="0" w:noHBand="0" w:noVBand="0"/>
      </w:tblPr>
      <w:tblGrid>
        <w:gridCol w:w="3057"/>
        <w:gridCol w:w="6457"/>
      </w:tblGrid>
      <w:tr w:rsidR="00CA27E3" w:rsidRPr="00066F60" w14:paraId="35BF52F3" w14:textId="77777777" w:rsidTr="009E687F">
        <w:trPr>
          <w:jc w:val="center"/>
        </w:trPr>
        <w:tc>
          <w:tcPr>
            <w:tcW w:w="3057" w:type="dxa"/>
            <w:tcBorders>
              <w:top w:val="single" w:sz="4" w:space="0" w:color="auto"/>
              <w:left w:val="single" w:sz="4" w:space="0" w:color="auto"/>
            </w:tcBorders>
            <w:shd w:val="clear" w:color="auto" w:fill="FFFFFF"/>
            <w:vAlign w:val="center"/>
          </w:tcPr>
          <w:p w14:paraId="25FFB2B1" w14:textId="77777777" w:rsidR="00CA27E3" w:rsidRPr="00066F60" w:rsidRDefault="00CA27E3" w:rsidP="00066F60">
            <w:pPr>
              <w:pStyle w:val="Other0"/>
              <w:shd w:val="clear" w:color="auto" w:fill="auto"/>
              <w:spacing w:after="120"/>
              <w:ind w:firstLine="240"/>
              <w:rPr>
                <w:rFonts w:ascii="Sylfaen" w:hAnsi="Sylfaen"/>
                <w:sz w:val="20"/>
                <w:szCs w:val="20"/>
              </w:rPr>
            </w:pPr>
            <w:r w:rsidRPr="00066F60">
              <w:rPr>
                <w:rFonts w:ascii="Sylfaen" w:hAnsi="Sylfaen"/>
                <w:sz w:val="20"/>
                <w:szCs w:val="20"/>
              </w:rPr>
              <w:t>Չափվող պարամետրը</w:t>
            </w:r>
          </w:p>
        </w:tc>
        <w:tc>
          <w:tcPr>
            <w:tcW w:w="6457" w:type="dxa"/>
            <w:tcBorders>
              <w:top w:val="single" w:sz="4" w:space="0" w:color="auto"/>
              <w:left w:val="single" w:sz="4" w:space="0" w:color="auto"/>
              <w:right w:val="single" w:sz="4" w:space="0" w:color="auto"/>
            </w:tcBorders>
            <w:shd w:val="clear" w:color="auto" w:fill="FFFFFF"/>
            <w:vAlign w:val="center"/>
          </w:tcPr>
          <w:p w14:paraId="5D76E86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Թույլատրելի շեղումները</w:t>
            </w:r>
          </w:p>
        </w:tc>
      </w:tr>
      <w:tr w:rsidR="00CA27E3" w:rsidRPr="00066F60" w14:paraId="635D7E0A" w14:textId="77777777" w:rsidTr="009E687F">
        <w:trPr>
          <w:jc w:val="center"/>
        </w:trPr>
        <w:tc>
          <w:tcPr>
            <w:tcW w:w="3057" w:type="dxa"/>
            <w:tcBorders>
              <w:top w:val="single" w:sz="4" w:space="0" w:color="auto"/>
              <w:left w:val="single" w:sz="4" w:space="0" w:color="auto"/>
            </w:tcBorders>
            <w:shd w:val="clear" w:color="auto" w:fill="FFFFFF"/>
            <w:vAlign w:val="bottom"/>
          </w:tcPr>
          <w:p w14:paraId="07DDF458"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Էլեկտրաէներգիայի տարեկան սպառումը</w:t>
            </w:r>
          </w:p>
        </w:tc>
        <w:tc>
          <w:tcPr>
            <w:tcW w:w="6457" w:type="dxa"/>
            <w:tcBorders>
              <w:top w:val="single" w:sz="4" w:space="0" w:color="auto"/>
              <w:left w:val="single" w:sz="4" w:space="0" w:color="auto"/>
              <w:right w:val="single" w:sz="4" w:space="0" w:color="auto"/>
            </w:tcBorders>
            <w:shd w:val="clear" w:color="auto" w:fill="FFFFFF"/>
            <w:vAlign w:val="bottom"/>
          </w:tcPr>
          <w:p w14:paraId="68F3930E"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Չափված արժեքը չպետք է գերազանցի AE</w:t>
            </w:r>
            <w:r w:rsidRPr="00066F60">
              <w:rPr>
                <w:rFonts w:ascii="Sylfaen" w:hAnsi="Sylfaen"/>
                <w:sz w:val="20"/>
                <w:szCs w:val="20"/>
                <w:vertAlign w:val="subscript"/>
              </w:rPr>
              <w:t>C</w:t>
            </w:r>
            <w:r w:rsidRPr="00066F60">
              <w:rPr>
                <w:rFonts w:ascii="Sylfaen" w:hAnsi="Sylfaen"/>
                <w:sz w:val="20"/>
                <w:szCs w:val="20"/>
              </w:rPr>
              <w:t xml:space="preserve">-ի անվանական արժեքն ավելի քան 10 %-ով </w:t>
            </w:r>
          </w:p>
        </w:tc>
      </w:tr>
      <w:tr w:rsidR="00CA27E3" w:rsidRPr="00066F60" w14:paraId="254726F7" w14:textId="77777777" w:rsidTr="009E687F">
        <w:trPr>
          <w:jc w:val="center"/>
        </w:trPr>
        <w:tc>
          <w:tcPr>
            <w:tcW w:w="3057" w:type="dxa"/>
            <w:tcBorders>
              <w:top w:val="single" w:sz="4" w:space="0" w:color="auto"/>
              <w:left w:val="single" w:sz="4" w:space="0" w:color="auto"/>
            </w:tcBorders>
            <w:shd w:val="clear" w:color="auto" w:fill="FFFFFF"/>
            <w:vAlign w:val="bottom"/>
          </w:tcPr>
          <w:p w14:paraId="14B92C70"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Լվանալով մաքրելու արդյունավետության ցուցիչը</w:t>
            </w:r>
          </w:p>
        </w:tc>
        <w:tc>
          <w:tcPr>
            <w:tcW w:w="6457" w:type="dxa"/>
            <w:tcBorders>
              <w:top w:val="single" w:sz="4" w:space="0" w:color="auto"/>
              <w:left w:val="single" w:sz="4" w:space="0" w:color="auto"/>
              <w:right w:val="single" w:sz="4" w:space="0" w:color="auto"/>
            </w:tcBorders>
            <w:shd w:val="clear" w:color="auto" w:fill="FFFFFF"/>
            <w:vAlign w:val="bottom"/>
          </w:tcPr>
          <w:p w14:paraId="1EEA8042"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Չափված արժեքը չպետք է պակաս լինի I</w:t>
            </w:r>
            <w:r w:rsidRPr="00066F60">
              <w:rPr>
                <w:rFonts w:ascii="Sylfaen" w:hAnsi="Sylfaen"/>
                <w:sz w:val="20"/>
                <w:szCs w:val="20"/>
                <w:vertAlign w:val="subscript"/>
              </w:rPr>
              <w:t>w</w:t>
            </w:r>
            <w:r w:rsidRPr="00066F60">
              <w:rPr>
                <w:rFonts w:ascii="Sylfaen" w:hAnsi="Sylfaen"/>
                <w:sz w:val="20"/>
                <w:szCs w:val="20"/>
              </w:rPr>
              <w:t>-ի անվանական արժեքից ավելի քան 4 %-ով</w:t>
            </w:r>
          </w:p>
        </w:tc>
      </w:tr>
      <w:tr w:rsidR="00CA27E3" w:rsidRPr="00066F60" w14:paraId="0A342AD8" w14:textId="77777777" w:rsidTr="009E687F">
        <w:trPr>
          <w:jc w:val="center"/>
        </w:trPr>
        <w:tc>
          <w:tcPr>
            <w:tcW w:w="3057" w:type="dxa"/>
            <w:tcBorders>
              <w:top w:val="single" w:sz="4" w:space="0" w:color="auto"/>
              <w:left w:val="single" w:sz="4" w:space="0" w:color="auto"/>
              <w:bottom w:val="single" w:sz="4" w:space="0" w:color="auto"/>
            </w:tcBorders>
            <w:shd w:val="clear" w:color="auto" w:fill="FFFFFF"/>
            <w:vAlign w:val="bottom"/>
          </w:tcPr>
          <w:p w14:paraId="35AE940B"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Էլեկտրաէներգիայի սպառումը</w:t>
            </w:r>
          </w:p>
        </w:tc>
        <w:tc>
          <w:tcPr>
            <w:tcW w:w="6457" w:type="dxa"/>
            <w:tcBorders>
              <w:top w:val="single" w:sz="4" w:space="0" w:color="auto"/>
              <w:left w:val="single" w:sz="4" w:space="0" w:color="auto"/>
              <w:bottom w:val="single" w:sz="4" w:space="0" w:color="auto"/>
              <w:right w:val="single" w:sz="4" w:space="0" w:color="auto"/>
            </w:tcBorders>
            <w:shd w:val="clear" w:color="auto" w:fill="FFFFFF"/>
            <w:vAlign w:val="bottom"/>
          </w:tcPr>
          <w:p w14:paraId="05723A53"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Չափված արժեքը չպետք է գերազանցի E</w:t>
            </w:r>
            <w:r w:rsidRPr="00066F60">
              <w:rPr>
                <w:rFonts w:ascii="Sylfaen" w:hAnsi="Sylfaen"/>
                <w:sz w:val="20"/>
                <w:szCs w:val="20"/>
                <w:vertAlign w:val="subscript"/>
              </w:rPr>
              <w:t>t</w:t>
            </w:r>
            <w:r w:rsidRPr="00066F60">
              <w:rPr>
                <w:rFonts w:ascii="Sylfaen" w:hAnsi="Sylfaen"/>
                <w:sz w:val="20"/>
                <w:szCs w:val="20"/>
              </w:rPr>
              <w:t>-ի անվանական արժեքն ավելի քան 10 %-ով</w:t>
            </w:r>
            <w:r w:rsidRPr="00066F60" w:rsidDel="00A213B4">
              <w:rPr>
                <w:rFonts w:ascii="Sylfaen" w:hAnsi="Sylfaen"/>
                <w:sz w:val="20"/>
                <w:szCs w:val="20"/>
              </w:rPr>
              <w:t xml:space="preserve"> </w:t>
            </w:r>
          </w:p>
        </w:tc>
      </w:tr>
      <w:tr w:rsidR="00CA27E3" w:rsidRPr="00066F60" w14:paraId="37DDF28C" w14:textId="77777777" w:rsidTr="009E687F">
        <w:trPr>
          <w:jc w:val="center"/>
        </w:trPr>
        <w:tc>
          <w:tcPr>
            <w:tcW w:w="3057" w:type="dxa"/>
            <w:tcBorders>
              <w:top w:val="single" w:sz="4" w:space="0" w:color="auto"/>
              <w:left w:val="single" w:sz="4" w:space="0" w:color="auto"/>
            </w:tcBorders>
            <w:shd w:val="clear" w:color="auto" w:fill="FFFFFF"/>
            <w:vAlign w:val="center"/>
          </w:tcPr>
          <w:p w14:paraId="0E5C45C9"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Ծրագրի աշխատանքի ժամանակը</w:t>
            </w:r>
          </w:p>
        </w:tc>
        <w:tc>
          <w:tcPr>
            <w:tcW w:w="6457" w:type="dxa"/>
            <w:tcBorders>
              <w:top w:val="single" w:sz="4" w:space="0" w:color="auto"/>
              <w:left w:val="single" w:sz="4" w:space="0" w:color="auto"/>
              <w:right w:val="single" w:sz="4" w:space="0" w:color="auto"/>
            </w:tcBorders>
            <w:shd w:val="clear" w:color="auto" w:fill="FFFFFF"/>
            <w:vAlign w:val="center"/>
          </w:tcPr>
          <w:p w14:paraId="04EDF508"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Չափված արժեքը չպետք է գերազանցի T</w:t>
            </w:r>
            <w:r w:rsidRPr="00066F60">
              <w:rPr>
                <w:rFonts w:ascii="Sylfaen" w:hAnsi="Sylfaen"/>
                <w:sz w:val="20"/>
                <w:szCs w:val="20"/>
                <w:vertAlign w:val="subscript"/>
              </w:rPr>
              <w:t>t</w:t>
            </w:r>
            <w:r w:rsidRPr="00066F60">
              <w:rPr>
                <w:rFonts w:ascii="Sylfaen" w:hAnsi="Sylfaen"/>
                <w:sz w:val="20"/>
                <w:szCs w:val="20"/>
              </w:rPr>
              <w:t>-ի սահմանված արժեքն ավելի քան 10 %-ով</w:t>
            </w:r>
          </w:p>
        </w:tc>
      </w:tr>
      <w:tr w:rsidR="00CA27E3" w:rsidRPr="00066F60" w14:paraId="0377FEBB" w14:textId="77777777" w:rsidTr="009E687F">
        <w:trPr>
          <w:jc w:val="center"/>
        </w:trPr>
        <w:tc>
          <w:tcPr>
            <w:tcW w:w="3057" w:type="dxa"/>
            <w:tcBorders>
              <w:top w:val="single" w:sz="4" w:space="0" w:color="auto"/>
              <w:left w:val="single" w:sz="4" w:space="0" w:color="auto"/>
            </w:tcBorders>
            <w:shd w:val="clear" w:color="auto" w:fill="FFFFFF"/>
            <w:vAlign w:val="center"/>
          </w:tcPr>
          <w:p w14:paraId="58AEB901"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Ջրի ծախսը</w:t>
            </w:r>
          </w:p>
        </w:tc>
        <w:tc>
          <w:tcPr>
            <w:tcW w:w="6457" w:type="dxa"/>
            <w:tcBorders>
              <w:top w:val="single" w:sz="4" w:space="0" w:color="auto"/>
              <w:left w:val="single" w:sz="4" w:space="0" w:color="auto"/>
              <w:right w:val="single" w:sz="4" w:space="0" w:color="auto"/>
            </w:tcBorders>
            <w:shd w:val="clear" w:color="auto" w:fill="FFFFFF"/>
            <w:vAlign w:val="center"/>
          </w:tcPr>
          <w:p w14:paraId="41FC3487"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Չափված արժեքը չպետք է գերազանցի W</w:t>
            </w:r>
            <w:r w:rsidRPr="00066F60">
              <w:rPr>
                <w:rFonts w:ascii="Sylfaen" w:hAnsi="Sylfaen"/>
                <w:sz w:val="20"/>
                <w:szCs w:val="20"/>
                <w:vertAlign w:val="subscript"/>
              </w:rPr>
              <w:t>t</w:t>
            </w:r>
            <w:r w:rsidRPr="00066F60">
              <w:rPr>
                <w:rFonts w:ascii="Sylfaen" w:hAnsi="Sylfaen"/>
                <w:sz w:val="20"/>
                <w:szCs w:val="20"/>
              </w:rPr>
              <w:t>-ի անվանական արժեքն ավելի քան 10 %-ով</w:t>
            </w:r>
          </w:p>
        </w:tc>
      </w:tr>
      <w:tr w:rsidR="00CA27E3" w:rsidRPr="00066F60" w14:paraId="5D7C17D4" w14:textId="77777777" w:rsidTr="009E687F">
        <w:trPr>
          <w:jc w:val="center"/>
        </w:trPr>
        <w:tc>
          <w:tcPr>
            <w:tcW w:w="3057" w:type="dxa"/>
            <w:tcBorders>
              <w:top w:val="single" w:sz="4" w:space="0" w:color="auto"/>
              <w:left w:val="single" w:sz="4" w:space="0" w:color="auto"/>
            </w:tcBorders>
            <w:shd w:val="clear" w:color="auto" w:fill="FFFFFF"/>
            <w:vAlign w:val="center"/>
          </w:tcPr>
          <w:p w14:paraId="2D73FDB0"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Անջատման ռեժիմում եւ «թողնված է միացված» ռեժիմում էլեկտրաէներգիայի սպառումը</w:t>
            </w:r>
          </w:p>
        </w:tc>
        <w:tc>
          <w:tcPr>
            <w:tcW w:w="6457" w:type="dxa"/>
            <w:tcBorders>
              <w:top w:val="single" w:sz="4" w:space="0" w:color="auto"/>
              <w:left w:val="single" w:sz="4" w:space="0" w:color="auto"/>
              <w:right w:val="single" w:sz="4" w:space="0" w:color="auto"/>
            </w:tcBorders>
            <w:shd w:val="clear" w:color="auto" w:fill="FFFFFF"/>
            <w:vAlign w:val="center"/>
          </w:tcPr>
          <w:p w14:paraId="55D813CA"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Եթե Р</w:t>
            </w:r>
            <w:r w:rsidRPr="00066F60">
              <w:rPr>
                <w:rFonts w:ascii="Sylfaen" w:hAnsi="Sylfaen"/>
                <w:sz w:val="20"/>
                <w:szCs w:val="20"/>
                <w:vertAlign w:val="subscript"/>
              </w:rPr>
              <w:t>0</w:t>
            </w:r>
            <w:r w:rsidRPr="00066F60">
              <w:rPr>
                <w:rFonts w:ascii="Sylfaen" w:hAnsi="Sylfaen"/>
                <w:sz w:val="20"/>
                <w:szCs w:val="20"/>
              </w:rPr>
              <w:t xml:space="preserve"> եւ P</w:t>
            </w:r>
            <w:r w:rsidRPr="00066F60">
              <w:rPr>
                <w:rFonts w:ascii="Sylfaen" w:hAnsi="Sylfaen"/>
                <w:sz w:val="20"/>
                <w:szCs w:val="20"/>
                <w:vertAlign w:val="subscript"/>
              </w:rPr>
              <w:t>i</w:t>
            </w:r>
            <w:r w:rsidRPr="00066F60">
              <w:rPr>
                <w:rFonts w:ascii="Sylfaen" w:hAnsi="Sylfaen"/>
                <w:sz w:val="20"/>
                <w:szCs w:val="20"/>
              </w:rPr>
              <w:t xml:space="preserve"> արժեքները գերազանցում են 1,00 Վտ-ն, ապա դրանք չպետք է գերազանցեն անվանական արժեքն ավելի քան 10 %-ով: Եթե </w:t>
            </w:r>
            <w:r w:rsidRPr="009E687F">
              <w:rPr>
                <w:rFonts w:ascii="Sylfaen" w:hAnsi="Sylfaen"/>
                <w:spacing w:val="6"/>
                <w:sz w:val="20"/>
                <w:szCs w:val="20"/>
              </w:rPr>
              <w:t>Р</w:t>
            </w:r>
            <w:r w:rsidRPr="009E687F">
              <w:rPr>
                <w:rFonts w:ascii="Sylfaen" w:hAnsi="Sylfaen"/>
                <w:spacing w:val="6"/>
                <w:sz w:val="20"/>
                <w:szCs w:val="20"/>
                <w:vertAlign w:val="subscript"/>
              </w:rPr>
              <w:t>0</w:t>
            </w:r>
            <w:r w:rsidRPr="009E687F">
              <w:rPr>
                <w:rFonts w:ascii="Sylfaen" w:hAnsi="Sylfaen"/>
                <w:spacing w:val="6"/>
                <w:sz w:val="20"/>
                <w:szCs w:val="20"/>
              </w:rPr>
              <w:t xml:space="preserve"> եւ P</w:t>
            </w:r>
            <w:r w:rsidRPr="009E687F">
              <w:rPr>
                <w:rFonts w:ascii="Sylfaen" w:hAnsi="Sylfaen"/>
                <w:spacing w:val="6"/>
                <w:sz w:val="20"/>
                <w:szCs w:val="20"/>
                <w:vertAlign w:val="subscript"/>
              </w:rPr>
              <w:t>i</w:t>
            </w:r>
            <w:r w:rsidRPr="009E687F">
              <w:rPr>
                <w:rFonts w:ascii="Sylfaen" w:hAnsi="Sylfaen"/>
                <w:spacing w:val="6"/>
                <w:sz w:val="20"/>
                <w:szCs w:val="20"/>
              </w:rPr>
              <w:t xml:space="preserve"> արժեքները չեն գերազանցում 1,00 Վտ-ն, ապա դրանք չպետք է գերազանցեն</w:t>
            </w:r>
            <w:r w:rsidRPr="00066F60">
              <w:rPr>
                <w:rFonts w:ascii="Sylfaen" w:hAnsi="Sylfaen"/>
                <w:sz w:val="20"/>
                <w:szCs w:val="20"/>
              </w:rPr>
              <w:t xml:space="preserve"> սահմանված արժեքն ավելի քան 0,10 Վտ-ով</w:t>
            </w:r>
          </w:p>
        </w:tc>
      </w:tr>
      <w:tr w:rsidR="00CA27E3" w:rsidRPr="00066F60" w14:paraId="627E825D" w14:textId="77777777" w:rsidTr="009E687F">
        <w:trPr>
          <w:jc w:val="center"/>
        </w:trPr>
        <w:tc>
          <w:tcPr>
            <w:tcW w:w="3057" w:type="dxa"/>
            <w:tcBorders>
              <w:top w:val="single" w:sz="4" w:space="0" w:color="auto"/>
              <w:left w:val="single" w:sz="4" w:space="0" w:color="auto"/>
              <w:bottom w:val="single" w:sz="4" w:space="0" w:color="auto"/>
            </w:tcBorders>
            <w:shd w:val="clear" w:color="auto" w:fill="FFFFFF"/>
            <w:vAlign w:val="center"/>
          </w:tcPr>
          <w:p w14:paraId="7CAB0BFC" w14:textId="77777777" w:rsidR="00CA27E3" w:rsidRPr="00066F60" w:rsidRDefault="00CA27E3" w:rsidP="008C013D">
            <w:pPr>
              <w:pStyle w:val="Other0"/>
              <w:shd w:val="clear" w:color="auto" w:fill="auto"/>
              <w:spacing w:after="120"/>
              <w:ind w:right="58"/>
              <w:jc w:val="left"/>
              <w:rPr>
                <w:rFonts w:ascii="Sylfaen" w:hAnsi="Sylfaen"/>
                <w:sz w:val="20"/>
                <w:szCs w:val="20"/>
              </w:rPr>
            </w:pPr>
            <w:r w:rsidRPr="00066F60">
              <w:rPr>
                <w:rFonts w:ascii="Sylfaen" w:hAnsi="Sylfaen"/>
                <w:sz w:val="20"/>
                <w:szCs w:val="20"/>
              </w:rPr>
              <w:t>«Թողնված է միացված» ռեժիմում մնալու տեւողությունը</w:t>
            </w:r>
          </w:p>
        </w:tc>
        <w:tc>
          <w:tcPr>
            <w:tcW w:w="6457" w:type="dxa"/>
            <w:tcBorders>
              <w:top w:val="single" w:sz="4" w:space="0" w:color="auto"/>
              <w:left w:val="single" w:sz="4" w:space="0" w:color="auto"/>
              <w:bottom w:val="single" w:sz="4" w:space="0" w:color="auto"/>
              <w:right w:val="single" w:sz="4" w:space="0" w:color="auto"/>
            </w:tcBorders>
            <w:shd w:val="clear" w:color="auto" w:fill="FFFFFF"/>
          </w:tcPr>
          <w:p w14:paraId="48F7B8EF" w14:textId="77777777" w:rsidR="00CA27E3" w:rsidRPr="00066F60" w:rsidRDefault="00CA27E3" w:rsidP="008C013D">
            <w:pPr>
              <w:pStyle w:val="Other0"/>
              <w:shd w:val="clear" w:color="auto" w:fill="auto"/>
              <w:spacing w:after="120"/>
              <w:ind w:left="44" w:right="68"/>
              <w:jc w:val="left"/>
              <w:rPr>
                <w:rFonts w:ascii="Sylfaen" w:hAnsi="Sylfaen"/>
                <w:sz w:val="20"/>
                <w:szCs w:val="20"/>
              </w:rPr>
            </w:pPr>
            <w:r w:rsidRPr="00066F60">
              <w:rPr>
                <w:rFonts w:ascii="Sylfaen" w:hAnsi="Sylfaen"/>
                <w:sz w:val="20"/>
                <w:szCs w:val="20"/>
              </w:rPr>
              <w:t>Չափված արժեքը չպետք է գերազանցի T</w:t>
            </w:r>
            <w:r w:rsidRPr="00066F60">
              <w:rPr>
                <w:rFonts w:ascii="Sylfaen" w:hAnsi="Sylfaen"/>
                <w:sz w:val="20"/>
                <w:szCs w:val="20"/>
                <w:vertAlign w:val="subscript"/>
              </w:rPr>
              <w:t>l</w:t>
            </w:r>
            <w:r w:rsidRPr="00066F60">
              <w:rPr>
                <w:rFonts w:ascii="Sylfaen" w:hAnsi="Sylfaen"/>
                <w:sz w:val="20"/>
                <w:szCs w:val="20"/>
              </w:rPr>
              <w:t>-ի անվանական արժեքն ավելի քան 10 %-ով</w:t>
            </w:r>
          </w:p>
        </w:tc>
      </w:tr>
    </w:tbl>
    <w:p w14:paraId="2A5C05F3" w14:textId="77777777" w:rsidR="00CA27E3" w:rsidRPr="008C013D" w:rsidRDefault="00CA27E3" w:rsidP="008C013D">
      <w:pPr>
        <w:pStyle w:val="Bodytext30"/>
        <w:shd w:val="clear" w:color="auto" w:fill="auto"/>
        <w:spacing w:after="160" w:line="360" w:lineRule="auto"/>
        <w:jc w:val="both"/>
        <w:rPr>
          <w:rFonts w:ascii="Sylfaen" w:hAnsi="Sylfaen"/>
          <w:sz w:val="20"/>
          <w:szCs w:val="20"/>
        </w:rPr>
      </w:pPr>
      <w:r w:rsidRPr="008C013D">
        <w:rPr>
          <w:rFonts w:ascii="Sylfaen" w:hAnsi="Sylfaen"/>
          <w:i w:val="0"/>
          <w:sz w:val="20"/>
          <w:szCs w:val="20"/>
        </w:rPr>
        <w:t>(*) Անվանական արժեք ասելով հասկանում ենք արտադրողի հայտագրված արժեքը:</w:t>
      </w:r>
    </w:p>
    <w:p w14:paraId="275CFECA" w14:textId="77777777" w:rsidR="009E687F" w:rsidRPr="003D2C38" w:rsidRDefault="009E687F" w:rsidP="00CA27E3">
      <w:pPr>
        <w:pStyle w:val="1"/>
        <w:shd w:val="clear" w:color="auto" w:fill="auto"/>
        <w:spacing w:after="160"/>
        <w:ind w:firstLine="567"/>
        <w:jc w:val="both"/>
        <w:rPr>
          <w:rFonts w:ascii="Sylfaen" w:hAnsi="Sylfaen"/>
          <w:sz w:val="24"/>
          <w:szCs w:val="24"/>
        </w:rPr>
      </w:pPr>
    </w:p>
    <w:p w14:paraId="35A7581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 xml:space="preserve">Այլ դեպքերում փորձարկումները (չափումները) պետք է կատարվեն լվացքի մեքենայի յուրաքանչյուր մոդելի 3 լրացուցիչ օրինակների վրա: Լվացքի մեքենայի մոդելը համարվում է սույն պահանջներին համապատասխանող, եթե լվացքի մեքենաների այդ 3 լրացուցիչ օրինակների չափումների արդյունքների միջին արժեքները համապատասխանում են սույն պահանջների III բաժնում նշված պահանջներին </w:t>
      </w:r>
      <w:r>
        <w:rPr>
          <w:rFonts w:ascii="Sylfaen" w:hAnsi="Sylfaen"/>
          <w:sz w:val="24"/>
          <w:szCs w:val="24"/>
        </w:rPr>
        <w:t>եւ</w:t>
      </w:r>
      <w:r w:rsidRPr="00CA27E3">
        <w:rPr>
          <w:rFonts w:ascii="Sylfaen" w:hAnsi="Sylfaen"/>
          <w:sz w:val="24"/>
          <w:szCs w:val="24"/>
        </w:rPr>
        <w:t xml:space="preserve"> արտադրողի հայտագրված անվանական արժեքներին՝ աղյուսակում նշված թույլատրելի շեղումների սահմաններում, բացառությամբ էլեկտրաէներգիայի սպառման արժեքի (Et), որի մեծությունը չպետք է գերազանցի արտադրողի հայտագրված արժեքն ավելի քան 6 %-ով:</w:t>
      </w:r>
    </w:p>
    <w:p w14:paraId="6FEC0402" w14:textId="77777777" w:rsidR="00066F60" w:rsidRPr="00DC5495"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Այլ դեպքերում լվացքի մեքենայի տվյալ մոդելը </w:t>
      </w:r>
      <w:r>
        <w:rPr>
          <w:rFonts w:ascii="Sylfaen" w:hAnsi="Sylfaen"/>
          <w:sz w:val="24"/>
          <w:szCs w:val="24"/>
        </w:rPr>
        <w:t>եւ</w:t>
      </w:r>
      <w:r w:rsidRPr="00CA27E3">
        <w:rPr>
          <w:rFonts w:ascii="Sylfaen" w:hAnsi="Sylfaen"/>
          <w:sz w:val="24"/>
          <w:szCs w:val="24"/>
        </w:rPr>
        <w:t xml:space="preserve"> բոլոր մյուս համարժեք լվացքի մեքենաները հարկ է դիտարկել որպես տեխնիկական կանոնակարգի պահանջներին չհամապատասխանող։</w:t>
      </w:r>
    </w:p>
    <w:p w14:paraId="4C62B8C3" w14:textId="77777777" w:rsidR="008C013D" w:rsidRPr="00DC5495" w:rsidRDefault="008C013D" w:rsidP="008C013D">
      <w:pPr>
        <w:pStyle w:val="1"/>
        <w:shd w:val="clear" w:color="auto" w:fill="auto"/>
        <w:spacing w:after="160"/>
        <w:ind w:firstLine="0"/>
        <w:jc w:val="center"/>
        <w:rPr>
          <w:rFonts w:ascii="Sylfaen" w:hAnsi="Sylfaen"/>
          <w:sz w:val="24"/>
          <w:szCs w:val="24"/>
        </w:rPr>
      </w:pPr>
      <w:r w:rsidRPr="00DC5495">
        <w:rPr>
          <w:rFonts w:ascii="Sylfaen" w:hAnsi="Sylfaen"/>
          <w:sz w:val="24"/>
          <w:szCs w:val="24"/>
        </w:rPr>
        <w:t>______________</w:t>
      </w:r>
    </w:p>
    <w:p w14:paraId="0256EA62" w14:textId="77777777" w:rsidR="00066F60" w:rsidRDefault="00066F60" w:rsidP="00CA27E3">
      <w:pPr>
        <w:pStyle w:val="1"/>
        <w:shd w:val="clear" w:color="auto" w:fill="auto"/>
        <w:spacing w:after="160"/>
        <w:ind w:firstLine="567"/>
        <w:jc w:val="both"/>
        <w:rPr>
          <w:rFonts w:ascii="Sylfaen" w:hAnsi="Sylfaen"/>
          <w:sz w:val="24"/>
          <w:szCs w:val="24"/>
        </w:rPr>
      </w:pPr>
    </w:p>
    <w:p w14:paraId="5B6A6766" w14:textId="77777777" w:rsidR="00066F60" w:rsidRDefault="00066F60" w:rsidP="00CA27E3">
      <w:pPr>
        <w:pStyle w:val="1"/>
        <w:shd w:val="clear" w:color="auto" w:fill="auto"/>
        <w:spacing w:after="160"/>
        <w:ind w:firstLine="567"/>
        <w:jc w:val="both"/>
        <w:rPr>
          <w:rFonts w:ascii="Sylfaen" w:hAnsi="Sylfaen"/>
          <w:sz w:val="24"/>
          <w:szCs w:val="24"/>
        </w:rPr>
        <w:sectPr w:rsidR="00066F60" w:rsidSect="0027701C">
          <w:pgSz w:w="11907" w:h="16840" w:code="9"/>
          <w:pgMar w:top="1418" w:right="1418" w:bottom="1418" w:left="1418" w:header="0" w:footer="539" w:gutter="0"/>
          <w:pgNumType w:start="1"/>
          <w:cols w:space="720"/>
          <w:noEndnote/>
          <w:titlePg/>
          <w:docGrid w:linePitch="360"/>
        </w:sectPr>
      </w:pPr>
    </w:p>
    <w:p w14:paraId="1C0D9DEF" w14:textId="77777777" w:rsidR="00CA27E3" w:rsidRPr="00CA27E3" w:rsidRDefault="00CA27E3" w:rsidP="009E687F">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lastRenderedPageBreak/>
        <w:t>ՀԱՎԵԼՎԱԾ ԹԻՎ 7</w:t>
      </w:r>
    </w:p>
    <w:p w14:paraId="51709731" w14:textId="77777777" w:rsidR="00CA27E3" w:rsidRPr="00CA27E3" w:rsidRDefault="00CA27E3" w:rsidP="009E687F">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t xml:space="preserve">«Էներգասպառող սարքվածքների </w:t>
      </w:r>
      <w:r w:rsidR="009E687F" w:rsidRPr="009E687F">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8C013D" w:rsidRPr="008C013D">
        <w:rPr>
          <w:rFonts w:ascii="Sylfaen" w:hAnsi="Sylfaen"/>
          <w:sz w:val="24"/>
          <w:szCs w:val="24"/>
        </w:rPr>
        <w:br/>
      </w:r>
      <w:r w:rsidRPr="00CA27E3">
        <w:rPr>
          <w:rFonts w:ascii="Sylfaen" w:hAnsi="Sylfaen"/>
          <w:sz w:val="24"/>
          <w:szCs w:val="24"/>
        </w:rPr>
        <w:t>(ԵԱՏՄ ՏԿ</w:t>
      </w:r>
      <w:r w:rsidR="0034095C" w:rsidRPr="0034095C">
        <w:rPr>
          <w:rFonts w:ascii="Sylfaen" w:hAnsi="Sylfaen"/>
          <w:sz w:val="24"/>
          <w:szCs w:val="24"/>
        </w:rPr>
        <w:tab/>
      </w:r>
      <w:r w:rsidRPr="00CA27E3">
        <w:rPr>
          <w:rFonts w:ascii="Sylfaen" w:hAnsi="Sylfaen"/>
          <w:sz w:val="24"/>
          <w:szCs w:val="24"/>
        </w:rPr>
        <w:t>/20</w:t>
      </w:r>
      <w:r w:rsidR="008C013D" w:rsidRPr="008C013D">
        <w:rPr>
          <w:rFonts w:ascii="Sylfaen" w:hAnsi="Sylfaen"/>
          <w:sz w:val="24"/>
          <w:szCs w:val="24"/>
        </w:rPr>
        <w:tab/>
      </w:r>
      <w:r w:rsidRPr="00CA27E3">
        <w:rPr>
          <w:rFonts w:ascii="Sylfaen" w:hAnsi="Sylfaen"/>
          <w:sz w:val="24"/>
          <w:szCs w:val="24"/>
        </w:rPr>
        <w:t>)</w:t>
      </w:r>
    </w:p>
    <w:p w14:paraId="67650392" w14:textId="77777777" w:rsidR="00CA27E3" w:rsidRPr="00CA27E3" w:rsidRDefault="00CA27E3" w:rsidP="00CA27E3">
      <w:pPr>
        <w:pStyle w:val="Heading10"/>
        <w:shd w:val="clear" w:color="auto" w:fill="auto"/>
        <w:spacing w:after="160" w:line="360" w:lineRule="auto"/>
        <w:outlineLvl w:val="9"/>
        <w:rPr>
          <w:rFonts w:ascii="Sylfaen" w:hAnsi="Sylfaen"/>
          <w:b/>
          <w:bCs/>
          <w:i/>
          <w:iCs/>
          <w:sz w:val="24"/>
          <w:szCs w:val="24"/>
        </w:rPr>
      </w:pPr>
    </w:p>
    <w:p w14:paraId="2946F0E6" w14:textId="77777777" w:rsidR="00CA27E3" w:rsidRPr="00CA27E3" w:rsidRDefault="00CA27E3" w:rsidP="0034095C">
      <w:pPr>
        <w:pStyle w:val="Heading10"/>
        <w:shd w:val="clear" w:color="auto" w:fill="auto"/>
        <w:spacing w:after="160" w:line="360" w:lineRule="auto"/>
        <w:ind w:left="567" w:right="566"/>
        <w:outlineLvl w:val="9"/>
        <w:rPr>
          <w:rFonts w:ascii="Sylfaen" w:hAnsi="Sylfaen"/>
          <w:sz w:val="24"/>
          <w:szCs w:val="24"/>
        </w:rPr>
      </w:pPr>
      <w:r w:rsidRPr="00CA27E3">
        <w:rPr>
          <w:rFonts w:ascii="Sylfaen" w:hAnsi="Sylfaen"/>
          <w:b/>
          <w:sz w:val="24"/>
          <w:szCs w:val="24"/>
        </w:rPr>
        <w:t>ՊԱՀԱՆՋՆԵՐ</w:t>
      </w:r>
    </w:p>
    <w:p w14:paraId="219480DF" w14:textId="77777777" w:rsidR="00CA27E3" w:rsidRPr="00CA27E3" w:rsidRDefault="00CA27E3" w:rsidP="0034095C">
      <w:pPr>
        <w:pStyle w:val="Heading10"/>
        <w:shd w:val="clear" w:color="auto" w:fill="auto"/>
        <w:spacing w:after="160" w:line="360" w:lineRule="auto"/>
        <w:ind w:left="567" w:right="566"/>
        <w:outlineLvl w:val="9"/>
        <w:rPr>
          <w:rFonts w:ascii="Sylfaen" w:hAnsi="Sylfaen"/>
          <w:sz w:val="24"/>
          <w:szCs w:val="24"/>
        </w:rPr>
      </w:pPr>
      <w:r w:rsidRPr="00CA27E3">
        <w:rPr>
          <w:rFonts w:ascii="Sylfaen" w:hAnsi="Sylfaen"/>
          <w:b/>
          <w:sz w:val="24"/>
          <w:szCs w:val="24"/>
        </w:rPr>
        <w:t xml:space="preserve">կենցաղային՝ սպասք լվացող մեքենաների </w:t>
      </w:r>
      <w:r w:rsidR="0034095C" w:rsidRPr="0034095C">
        <w:rPr>
          <w:rFonts w:ascii="Sylfaen" w:hAnsi="Sylfaen"/>
          <w:b/>
          <w:sz w:val="24"/>
          <w:szCs w:val="24"/>
        </w:rPr>
        <w:br/>
      </w:r>
      <w:r w:rsidRPr="00CA27E3">
        <w:rPr>
          <w:rFonts w:ascii="Sylfaen" w:hAnsi="Sylfaen"/>
          <w:b/>
          <w:sz w:val="24"/>
          <w:szCs w:val="24"/>
        </w:rPr>
        <w:t>էներգետիկ արդյունավետությանը ներկայացվող</w:t>
      </w:r>
    </w:p>
    <w:p w14:paraId="5920B244" w14:textId="77777777" w:rsidR="00CA27E3" w:rsidRPr="00CA27E3" w:rsidRDefault="00CA27E3" w:rsidP="00CA27E3">
      <w:pPr>
        <w:pStyle w:val="1"/>
        <w:shd w:val="clear" w:color="auto" w:fill="auto"/>
        <w:spacing w:after="160"/>
        <w:ind w:left="1134" w:right="1126" w:firstLine="0"/>
        <w:jc w:val="center"/>
        <w:rPr>
          <w:rFonts w:ascii="Sylfaen" w:hAnsi="Sylfaen"/>
          <w:sz w:val="24"/>
          <w:szCs w:val="24"/>
        </w:rPr>
      </w:pPr>
    </w:p>
    <w:p w14:paraId="5663D0F0"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I. Կիրառության ոլորտը</w:t>
      </w:r>
    </w:p>
    <w:p w14:paraId="4E537927"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w:t>
      </w:r>
      <w:r w:rsidR="0034095C" w:rsidRPr="0034095C">
        <w:rPr>
          <w:rFonts w:ascii="Sylfaen" w:hAnsi="Sylfaen"/>
          <w:sz w:val="24"/>
          <w:szCs w:val="24"/>
        </w:rPr>
        <w:tab/>
      </w:r>
      <w:r w:rsidRPr="00CA27E3">
        <w:rPr>
          <w:rFonts w:ascii="Sylfaen" w:hAnsi="Sylfaen"/>
          <w:sz w:val="24"/>
          <w:szCs w:val="24"/>
        </w:rPr>
        <w:t>Սույն պահանջները տարածվում են մինչ</w:t>
      </w:r>
      <w:r>
        <w:rPr>
          <w:rFonts w:ascii="Sylfaen" w:hAnsi="Sylfaen"/>
          <w:sz w:val="24"/>
          <w:szCs w:val="24"/>
        </w:rPr>
        <w:t>եւ</w:t>
      </w:r>
      <w:r w:rsidRPr="00CA27E3">
        <w:rPr>
          <w:rFonts w:ascii="Sylfaen" w:hAnsi="Sylfaen"/>
          <w:sz w:val="24"/>
          <w:szCs w:val="24"/>
        </w:rPr>
        <w:t xml:space="preserve"> 230 Վ անվանական լարմամբ փոփոխական հոսանքի ցանցից սնվող՝ Եվրասիական տնտեսական միության (այսուհետ՝ Միություն) մաքսային տարածքում շրջանառության մեջ դրվող կենցաղային՝ սպասք լվացող մեքենաների վրա (այսուհետ՝ սպասք լվացող մեքենաներ), այդ թվում՝ </w:t>
      </w:r>
    </w:p>
    <w:p w14:paraId="735BB192"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34095C" w:rsidRPr="0034095C">
        <w:rPr>
          <w:rFonts w:ascii="Sylfaen" w:hAnsi="Sylfaen"/>
          <w:sz w:val="24"/>
          <w:szCs w:val="24"/>
        </w:rPr>
        <w:tab/>
      </w:r>
      <w:r w:rsidRPr="00CA27E3">
        <w:rPr>
          <w:rFonts w:ascii="Sylfaen" w:hAnsi="Sylfaen"/>
          <w:sz w:val="24"/>
          <w:szCs w:val="24"/>
        </w:rPr>
        <w:t>ոչ կենցաղային նպատակով կիրառվող.</w:t>
      </w:r>
    </w:p>
    <w:p w14:paraId="1FB8172A"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34095C" w:rsidRPr="0034095C">
        <w:rPr>
          <w:rFonts w:ascii="Sylfaen" w:hAnsi="Sylfaen"/>
          <w:sz w:val="24"/>
          <w:szCs w:val="24"/>
        </w:rPr>
        <w:tab/>
      </w:r>
      <w:r w:rsidRPr="00CA27E3">
        <w:rPr>
          <w:rFonts w:ascii="Sylfaen" w:hAnsi="Sylfaen"/>
          <w:sz w:val="24"/>
          <w:szCs w:val="24"/>
        </w:rPr>
        <w:t>նա</w:t>
      </w:r>
      <w:r>
        <w:rPr>
          <w:rFonts w:ascii="Sylfaen" w:hAnsi="Sylfaen"/>
          <w:sz w:val="24"/>
          <w:szCs w:val="24"/>
        </w:rPr>
        <w:t>եւ</w:t>
      </w:r>
      <w:r w:rsidRPr="00CA27E3">
        <w:rPr>
          <w:rFonts w:ascii="Sylfaen" w:hAnsi="Sylfaen"/>
          <w:sz w:val="24"/>
          <w:szCs w:val="24"/>
        </w:rPr>
        <w:t xml:space="preserve"> էլեկտրական մարտկոցներից (կուտակիչներից) աշխատելու հատկություն ունեցող.</w:t>
      </w:r>
    </w:p>
    <w:p w14:paraId="745D7A1A"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34095C" w:rsidRPr="00DC5495">
        <w:rPr>
          <w:rFonts w:ascii="Sylfaen" w:hAnsi="Sylfaen"/>
          <w:sz w:val="24"/>
          <w:szCs w:val="24"/>
        </w:rPr>
        <w:tab/>
      </w:r>
      <w:r w:rsidRPr="00CA27E3">
        <w:rPr>
          <w:rFonts w:ascii="Sylfaen" w:hAnsi="Sylfaen"/>
          <w:sz w:val="24"/>
          <w:szCs w:val="24"/>
        </w:rPr>
        <w:t>ներկառուցվող:</w:t>
      </w:r>
    </w:p>
    <w:p w14:paraId="41221B1A" w14:textId="77777777" w:rsidR="00CA27E3" w:rsidRPr="009E687F"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Եթե սպասք լվացող մեքենաների մասով ընդունված են Միության այլ տեխնիկական կանոնակարգեր (Մաքսային միության տեխնիկական կանոնակարգեր), որոնցով սահմանվում են դրանց ներկայացվող պահանջները, ապա սպասք լվացող մեքենաները պետք է համապատասխանեն Միության բոլոր </w:t>
      </w:r>
      <w:r w:rsidRPr="009E687F">
        <w:rPr>
          <w:rFonts w:ascii="Sylfaen" w:hAnsi="Sylfaen"/>
          <w:sz w:val="24"/>
          <w:szCs w:val="24"/>
        </w:rPr>
        <w:lastRenderedPageBreak/>
        <w:t>այն տեխնիկական կանոնակարգերի (Մաքսային միության տեխնիկական կանոնակարգերի) պահանջներին, որոնց գործողությունը տարածվում է դրանց վրա։</w:t>
      </w:r>
    </w:p>
    <w:p w14:paraId="54767E66" w14:textId="77777777" w:rsidR="00CA27E3" w:rsidRPr="00CA27E3" w:rsidRDefault="00CA27E3" w:rsidP="00CA27E3">
      <w:pPr>
        <w:pStyle w:val="1"/>
        <w:shd w:val="clear" w:color="auto" w:fill="auto"/>
        <w:spacing w:after="160"/>
        <w:ind w:firstLine="567"/>
        <w:jc w:val="both"/>
        <w:rPr>
          <w:rFonts w:ascii="Sylfaen" w:hAnsi="Sylfaen"/>
          <w:sz w:val="24"/>
          <w:szCs w:val="24"/>
        </w:rPr>
      </w:pPr>
    </w:p>
    <w:p w14:paraId="60DBF39B" w14:textId="77777777" w:rsidR="00CA27E3" w:rsidRPr="00CA27E3" w:rsidRDefault="00CA27E3" w:rsidP="0034095C">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t>II. Հիմնական հասկացությունները</w:t>
      </w:r>
    </w:p>
    <w:p w14:paraId="711D785E"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2.</w:t>
      </w:r>
      <w:r w:rsidR="0034095C" w:rsidRPr="0034095C">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129FA00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նե</w:t>
      </w:r>
      <w:r w:rsidR="0034095C" w:rsidRPr="0034095C">
        <w:rPr>
          <w:rFonts w:ascii="Sylfaen" w:hAnsi="Sylfaen"/>
          <w:b/>
          <w:sz w:val="24"/>
          <w:szCs w:val="24"/>
        </w:rPr>
        <w:t>րկառուցվող՝ սպասք լվացող մեքենա</w:t>
      </w:r>
      <w:r w:rsidRPr="0034095C">
        <w:rPr>
          <w:rFonts w:ascii="Sylfaen" w:hAnsi="Sylfaen"/>
          <w:b/>
          <w:sz w:val="24"/>
          <w:szCs w:val="24"/>
        </w:rPr>
        <w:t>՝</w:t>
      </w:r>
      <w:r w:rsidRPr="00CA27E3">
        <w:rPr>
          <w:rFonts w:ascii="Sylfaen" w:hAnsi="Sylfaen"/>
          <w:sz w:val="24"/>
          <w:szCs w:val="24"/>
        </w:rPr>
        <w:t xml:space="preserve"> սպասք լվացող մեքենա, որը նախատեսված է կահույքի մեջ, որմերի, պանելների, ցուցապահարանների, դարակաշարերի հատուկ պատրաստված անցքերում, խորացումներում, խորշերում, խցիկներում </w:t>
      </w:r>
      <w:r>
        <w:rPr>
          <w:rFonts w:ascii="Sylfaen" w:hAnsi="Sylfaen"/>
          <w:sz w:val="24"/>
          <w:szCs w:val="24"/>
        </w:rPr>
        <w:t>եւ</w:t>
      </w:r>
      <w:r w:rsidRPr="00CA27E3">
        <w:rPr>
          <w:rFonts w:ascii="Sylfaen" w:hAnsi="Sylfaen"/>
          <w:sz w:val="24"/>
          <w:szCs w:val="24"/>
        </w:rPr>
        <w:t xml:space="preserve"> այլ տեղերում զետեղելու համար.</w:t>
      </w:r>
    </w:p>
    <w:p w14:paraId="10CB7D12"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սպասքի լրակազմ</w:t>
      </w:r>
      <w:r w:rsidR="00CA27E3" w:rsidRPr="0034095C">
        <w:rPr>
          <w:rFonts w:ascii="Sylfaen" w:hAnsi="Sylfaen"/>
          <w:b/>
          <w:sz w:val="24"/>
          <w:szCs w:val="24"/>
        </w:rPr>
        <w:t>՝</w:t>
      </w:r>
      <w:r w:rsidR="00CA27E3" w:rsidRPr="00CA27E3">
        <w:rPr>
          <w:rFonts w:ascii="Sylfaen" w:hAnsi="Sylfaen"/>
          <w:sz w:val="24"/>
          <w:szCs w:val="24"/>
        </w:rPr>
        <w:t xml:space="preserve"> մեկ անձի համար նախատեսվող սպասքի </w:t>
      </w:r>
      <w:r w:rsidR="00CA27E3">
        <w:rPr>
          <w:rFonts w:ascii="Sylfaen" w:hAnsi="Sylfaen"/>
          <w:sz w:val="24"/>
          <w:szCs w:val="24"/>
        </w:rPr>
        <w:t>եւ</w:t>
      </w:r>
      <w:r w:rsidR="00CA27E3" w:rsidRPr="00CA27E3">
        <w:rPr>
          <w:rFonts w:ascii="Sylfaen" w:hAnsi="Sylfaen"/>
          <w:sz w:val="24"/>
          <w:szCs w:val="24"/>
        </w:rPr>
        <w:t xml:space="preserve"> ճաշասպասքի հավաքածու. </w:t>
      </w:r>
    </w:p>
    <w:p w14:paraId="6989E26B"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անվանական տարողություն</w:t>
      </w:r>
      <w:r w:rsidR="00CA27E3" w:rsidRPr="00CA27E3">
        <w:rPr>
          <w:rFonts w:ascii="Sylfaen" w:hAnsi="Sylfaen"/>
          <w:sz w:val="24"/>
          <w:szCs w:val="24"/>
        </w:rPr>
        <w:t>՝ արտադրողի կողմից այն սպասքի լրակազմի առավելագույն սահմանված քանակը, որը կարող է մշակվել սպասք լվացող մեքենայում մեկ գործողությամբ կամ գործողությունների մեկ ցիկլով ընտրված ծրագրին համապատասխան.</w:t>
      </w:r>
    </w:p>
    <w:p w14:paraId="69C01CA1"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սպասք լվացող մեքենա</w:t>
      </w:r>
      <w:r w:rsidR="00CA27E3" w:rsidRPr="0034095C">
        <w:rPr>
          <w:rFonts w:ascii="Sylfaen" w:hAnsi="Sylfaen"/>
          <w:b/>
          <w:sz w:val="24"/>
          <w:szCs w:val="24"/>
        </w:rPr>
        <w:t>՝</w:t>
      </w:r>
      <w:r w:rsidR="00CA27E3" w:rsidRPr="00CA27E3">
        <w:rPr>
          <w:rFonts w:ascii="Sylfaen" w:hAnsi="Sylfaen"/>
          <w:sz w:val="24"/>
          <w:szCs w:val="24"/>
        </w:rPr>
        <w:t xml:space="preserve"> հիմնականում ոչ պրոֆեսիոնալ օգտագործման համար նախատեսված մեքենա, որը մեխանիկական, ջերմային, էլեկտրական </w:t>
      </w:r>
      <w:r w:rsidR="00CA27E3">
        <w:rPr>
          <w:rFonts w:ascii="Sylfaen" w:hAnsi="Sylfaen"/>
          <w:sz w:val="24"/>
          <w:szCs w:val="24"/>
        </w:rPr>
        <w:t>եւ</w:t>
      </w:r>
      <w:r w:rsidR="00CA27E3" w:rsidRPr="00CA27E3">
        <w:rPr>
          <w:rFonts w:ascii="Sylfaen" w:hAnsi="Sylfaen"/>
          <w:sz w:val="24"/>
          <w:szCs w:val="24"/>
        </w:rPr>
        <w:t xml:space="preserve"> քիմիական ներգործության միջոցով իրականացնում է կերամիկական, ապակյա, մետաղական, պլաստմասսե </w:t>
      </w:r>
      <w:r w:rsidR="00CA27E3">
        <w:rPr>
          <w:rFonts w:ascii="Sylfaen" w:hAnsi="Sylfaen"/>
          <w:sz w:val="24"/>
          <w:szCs w:val="24"/>
        </w:rPr>
        <w:t>եւ</w:t>
      </w:r>
      <w:r w:rsidR="00CA27E3" w:rsidRPr="00CA27E3">
        <w:rPr>
          <w:rFonts w:ascii="Sylfaen" w:hAnsi="Sylfaen"/>
          <w:sz w:val="24"/>
          <w:szCs w:val="24"/>
        </w:rPr>
        <w:t xml:space="preserve"> այլ սպասքի, ճաշասպասքի </w:t>
      </w:r>
      <w:r w:rsidR="00CA27E3">
        <w:rPr>
          <w:rFonts w:ascii="Sylfaen" w:hAnsi="Sylfaen"/>
          <w:sz w:val="24"/>
          <w:szCs w:val="24"/>
        </w:rPr>
        <w:t>եւ</w:t>
      </w:r>
      <w:r w:rsidR="00CA27E3" w:rsidRPr="00CA27E3">
        <w:rPr>
          <w:rFonts w:ascii="Sylfaen" w:hAnsi="Sylfaen"/>
          <w:sz w:val="24"/>
          <w:szCs w:val="24"/>
        </w:rPr>
        <w:t xml:space="preserve"> խոհանոցային գույքի մաքրում, լվացում, պարզաջրում </w:t>
      </w:r>
      <w:r w:rsidR="00CA27E3">
        <w:rPr>
          <w:rFonts w:ascii="Sylfaen" w:hAnsi="Sylfaen"/>
          <w:sz w:val="24"/>
          <w:szCs w:val="24"/>
        </w:rPr>
        <w:t>եւ</w:t>
      </w:r>
      <w:r w:rsidR="00CA27E3" w:rsidRPr="00CA27E3">
        <w:rPr>
          <w:rFonts w:ascii="Sylfaen" w:hAnsi="Sylfaen"/>
          <w:sz w:val="24"/>
          <w:szCs w:val="24"/>
        </w:rPr>
        <w:t xml:space="preserve"> չորացում.</w:t>
      </w:r>
    </w:p>
    <w:p w14:paraId="0A172CB3" w14:textId="77777777" w:rsidR="0034095C"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ծրագիր</w:t>
      </w:r>
      <w:r w:rsidR="00CA27E3" w:rsidRPr="0034095C">
        <w:rPr>
          <w:rFonts w:ascii="Sylfaen" w:hAnsi="Sylfaen"/>
          <w:b/>
          <w:sz w:val="24"/>
          <w:szCs w:val="24"/>
        </w:rPr>
        <w:t>՝</w:t>
      </w:r>
      <w:r w:rsidR="00CA27E3" w:rsidRPr="00CA27E3">
        <w:rPr>
          <w:rFonts w:ascii="Sylfaen" w:hAnsi="Sylfaen"/>
          <w:sz w:val="24"/>
          <w:szCs w:val="24"/>
        </w:rPr>
        <w:t xml:space="preserve"> աղտոտման որոշակի աստիճանի կամ տիպի դեպքում սպասքի մշակման համար շահագործման փաստաթղթերով նախատեսված՝ նախապես սահմանված </w:t>
      </w:r>
      <w:r w:rsidR="00CA27E3">
        <w:rPr>
          <w:rFonts w:ascii="Sylfaen" w:hAnsi="Sylfaen"/>
          <w:sz w:val="24"/>
          <w:szCs w:val="24"/>
        </w:rPr>
        <w:t>եւ</w:t>
      </w:r>
      <w:r w:rsidR="00CA27E3" w:rsidRPr="00CA27E3">
        <w:rPr>
          <w:rFonts w:ascii="Sylfaen" w:hAnsi="Sylfaen"/>
          <w:sz w:val="24"/>
          <w:szCs w:val="24"/>
        </w:rPr>
        <w:t xml:space="preserve"> միասին ամբողջական ցիկլ կազմող գործողությունների շարք.</w:t>
      </w:r>
    </w:p>
    <w:p w14:paraId="361A8B32" w14:textId="77777777" w:rsidR="0034095C" w:rsidRDefault="0034095C">
      <w:pPr>
        <w:rPr>
          <w:rFonts w:ascii="Sylfaen" w:eastAsia="Times New Roman" w:hAnsi="Sylfaen" w:cs="Times New Roman"/>
          <w:color w:val="auto"/>
        </w:rPr>
      </w:pPr>
      <w:r>
        <w:rPr>
          <w:rFonts w:ascii="Sylfaen" w:hAnsi="Sylfaen"/>
        </w:rPr>
        <w:br w:type="page"/>
      </w:r>
    </w:p>
    <w:p w14:paraId="335AD189"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lastRenderedPageBreak/>
        <w:t>ծրագրի տեւ</w:t>
      </w:r>
      <w:r w:rsidR="0034095C" w:rsidRPr="0034095C">
        <w:rPr>
          <w:rFonts w:ascii="Sylfaen" w:hAnsi="Sylfaen"/>
          <w:b/>
          <w:sz w:val="24"/>
          <w:szCs w:val="24"/>
        </w:rPr>
        <w:t>ողություն</w:t>
      </w:r>
      <w:r w:rsidRPr="0034095C">
        <w:rPr>
          <w:rFonts w:ascii="Sylfaen" w:hAnsi="Sylfaen"/>
          <w:b/>
          <w:sz w:val="24"/>
          <w:szCs w:val="24"/>
        </w:rPr>
        <w:t>՝</w:t>
      </w:r>
      <w:r w:rsidRPr="00CA27E3">
        <w:rPr>
          <w:rFonts w:ascii="Sylfaen" w:hAnsi="Sylfaen"/>
          <w:sz w:val="24"/>
          <w:szCs w:val="24"/>
        </w:rPr>
        <w:t xml:space="preserve"> ծրագրի գործարկումից մինչ դրա ավարտն ընկած ժամանակահատվածը՝ առանց հաշվի առնելու օգտագործողի կողմից տրվող (ծրագրավորվող) կասեցումները.</w:t>
      </w:r>
    </w:p>
    <w:p w14:paraId="3E253C7A"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անջատման ռեժիմ</w:t>
      </w:r>
      <w:r w:rsidR="00CA27E3" w:rsidRPr="0034095C">
        <w:rPr>
          <w:rFonts w:ascii="Sylfaen" w:hAnsi="Sylfaen"/>
          <w:b/>
          <w:sz w:val="24"/>
          <w:szCs w:val="24"/>
        </w:rPr>
        <w:t>՝</w:t>
      </w:r>
      <w:r w:rsidR="00CA27E3" w:rsidRPr="00CA27E3">
        <w:rPr>
          <w:rFonts w:ascii="Sylfaen" w:hAnsi="Sylfaen"/>
          <w:sz w:val="24"/>
          <w:szCs w:val="24"/>
        </w:rPr>
        <w:t xml:space="preserve"> սնուցման աղբյուրին միացված </w:t>
      </w:r>
      <w:r w:rsidR="00CA27E3">
        <w:rPr>
          <w:rFonts w:ascii="Sylfaen" w:hAnsi="Sylfaen"/>
          <w:sz w:val="24"/>
          <w:szCs w:val="24"/>
        </w:rPr>
        <w:t>եւ</w:t>
      </w:r>
      <w:r w:rsidR="00CA27E3" w:rsidRPr="00CA27E3">
        <w:rPr>
          <w:rFonts w:ascii="Sylfaen" w:hAnsi="Sylfaen"/>
          <w:sz w:val="24"/>
          <w:szCs w:val="24"/>
        </w:rPr>
        <w:t xml:space="preserve"> շահագործման փաստաթղթերին համապատասխան օգտագործվող՝ սպասք լվացող մեքենայի վիճակ, որի ժամանակ այն անջատվում է օգտագործողին մատչելի կառավարման սարքվածքի կամ անջատիչի օգնությամբ՝ էներգիայի նվազագույն սպառման ռեժիմ ապահովելու նպատակով, որը կարող է շարունակվել անսահմանափակ </w:t>
      </w:r>
      <w:r w:rsidR="00CA27E3" w:rsidRPr="0034095C">
        <w:rPr>
          <w:rFonts w:ascii="Sylfaen" w:hAnsi="Sylfaen"/>
          <w:spacing w:val="-4"/>
          <w:sz w:val="24"/>
          <w:szCs w:val="24"/>
        </w:rPr>
        <w:t>ժամանակով, կամ էլ իրավիճակ, որի ժամանակ սպասք լվացող մեքենան անցնում է նվազագույն</w:t>
      </w:r>
      <w:r w:rsidR="00CA27E3" w:rsidRPr="00CA27E3">
        <w:rPr>
          <w:rFonts w:ascii="Sylfaen" w:hAnsi="Sylfaen"/>
          <w:sz w:val="24"/>
          <w:szCs w:val="24"/>
        </w:rPr>
        <w:t xml:space="preserve"> էներգասպառման ռեժիմի՝ օգտագործողի համար կառավարման միջոցների բացակայության դեպքում.</w:t>
      </w:r>
    </w:p>
    <w:p w14:paraId="358DE7A4"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սպասման ռեժիմ</w:t>
      </w:r>
      <w:r w:rsidR="00CA27E3" w:rsidRPr="0034095C">
        <w:rPr>
          <w:rFonts w:ascii="Sylfaen" w:hAnsi="Sylfaen"/>
          <w:b/>
          <w:sz w:val="24"/>
          <w:szCs w:val="24"/>
        </w:rPr>
        <w:t>՝</w:t>
      </w:r>
      <w:r w:rsidR="00CA27E3" w:rsidRPr="00CA27E3">
        <w:rPr>
          <w:rFonts w:ascii="Sylfaen" w:hAnsi="Sylfaen"/>
          <w:sz w:val="24"/>
          <w:szCs w:val="24"/>
        </w:rPr>
        <w:t xml:space="preserve"> էլեկտրական էներգիայի նվազագույն սպառման ռեժիմ, որն առանց օգտագործողի լրացուցիչ միջամտության (բացառությամբ սպասք լվացող մեքենայի բեռնաթափման գործողությունների) կարող է շարունակվել ցիկլն ավարտվելուց հետո անսահմանափակ ժամանակվա ընթացքում. </w:t>
      </w:r>
    </w:p>
    <w:p w14:paraId="1FFC57D2"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ցիկլ</w:t>
      </w:r>
      <w:r w:rsidR="00CA27E3" w:rsidRPr="0034095C">
        <w:rPr>
          <w:rFonts w:ascii="Sylfaen" w:hAnsi="Sylfaen"/>
          <w:b/>
          <w:sz w:val="24"/>
          <w:szCs w:val="24"/>
        </w:rPr>
        <w:t>՝</w:t>
      </w:r>
      <w:r w:rsidR="00CA27E3" w:rsidRPr="00CA27E3">
        <w:rPr>
          <w:rFonts w:ascii="Sylfaen" w:hAnsi="Sylfaen"/>
          <w:sz w:val="24"/>
          <w:szCs w:val="24"/>
        </w:rPr>
        <w:t xml:space="preserve"> տարբեր գործողությունների շարքից (մաքրում, լվացում, պարզաջրում, չորացում </w:t>
      </w:r>
      <w:r w:rsidR="00CA27E3">
        <w:rPr>
          <w:rFonts w:ascii="Sylfaen" w:hAnsi="Sylfaen"/>
          <w:sz w:val="24"/>
          <w:szCs w:val="24"/>
        </w:rPr>
        <w:t>եւ</w:t>
      </w:r>
      <w:r w:rsidR="00CA27E3" w:rsidRPr="00CA27E3">
        <w:rPr>
          <w:rFonts w:ascii="Sylfaen" w:hAnsi="Sylfaen"/>
          <w:sz w:val="24"/>
          <w:szCs w:val="24"/>
        </w:rPr>
        <w:t xml:space="preserve"> այլն) բաղկացած՝ ընտրված ծրագրին համապատասխան՝ սպասք լվացող մեքենայի աշխատանքի լրիվ գործընթացը. </w:t>
      </w:r>
    </w:p>
    <w:p w14:paraId="2EC1D394" w14:textId="77777777" w:rsidR="00CA27E3" w:rsidRPr="00CA27E3" w:rsidRDefault="0034095C" w:rsidP="00CA27E3">
      <w:pPr>
        <w:pStyle w:val="1"/>
        <w:shd w:val="clear" w:color="auto" w:fill="auto"/>
        <w:spacing w:after="160"/>
        <w:ind w:firstLine="567"/>
        <w:jc w:val="both"/>
        <w:rPr>
          <w:rFonts w:ascii="Sylfaen" w:hAnsi="Sylfaen"/>
          <w:sz w:val="24"/>
          <w:szCs w:val="24"/>
        </w:rPr>
      </w:pPr>
      <w:r w:rsidRPr="0034095C">
        <w:rPr>
          <w:rFonts w:ascii="Sylfaen" w:hAnsi="Sylfaen"/>
          <w:b/>
          <w:sz w:val="24"/>
          <w:szCs w:val="24"/>
        </w:rPr>
        <w:t>համարժեք սպասք լվացող մեքենա</w:t>
      </w:r>
      <w:r w:rsidR="00CA27E3" w:rsidRPr="0034095C">
        <w:rPr>
          <w:rFonts w:ascii="Sylfaen" w:hAnsi="Sylfaen"/>
          <w:b/>
          <w:sz w:val="24"/>
          <w:szCs w:val="24"/>
        </w:rPr>
        <w:t>՝</w:t>
      </w:r>
      <w:r w:rsidR="00CA27E3" w:rsidRPr="00CA27E3">
        <w:rPr>
          <w:rFonts w:ascii="Sylfaen" w:hAnsi="Sylfaen"/>
          <w:sz w:val="24"/>
          <w:szCs w:val="24"/>
        </w:rPr>
        <w:t xml:space="preserve"> այնպիսի ցուցանիշներով (անվանական տարողություն, տեխնիկական </w:t>
      </w:r>
      <w:r w:rsidR="00CA27E3">
        <w:rPr>
          <w:rFonts w:ascii="Sylfaen" w:hAnsi="Sylfaen"/>
          <w:sz w:val="24"/>
          <w:szCs w:val="24"/>
        </w:rPr>
        <w:t>եւ</w:t>
      </w:r>
      <w:r w:rsidR="00CA27E3" w:rsidRPr="00CA27E3">
        <w:rPr>
          <w:rFonts w:ascii="Sylfaen" w:hAnsi="Sylfaen"/>
          <w:sz w:val="24"/>
          <w:szCs w:val="24"/>
        </w:rPr>
        <w:t xml:space="preserve"> շահագործման բնութագրեր, էլեկտրական էներգիայի սպառում, ջրի ծախս, ձայնային հզորության շտկված մակարդակ) սպասք լվացող մեքենայի մոդել, որոնք համանման են այլ առ</w:t>
      </w:r>
      <w:r w:rsidR="00CA27E3">
        <w:rPr>
          <w:rFonts w:ascii="Sylfaen" w:hAnsi="Sylfaen"/>
          <w:sz w:val="24"/>
          <w:szCs w:val="24"/>
        </w:rPr>
        <w:t>եւ</w:t>
      </w:r>
      <w:r w:rsidR="00CA27E3" w:rsidRPr="00CA27E3">
        <w:rPr>
          <w:rFonts w:ascii="Sylfaen" w:hAnsi="Sylfaen"/>
          <w:sz w:val="24"/>
          <w:szCs w:val="24"/>
        </w:rPr>
        <w:t>տրային նշանով (անվանումով) Միության մաքսային տարածքում շրջանառության մեջ դրված՝ նույն արտադրողի՝ սպասք լվացող մեքենայի այլ մոդելի ցուցանիշներին:</w:t>
      </w:r>
    </w:p>
    <w:p w14:paraId="5CDEA8C2" w14:textId="77777777" w:rsidR="0034095C" w:rsidRDefault="0034095C">
      <w:pPr>
        <w:rPr>
          <w:rFonts w:ascii="Sylfaen" w:eastAsia="Times New Roman" w:hAnsi="Sylfaen" w:cs="Times New Roman"/>
          <w:color w:val="auto"/>
        </w:rPr>
      </w:pPr>
      <w:r>
        <w:rPr>
          <w:rFonts w:ascii="Sylfaen" w:hAnsi="Sylfaen"/>
        </w:rPr>
        <w:br w:type="page"/>
      </w:r>
    </w:p>
    <w:p w14:paraId="64FD0C11" w14:textId="77777777" w:rsidR="00CA27E3" w:rsidRPr="00CA27E3" w:rsidRDefault="00CA27E3" w:rsidP="0034095C">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lastRenderedPageBreak/>
        <w:t xml:space="preserve">III. Սպասք լվացող մեքենաների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5AC4D01A"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3.</w:t>
      </w:r>
      <w:r w:rsidR="0034095C" w:rsidRPr="0034095C">
        <w:rPr>
          <w:rFonts w:ascii="Sylfaen" w:hAnsi="Sylfaen"/>
          <w:sz w:val="24"/>
          <w:szCs w:val="24"/>
        </w:rPr>
        <w:tab/>
      </w:r>
      <w:r w:rsidRPr="00CA27E3">
        <w:rPr>
          <w:rFonts w:ascii="Sylfaen" w:hAnsi="Sylfaen"/>
          <w:sz w:val="24"/>
          <w:szCs w:val="24"/>
        </w:rPr>
        <w:t xml:space="preserve">Սպասք լվացող մեքենաների մասով պետք է կատարվեն համապատասխան փորձարկումներ (չափումներ) </w:t>
      </w:r>
      <w:r>
        <w:rPr>
          <w:rFonts w:ascii="Sylfaen" w:hAnsi="Sylfaen"/>
          <w:sz w:val="24"/>
          <w:szCs w:val="24"/>
        </w:rPr>
        <w:t>եւ</w:t>
      </w:r>
      <w:r w:rsidRPr="00CA27E3">
        <w:rPr>
          <w:rFonts w:ascii="Sylfaen" w:hAnsi="Sylfaen"/>
          <w:sz w:val="24"/>
          <w:szCs w:val="24"/>
        </w:rPr>
        <w:t xml:space="preserve"> որոշվեն հետ</w:t>
      </w:r>
      <w:r>
        <w:rPr>
          <w:rFonts w:ascii="Sylfaen" w:hAnsi="Sylfaen"/>
          <w:sz w:val="24"/>
          <w:szCs w:val="24"/>
        </w:rPr>
        <w:t>եւ</w:t>
      </w:r>
      <w:r w:rsidRPr="00CA27E3">
        <w:rPr>
          <w:rFonts w:ascii="Sylfaen" w:hAnsi="Sylfaen"/>
          <w:sz w:val="24"/>
          <w:szCs w:val="24"/>
        </w:rPr>
        <w:t>յալ պարամետրերը՝</w:t>
      </w:r>
    </w:p>
    <w:p w14:paraId="4B704CD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էներգետիկ արդյունավետության ցուցիչը (EEI).</w:t>
      </w:r>
    </w:p>
    <w:p w14:paraId="2E3F997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լվացման արդյունավետության ցուցիչը (IC). </w:t>
      </w:r>
    </w:p>
    <w:p w14:paraId="58EF0BC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չորացման արդյունավետության ցուցիչը (ID): </w:t>
      </w:r>
    </w:p>
    <w:p w14:paraId="65A4795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Անհրաժեշտ փորձարկումներով (չափումներով) համապատասխան հաշվարկները կատարվում են սույն պահանջների 4-7-րդ կետերին համապատասխան:</w:t>
      </w:r>
    </w:p>
    <w:p w14:paraId="71CFA51E"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Սպասք լվացող մեքենաների՝ էլեկտրական էներգիայի սպառման հաշվարկի </w:t>
      </w:r>
      <w:r>
        <w:rPr>
          <w:rFonts w:ascii="Sylfaen" w:hAnsi="Sylfaen"/>
          <w:sz w:val="24"/>
          <w:szCs w:val="24"/>
        </w:rPr>
        <w:t>եւ</w:t>
      </w:r>
      <w:r w:rsidRPr="00CA27E3">
        <w:rPr>
          <w:rFonts w:ascii="Sylfaen" w:hAnsi="Sylfaen"/>
          <w:sz w:val="24"/>
          <w:szCs w:val="24"/>
        </w:rPr>
        <w:t xml:space="preserve"> այլ բնութագրերի որոշման համար հարկ է կատարել լվացման տ</w:t>
      </w:r>
      <w:r>
        <w:rPr>
          <w:rFonts w:ascii="Sylfaen" w:hAnsi="Sylfaen"/>
          <w:sz w:val="24"/>
          <w:szCs w:val="24"/>
        </w:rPr>
        <w:t>եւ</w:t>
      </w:r>
      <w:r w:rsidRPr="00CA27E3">
        <w:rPr>
          <w:rFonts w:ascii="Sylfaen" w:hAnsi="Sylfaen"/>
          <w:sz w:val="24"/>
          <w:szCs w:val="24"/>
        </w:rPr>
        <w:t xml:space="preserve">ողության, տարեկան էներգասպառման, ջրի տարեկան ծախսի </w:t>
      </w:r>
      <w:r>
        <w:rPr>
          <w:rFonts w:ascii="Sylfaen" w:hAnsi="Sylfaen"/>
          <w:sz w:val="24"/>
          <w:szCs w:val="24"/>
        </w:rPr>
        <w:t>եւ</w:t>
      </w:r>
      <w:r w:rsidRPr="00CA27E3">
        <w:rPr>
          <w:rFonts w:ascii="Sylfaen" w:hAnsi="Sylfaen"/>
          <w:sz w:val="24"/>
          <w:szCs w:val="24"/>
        </w:rPr>
        <w:t xml:space="preserve"> լվանալու որակի չափումներ լրիվ ցիկլի համար, որի ընթացքում իրականացվում է ստանդարտ աղտոտմամբ առավելագույն անվանական տարողության մշակում (այսուհետ՝ լվանալու ստանդարտ ծրագիր): Այդ ցիկլը պետք է դրվի սպասք լվացող մեքենայում </w:t>
      </w:r>
      <w:r>
        <w:rPr>
          <w:rFonts w:ascii="Sylfaen" w:hAnsi="Sylfaen"/>
          <w:sz w:val="24"/>
          <w:szCs w:val="24"/>
        </w:rPr>
        <w:t>եւ</w:t>
      </w:r>
      <w:r w:rsidRPr="00CA27E3">
        <w:rPr>
          <w:rFonts w:ascii="Sylfaen" w:hAnsi="Sylfaen"/>
          <w:sz w:val="24"/>
          <w:szCs w:val="24"/>
        </w:rPr>
        <w:t xml:space="preserve"> (կամ) սպասք լվացող մեքենայի ցուցասարքի վրա, եթե այդպիսին առկա է ստանդարտ ծրագրում: Սպասք լվացող այն մեքենաներում, որոնք ունեն ծրագրերի ավտոմատ ընտրություն կամ ավտոմատ ընտրության կամ ընտրված ծրագրի պահպանման ֆունկցիա, այդ ցիկլը պետք է դրվի որպես ստանդարտ օգտագործվող ծրագիր:</w:t>
      </w:r>
    </w:p>
    <w:p w14:paraId="45FE57AD"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4.</w:t>
      </w:r>
      <w:r w:rsidR="0034095C" w:rsidRPr="0034095C">
        <w:rPr>
          <w:rFonts w:ascii="Sylfaen" w:hAnsi="Sylfaen"/>
          <w:sz w:val="24"/>
          <w:szCs w:val="24"/>
        </w:rPr>
        <w:tab/>
      </w:r>
      <w:r w:rsidRPr="00CA27E3">
        <w:rPr>
          <w:rFonts w:ascii="Sylfaen" w:hAnsi="Sylfaen"/>
          <w:sz w:val="24"/>
          <w:szCs w:val="24"/>
        </w:rPr>
        <w:t>Էներգետիկ արդյունավետության ցուցիչը (EEI)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1 տասնորդական նիշ կլորացմամբ)՝</w:t>
      </w:r>
    </w:p>
    <w:p w14:paraId="4976515A"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EEI = (AE</w:t>
      </w:r>
      <w:r w:rsidRPr="00CA27E3">
        <w:rPr>
          <w:rFonts w:ascii="Sylfaen" w:hAnsi="Sylfaen"/>
          <w:sz w:val="24"/>
          <w:szCs w:val="24"/>
          <w:vertAlign w:val="subscript"/>
        </w:rPr>
        <w:t xml:space="preserve">C </w:t>
      </w:r>
      <w:r w:rsidRPr="00CA27E3">
        <w:rPr>
          <w:rFonts w:ascii="Sylfaen" w:hAnsi="Sylfaen"/>
          <w:sz w:val="24"/>
          <w:szCs w:val="24"/>
        </w:rPr>
        <w:t>/ SAE</w:t>
      </w:r>
      <w:r w:rsidRPr="00CA27E3">
        <w:rPr>
          <w:rFonts w:ascii="Sylfaen" w:hAnsi="Sylfaen"/>
          <w:sz w:val="24"/>
          <w:szCs w:val="24"/>
          <w:vertAlign w:val="subscript"/>
        </w:rPr>
        <w:t>C</w:t>
      </w:r>
      <w:r w:rsidRPr="00CA27E3">
        <w:rPr>
          <w:rFonts w:ascii="Sylfaen" w:hAnsi="Sylfaen"/>
          <w:sz w:val="24"/>
          <w:szCs w:val="24"/>
        </w:rPr>
        <w:t>) × 100,</w:t>
      </w:r>
    </w:p>
    <w:p w14:paraId="5B1BCAC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որտեղ՝</w:t>
      </w:r>
    </w:p>
    <w:p w14:paraId="544003E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AE</w:t>
      </w:r>
      <w:r w:rsidRPr="00CA27E3">
        <w:rPr>
          <w:rFonts w:ascii="Sylfaen" w:hAnsi="Sylfaen"/>
          <w:sz w:val="24"/>
          <w:szCs w:val="24"/>
          <w:vertAlign w:val="subscript"/>
        </w:rPr>
        <w:t>C</w:t>
      </w:r>
      <w:r w:rsidRPr="00CA27E3">
        <w:rPr>
          <w:rFonts w:ascii="Sylfaen" w:hAnsi="Sylfaen"/>
          <w:sz w:val="24"/>
          <w:szCs w:val="24"/>
        </w:rPr>
        <w:t>-ն՝ սպասք լվացող մեքենայի՝ էլեկտրական էներգիայի տարեկան սպառումն է.</w:t>
      </w:r>
    </w:p>
    <w:p w14:paraId="36E257D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-ն՝ սպասք լվացող մեքենայի՝ էլեկտրական էներգիայի տարեկան ստանդարտ սպառումն է:</w:t>
      </w:r>
    </w:p>
    <w:p w14:paraId="245078F2" w14:textId="77777777" w:rsid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AE</w:t>
      </w:r>
      <w:r w:rsidRPr="00CA27E3">
        <w:rPr>
          <w:rFonts w:ascii="Sylfaen" w:hAnsi="Sylfaen"/>
          <w:sz w:val="24"/>
          <w:szCs w:val="24"/>
          <w:vertAlign w:val="subscript"/>
        </w:rPr>
        <w:t>C</w:t>
      </w:r>
      <w:r w:rsidRPr="00CA27E3">
        <w:rPr>
          <w:rFonts w:ascii="Sylfaen" w:hAnsi="Sylfaen"/>
          <w:sz w:val="24"/>
          <w:szCs w:val="24"/>
        </w:rPr>
        <w:t>-ն հաշվարկվում է (կՎտ·ժ/տարով)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w:t>
      </w:r>
      <w:r w:rsidR="0034095C" w:rsidRPr="0034095C">
        <w:rPr>
          <w:rFonts w:ascii="Sylfaen" w:hAnsi="Sylfaen"/>
          <w:sz w:val="24"/>
          <w:szCs w:val="24"/>
        </w:rPr>
        <w:t> </w:t>
      </w:r>
      <w:r w:rsidRPr="00CA27E3">
        <w:rPr>
          <w:rFonts w:ascii="Sylfaen" w:hAnsi="Sylfaen"/>
          <w:sz w:val="24"/>
          <w:szCs w:val="24"/>
        </w:rPr>
        <w:t>տասնորդական նիշ կլորացմամբ)՝</w:t>
      </w:r>
    </w:p>
    <w:p w14:paraId="3E3CAB57" w14:textId="77777777" w:rsidR="00CA27E3" w:rsidRPr="00CA27E3" w:rsidRDefault="00CA27E3" w:rsidP="0034095C">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t>AE</w:t>
      </w:r>
      <w:r w:rsidRPr="00CA27E3">
        <w:rPr>
          <w:rFonts w:ascii="Sylfaen" w:hAnsi="Sylfaen"/>
          <w:sz w:val="24"/>
          <w:szCs w:val="24"/>
          <w:vertAlign w:val="subscript"/>
        </w:rPr>
        <w:t>C</w:t>
      </w:r>
      <w:r w:rsidRPr="00CA27E3">
        <w:rPr>
          <w:rFonts w:ascii="Sylfaen" w:hAnsi="Sylfaen"/>
          <w:sz w:val="24"/>
          <w:szCs w:val="24"/>
        </w:rPr>
        <w:t xml:space="preserve"> = E</w:t>
      </w:r>
      <w:r w:rsidRPr="00CA27E3">
        <w:rPr>
          <w:rFonts w:ascii="Sylfaen" w:hAnsi="Sylfaen"/>
          <w:sz w:val="24"/>
          <w:szCs w:val="24"/>
          <w:vertAlign w:val="subscript"/>
        </w:rPr>
        <w:t>t</w:t>
      </w:r>
      <w:r w:rsidRPr="00CA27E3">
        <w:rPr>
          <w:rFonts w:ascii="Sylfaen" w:hAnsi="Sylfaen"/>
          <w:sz w:val="24"/>
          <w:szCs w:val="24"/>
        </w:rPr>
        <w:t xml:space="preserve"> × 280 + {Р</w:t>
      </w:r>
      <w:r w:rsidRPr="00CA27E3">
        <w:rPr>
          <w:rFonts w:ascii="Sylfaen" w:hAnsi="Sylfaen"/>
          <w:sz w:val="24"/>
          <w:szCs w:val="24"/>
          <w:vertAlign w:val="subscript"/>
        </w:rPr>
        <w:t>0</w:t>
      </w:r>
      <w:r w:rsidRPr="00CA27E3">
        <w:rPr>
          <w:rFonts w:ascii="Sylfaen" w:hAnsi="Sylfaen"/>
          <w:sz w:val="24"/>
          <w:szCs w:val="24"/>
        </w:rPr>
        <w:t xml:space="preserve"> × [525600 - (Tt × 280)] /2 + </w:t>
      </w:r>
      <w:r w:rsidR="0034095C">
        <w:rPr>
          <w:rFonts w:ascii="Sylfaen" w:hAnsi="Sylfaen"/>
          <w:sz w:val="24"/>
          <w:szCs w:val="24"/>
          <w:lang w:val="en-US"/>
        </w:rPr>
        <w:br/>
      </w:r>
      <w:r w:rsidRPr="00CA27E3">
        <w:rPr>
          <w:rFonts w:ascii="Sylfaen" w:hAnsi="Sylfaen"/>
          <w:sz w:val="24"/>
          <w:szCs w:val="24"/>
        </w:rPr>
        <w:t>P</w:t>
      </w:r>
      <w:r w:rsidRPr="00CA27E3">
        <w:rPr>
          <w:rFonts w:ascii="Sylfaen" w:hAnsi="Sylfaen"/>
          <w:sz w:val="24"/>
          <w:szCs w:val="24"/>
          <w:vertAlign w:val="subscript"/>
          <w:lang w:val="en-US"/>
        </w:rPr>
        <w:t>1</w:t>
      </w:r>
      <w:r w:rsidRPr="00CA27E3">
        <w:rPr>
          <w:rFonts w:ascii="Sylfaen" w:hAnsi="Sylfaen"/>
          <w:sz w:val="24"/>
          <w:szCs w:val="24"/>
        </w:rPr>
        <w:t xml:space="preserve"> × [525600 - (T</w:t>
      </w:r>
      <w:r w:rsidRPr="00CA27E3">
        <w:rPr>
          <w:rFonts w:ascii="Sylfaen" w:hAnsi="Sylfaen"/>
          <w:sz w:val="24"/>
          <w:szCs w:val="24"/>
          <w:vertAlign w:val="subscript"/>
        </w:rPr>
        <w:t>t</w:t>
      </w:r>
      <w:r w:rsidRPr="00CA27E3">
        <w:rPr>
          <w:rFonts w:ascii="Sylfaen" w:hAnsi="Sylfaen"/>
          <w:sz w:val="24"/>
          <w:szCs w:val="24"/>
        </w:rPr>
        <w:t xml:space="preserve"> × 280)] /2} / (60 × 1000),</w:t>
      </w:r>
    </w:p>
    <w:p w14:paraId="3885F0C3" w14:textId="77777777" w:rsidR="0034095C" w:rsidRDefault="0034095C" w:rsidP="009E687F">
      <w:pPr>
        <w:pStyle w:val="1"/>
        <w:shd w:val="clear" w:color="auto" w:fill="auto"/>
        <w:spacing w:after="160" w:line="346" w:lineRule="auto"/>
        <w:ind w:firstLine="567"/>
        <w:jc w:val="both"/>
        <w:rPr>
          <w:rFonts w:ascii="Sylfaen" w:hAnsi="Sylfaen"/>
          <w:sz w:val="24"/>
          <w:szCs w:val="24"/>
          <w:lang w:val="en-US"/>
        </w:rPr>
      </w:pPr>
    </w:p>
    <w:p w14:paraId="05723F9C" w14:textId="77777777" w:rsidR="00CA27E3" w:rsidRPr="00CA27E3" w:rsidRDefault="00CA27E3" w:rsidP="009E687F">
      <w:pPr>
        <w:pStyle w:val="1"/>
        <w:shd w:val="clear" w:color="auto" w:fill="auto"/>
        <w:spacing w:after="160" w:line="346" w:lineRule="auto"/>
        <w:ind w:firstLine="567"/>
        <w:jc w:val="both"/>
        <w:rPr>
          <w:rFonts w:ascii="Sylfaen" w:hAnsi="Sylfaen"/>
          <w:sz w:val="24"/>
          <w:szCs w:val="24"/>
        </w:rPr>
      </w:pPr>
      <w:r w:rsidRPr="00CA27E3">
        <w:rPr>
          <w:rFonts w:ascii="Sylfaen" w:hAnsi="Sylfaen"/>
          <w:sz w:val="24"/>
          <w:szCs w:val="24"/>
        </w:rPr>
        <w:t>որտեղ՝</w:t>
      </w:r>
    </w:p>
    <w:p w14:paraId="0AFF0430" w14:textId="77777777" w:rsidR="00CA27E3" w:rsidRPr="00CA27E3" w:rsidRDefault="00CA27E3" w:rsidP="009E687F">
      <w:pPr>
        <w:pStyle w:val="1"/>
        <w:shd w:val="clear" w:color="auto" w:fill="auto"/>
        <w:spacing w:after="160" w:line="346" w:lineRule="auto"/>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w:t>
      </w:r>
      <w:r w:rsidRPr="00CA27E3">
        <w:rPr>
          <w:rFonts w:ascii="Sylfaen" w:hAnsi="Sylfaen"/>
          <w:sz w:val="24"/>
          <w:szCs w:val="24"/>
        </w:rPr>
        <w:t>-ն՝ ստանդարտ ցիկլում էլեկտրական էներգիայի սպառումն է (կՎտ·ժ-ով)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745067F9" w14:textId="77777777" w:rsidR="00CA27E3" w:rsidRPr="00CA27E3" w:rsidRDefault="00CA27E3" w:rsidP="009E687F">
      <w:pPr>
        <w:pStyle w:val="1"/>
        <w:shd w:val="clear" w:color="auto" w:fill="auto"/>
        <w:spacing w:after="160" w:line="346" w:lineRule="auto"/>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o</w:t>
      </w:r>
      <w:r w:rsidRPr="00CA27E3">
        <w:rPr>
          <w:rFonts w:ascii="Sylfaen" w:hAnsi="Sylfaen"/>
          <w:sz w:val="24"/>
          <w:szCs w:val="24"/>
        </w:rPr>
        <w:t>-ն՝ անջատման ռեժիմում օգտագործվող հզորությունն է (Վտ-ով) (մինչ</w:t>
      </w:r>
      <w:r>
        <w:rPr>
          <w:rFonts w:ascii="Sylfaen" w:hAnsi="Sylfaen"/>
          <w:sz w:val="24"/>
          <w:szCs w:val="24"/>
        </w:rPr>
        <w:t>եւ</w:t>
      </w:r>
      <w:r w:rsidRPr="00CA27E3">
        <w:rPr>
          <w:rFonts w:ascii="Sylfaen" w:hAnsi="Sylfaen"/>
          <w:sz w:val="24"/>
          <w:szCs w:val="24"/>
        </w:rPr>
        <w:t xml:space="preserve"> 2</w:t>
      </w:r>
      <w:r w:rsidR="0034095C" w:rsidRPr="0034095C">
        <w:rPr>
          <w:rFonts w:ascii="Sylfaen" w:hAnsi="Sylfaen"/>
          <w:sz w:val="24"/>
          <w:szCs w:val="24"/>
        </w:rPr>
        <w:t> </w:t>
      </w:r>
      <w:r w:rsidRPr="00CA27E3">
        <w:rPr>
          <w:rFonts w:ascii="Sylfaen" w:hAnsi="Sylfaen"/>
          <w:sz w:val="24"/>
          <w:szCs w:val="24"/>
        </w:rPr>
        <w:t>տասնորդական նիշ կլորացմամբ).</w:t>
      </w:r>
    </w:p>
    <w:p w14:paraId="4BB1A0AF" w14:textId="77777777" w:rsidR="00CA27E3" w:rsidRPr="00CA27E3" w:rsidRDefault="00CA27E3" w:rsidP="009E687F">
      <w:pPr>
        <w:pStyle w:val="1"/>
        <w:shd w:val="clear" w:color="auto" w:fill="auto"/>
        <w:spacing w:after="160" w:line="346" w:lineRule="auto"/>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1</w:t>
      </w:r>
      <w:r w:rsidRPr="00CA27E3">
        <w:rPr>
          <w:rFonts w:ascii="Sylfaen" w:hAnsi="Sylfaen"/>
          <w:sz w:val="24"/>
          <w:szCs w:val="24"/>
        </w:rPr>
        <w:t>-ն՝ սպասման ռեժիմում օգտագործվող հզորությունն է (Վտ-ով) (մինչ</w:t>
      </w:r>
      <w:r>
        <w:rPr>
          <w:rFonts w:ascii="Sylfaen" w:hAnsi="Sylfaen"/>
          <w:sz w:val="24"/>
          <w:szCs w:val="24"/>
        </w:rPr>
        <w:t>եւ</w:t>
      </w:r>
      <w:r w:rsidRPr="00CA27E3">
        <w:rPr>
          <w:rFonts w:ascii="Sylfaen" w:hAnsi="Sylfaen"/>
          <w:sz w:val="24"/>
          <w:szCs w:val="24"/>
        </w:rPr>
        <w:t xml:space="preserve"> 2</w:t>
      </w:r>
      <w:r w:rsidR="0034095C" w:rsidRPr="0034095C">
        <w:rPr>
          <w:rFonts w:ascii="Sylfaen" w:hAnsi="Sylfaen"/>
          <w:sz w:val="24"/>
          <w:szCs w:val="24"/>
        </w:rPr>
        <w:t> </w:t>
      </w:r>
      <w:r w:rsidRPr="00CA27E3">
        <w:rPr>
          <w:rFonts w:ascii="Sylfaen" w:hAnsi="Sylfaen"/>
          <w:sz w:val="24"/>
          <w:szCs w:val="24"/>
        </w:rPr>
        <w:t>տասնորդական նիշ կլորացմամբ).</w:t>
      </w:r>
    </w:p>
    <w:p w14:paraId="786E42B2" w14:textId="77777777" w:rsidR="00CA27E3" w:rsidRPr="00CA27E3" w:rsidRDefault="00CA27E3" w:rsidP="009E687F">
      <w:pPr>
        <w:pStyle w:val="1"/>
        <w:shd w:val="clear" w:color="auto" w:fill="auto"/>
        <w:spacing w:after="160" w:line="346" w:lineRule="auto"/>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t</w:t>
      </w:r>
      <w:r w:rsidRPr="00CA27E3">
        <w:rPr>
          <w:rFonts w:ascii="Sylfaen" w:hAnsi="Sylfaen"/>
          <w:sz w:val="24"/>
          <w:szCs w:val="24"/>
        </w:rPr>
        <w:t>-ն՝ լվացման ստանդարտ ցիկլի ծրագրի աշխատանքի ժամանակն է (րոպեներով)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3901A0CC" w14:textId="77777777" w:rsidR="00CA27E3" w:rsidRPr="00CA27E3" w:rsidRDefault="00CA27E3" w:rsidP="009E687F">
      <w:pPr>
        <w:pStyle w:val="1"/>
        <w:shd w:val="clear" w:color="auto" w:fill="auto"/>
        <w:spacing w:after="160" w:line="346" w:lineRule="auto"/>
        <w:ind w:firstLine="567"/>
        <w:jc w:val="both"/>
        <w:rPr>
          <w:rFonts w:ascii="Sylfaen" w:hAnsi="Sylfaen"/>
          <w:sz w:val="24"/>
          <w:szCs w:val="24"/>
        </w:rPr>
      </w:pPr>
      <w:r w:rsidRPr="00CA27E3">
        <w:rPr>
          <w:rFonts w:ascii="Sylfaen" w:hAnsi="Sylfaen"/>
          <w:sz w:val="24"/>
          <w:szCs w:val="24"/>
        </w:rPr>
        <w:t>Եթե սպասք լվացող մեքենան համալրված է էներգասպառման կարգավորման համակարգով, որը ծրագիրն ավարտվելուն պես T</w:t>
      </w:r>
      <w:r w:rsidRPr="00CA27E3">
        <w:rPr>
          <w:rFonts w:ascii="Sylfaen" w:hAnsi="Sylfaen"/>
          <w:sz w:val="24"/>
          <w:szCs w:val="24"/>
          <w:vertAlign w:val="subscript"/>
        </w:rPr>
        <w:t>1</w:t>
      </w:r>
      <w:r w:rsidRPr="00CA27E3">
        <w:rPr>
          <w:rFonts w:ascii="Sylfaen" w:hAnsi="Sylfaen"/>
          <w:sz w:val="24"/>
          <w:szCs w:val="24"/>
        </w:rPr>
        <w:t xml:space="preserve"> ժամանակ անց ավտոմատ կերպով սպասք լվացող մեքենան փոխարկում է անջատ ռեժիմի, ապա AE</w:t>
      </w:r>
      <w:r w:rsidRPr="00CA27E3">
        <w:rPr>
          <w:rFonts w:ascii="Sylfaen" w:hAnsi="Sylfaen"/>
          <w:sz w:val="24"/>
          <w:szCs w:val="24"/>
          <w:vertAlign w:val="subscript"/>
        </w:rPr>
        <w:t>C</w:t>
      </w:r>
      <w:r w:rsidRPr="00CA27E3">
        <w:rPr>
          <w:rFonts w:ascii="Sylfaen" w:hAnsi="Sylfaen"/>
          <w:sz w:val="24"/>
          <w:szCs w:val="24"/>
        </w:rPr>
        <w:t>-ն հաշվարկվում է (կՎտ•ժ/տարով)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w:t>
      </w:r>
      <w:r w:rsidR="0034095C" w:rsidRPr="0034095C">
        <w:rPr>
          <w:rFonts w:ascii="Sylfaen" w:hAnsi="Sylfaen"/>
          <w:sz w:val="24"/>
          <w:szCs w:val="24"/>
        </w:rPr>
        <w:t> </w:t>
      </w:r>
      <w:r w:rsidRPr="00CA27E3">
        <w:rPr>
          <w:rFonts w:ascii="Sylfaen" w:hAnsi="Sylfaen"/>
          <w:sz w:val="24"/>
          <w:szCs w:val="24"/>
        </w:rPr>
        <w:t>տասնորդական նիշ կլորացմամբ)՝</w:t>
      </w:r>
    </w:p>
    <w:p w14:paraId="0E828EF3" w14:textId="77777777" w:rsidR="00CA27E3" w:rsidRPr="00CA27E3" w:rsidRDefault="00CA27E3" w:rsidP="0034095C">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t>AE</w:t>
      </w:r>
      <w:r w:rsidRPr="00CA27E3">
        <w:rPr>
          <w:rFonts w:ascii="Sylfaen" w:hAnsi="Sylfaen"/>
          <w:sz w:val="24"/>
          <w:szCs w:val="24"/>
          <w:vertAlign w:val="subscript"/>
        </w:rPr>
        <w:t>C</w:t>
      </w:r>
      <w:r w:rsidRPr="00CA27E3">
        <w:rPr>
          <w:rFonts w:ascii="Sylfaen" w:hAnsi="Sylfaen"/>
          <w:sz w:val="24"/>
          <w:szCs w:val="24"/>
        </w:rPr>
        <w:t xml:space="preserve"> = E</w:t>
      </w:r>
      <w:r w:rsidRPr="00CA27E3">
        <w:rPr>
          <w:rFonts w:ascii="Sylfaen" w:hAnsi="Sylfaen"/>
          <w:sz w:val="24"/>
          <w:szCs w:val="24"/>
          <w:vertAlign w:val="subscript"/>
        </w:rPr>
        <w:t>t</w:t>
      </w:r>
      <w:r w:rsidRPr="00CA27E3">
        <w:rPr>
          <w:rFonts w:ascii="Sylfaen" w:hAnsi="Sylfaen"/>
          <w:sz w:val="24"/>
          <w:szCs w:val="24"/>
        </w:rPr>
        <w:t xml:space="preserve"> × 280 + [P</w:t>
      </w:r>
      <w:r w:rsidRPr="00CA27E3">
        <w:rPr>
          <w:rFonts w:ascii="Sylfaen" w:hAnsi="Sylfaen"/>
          <w:sz w:val="24"/>
          <w:szCs w:val="24"/>
          <w:vertAlign w:val="subscript"/>
        </w:rPr>
        <w:t>l</w:t>
      </w:r>
      <w:r w:rsidRPr="00CA27E3">
        <w:rPr>
          <w:rFonts w:ascii="Sylfaen" w:hAnsi="Sylfaen"/>
          <w:sz w:val="24"/>
          <w:szCs w:val="24"/>
        </w:rPr>
        <w:t xml:space="preserve"> × T</w:t>
      </w:r>
      <w:r w:rsidRPr="00CA27E3">
        <w:rPr>
          <w:rFonts w:ascii="Sylfaen" w:hAnsi="Sylfaen"/>
          <w:sz w:val="24"/>
          <w:szCs w:val="24"/>
          <w:vertAlign w:val="subscript"/>
        </w:rPr>
        <w:t>l</w:t>
      </w:r>
      <w:r w:rsidRPr="00CA27E3">
        <w:rPr>
          <w:rFonts w:ascii="Sylfaen" w:hAnsi="Sylfaen"/>
          <w:sz w:val="24"/>
          <w:szCs w:val="24"/>
        </w:rPr>
        <w:t xml:space="preserve"> × 280 + P</w:t>
      </w:r>
      <w:r w:rsidRPr="00CA27E3">
        <w:rPr>
          <w:rFonts w:ascii="Sylfaen" w:hAnsi="Sylfaen"/>
          <w:sz w:val="24"/>
          <w:szCs w:val="24"/>
          <w:vertAlign w:val="subscript"/>
        </w:rPr>
        <w:t>o</w:t>
      </w:r>
      <w:r w:rsidRPr="00CA27E3">
        <w:rPr>
          <w:rFonts w:ascii="Sylfaen" w:hAnsi="Sylfaen"/>
          <w:sz w:val="24"/>
          <w:szCs w:val="24"/>
        </w:rPr>
        <w:t xml:space="preserve"> × (525600 - T</w:t>
      </w:r>
      <w:r w:rsidRPr="00CA27E3">
        <w:rPr>
          <w:rFonts w:ascii="Sylfaen" w:hAnsi="Sylfaen"/>
          <w:sz w:val="24"/>
          <w:szCs w:val="24"/>
          <w:vertAlign w:val="subscript"/>
        </w:rPr>
        <w:t>t</w:t>
      </w:r>
      <w:r w:rsidRPr="00CA27E3">
        <w:rPr>
          <w:rFonts w:ascii="Sylfaen" w:hAnsi="Sylfaen"/>
          <w:sz w:val="24"/>
          <w:szCs w:val="24"/>
        </w:rPr>
        <w:t xml:space="preserve"> × 280 - T</w:t>
      </w:r>
      <w:r w:rsidRPr="00CA27E3">
        <w:rPr>
          <w:rFonts w:ascii="Sylfaen" w:hAnsi="Sylfaen"/>
          <w:sz w:val="24"/>
          <w:szCs w:val="24"/>
          <w:vertAlign w:val="subscript"/>
        </w:rPr>
        <w:t>l</w:t>
      </w:r>
      <w:r w:rsidRPr="00CA27E3">
        <w:rPr>
          <w:rFonts w:ascii="Sylfaen" w:hAnsi="Sylfaen"/>
          <w:sz w:val="24"/>
          <w:szCs w:val="24"/>
        </w:rPr>
        <w:t xml:space="preserve"> × 280)]</w:t>
      </w:r>
      <w:r w:rsidR="009E687F">
        <w:rPr>
          <w:rFonts w:ascii="Sylfaen" w:hAnsi="Sylfaen"/>
          <w:sz w:val="24"/>
          <w:szCs w:val="24"/>
          <w:lang w:val="en-US"/>
        </w:rPr>
        <w:br/>
      </w:r>
      <w:r w:rsidRPr="00CA27E3">
        <w:rPr>
          <w:rFonts w:ascii="Sylfaen" w:hAnsi="Sylfaen"/>
          <w:sz w:val="24"/>
          <w:szCs w:val="24"/>
        </w:rPr>
        <w:t>/(60 × 1000),</w:t>
      </w:r>
    </w:p>
    <w:p w14:paraId="41B2B5C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որտեղ՝</w:t>
      </w:r>
    </w:p>
    <w:p w14:paraId="7FF4614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l</w:t>
      </w:r>
      <w:r w:rsidRPr="00CA27E3">
        <w:rPr>
          <w:rFonts w:ascii="Sylfaen" w:hAnsi="Sylfaen"/>
          <w:sz w:val="24"/>
          <w:szCs w:val="24"/>
        </w:rPr>
        <w:t>-ն՝ լվացման ստանդարտ ցիկլի համար միացված վիճակում (սպասման ռեժիմում) ժամանակն է (րոպեներով) (մինչ</w:t>
      </w:r>
      <w:r>
        <w:rPr>
          <w:rFonts w:ascii="Sylfaen" w:hAnsi="Sylfaen"/>
          <w:sz w:val="24"/>
          <w:szCs w:val="24"/>
        </w:rPr>
        <w:t>եւ</w:t>
      </w:r>
      <w:r w:rsidRPr="00CA27E3">
        <w:rPr>
          <w:rFonts w:ascii="Sylfaen" w:hAnsi="Sylfaen"/>
          <w:sz w:val="24"/>
          <w:szCs w:val="24"/>
        </w:rPr>
        <w:t xml:space="preserve"> մոտակա ամբողջ րոպե կլորացմամբ). </w:t>
      </w:r>
    </w:p>
    <w:p w14:paraId="5D455775"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280-ն՝ 1 տարում լվացման ստանդարտ ցիկլերի ընդհանուր քանակն է:</w:t>
      </w:r>
    </w:p>
    <w:p w14:paraId="4838FBD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Էլեկտրական էներգիայի ստանդարտ տարեկան սպառումը հաշվարկվում է (կՎտ·ժ/տարով) (մինչ</w:t>
      </w:r>
      <w:r>
        <w:rPr>
          <w:rFonts w:ascii="Sylfaen" w:hAnsi="Sylfaen"/>
          <w:sz w:val="24"/>
          <w:szCs w:val="24"/>
        </w:rPr>
        <w:t>եւ</w:t>
      </w:r>
      <w:r w:rsidRPr="00CA27E3">
        <w:rPr>
          <w:rFonts w:ascii="Sylfaen" w:hAnsi="Sylfaen"/>
          <w:sz w:val="24"/>
          <w:szCs w:val="24"/>
        </w:rPr>
        <w:t xml:space="preserve"> 2 տասնորդական նիշ կլորացմամբ)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4D226D3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սպասքի առնվազն 10 լրակազմ </w:t>
      </w:r>
      <w:r>
        <w:rPr>
          <w:rFonts w:ascii="Sylfaen" w:hAnsi="Sylfaen"/>
          <w:sz w:val="24"/>
          <w:szCs w:val="24"/>
        </w:rPr>
        <w:t>եւ</w:t>
      </w:r>
      <w:r w:rsidRPr="00CA27E3">
        <w:rPr>
          <w:rFonts w:ascii="Sylfaen" w:hAnsi="Sylfaen"/>
          <w:sz w:val="24"/>
          <w:szCs w:val="24"/>
        </w:rPr>
        <w:t xml:space="preserve"> 50 սմ-ից ոչ ավելի լայնությամբ՝ ps</w:t>
      </w:r>
      <w:r w:rsidR="0034095C" w:rsidRPr="0034095C">
        <w:rPr>
          <w:rFonts w:ascii="Sylfaen" w:hAnsi="Sylfaen"/>
          <w:sz w:val="24"/>
          <w:szCs w:val="24"/>
        </w:rPr>
        <w:t> </w:t>
      </w:r>
      <w:r w:rsidRPr="00CA27E3">
        <w:rPr>
          <w:rFonts w:ascii="Sylfaen" w:hAnsi="Sylfaen"/>
          <w:sz w:val="24"/>
          <w:szCs w:val="24"/>
        </w:rPr>
        <w:t>անվանական տարողությամբ՝ սպասք լվացող մեքենաների համար՝</w:t>
      </w:r>
    </w:p>
    <w:p w14:paraId="3CC52928"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 xml:space="preserve"> = 7,0 × ps + 378,</w:t>
      </w:r>
    </w:p>
    <w:p w14:paraId="72C8AA43" w14:textId="77777777" w:rsidR="00066F60" w:rsidRDefault="00066F60" w:rsidP="00CA27E3">
      <w:pPr>
        <w:pStyle w:val="1"/>
        <w:shd w:val="clear" w:color="auto" w:fill="auto"/>
        <w:spacing w:after="160"/>
        <w:ind w:firstLine="567"/>
        <w:jc w:val="both"/>
        <w:rPr>
          <w:rFonts w:ascii="Sylfaen" w:hAnsi="Sylfaen"/>
          <w:sz w:val="24"/>
          <w:szCs w:val="24"/>
        </w:rPr>
      </w:pPr>
    </w:p>
    <w:p w14:paraId="1738B82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սպասքի ոչ ավելի քան 9 լրակազմ </w:t>
      </w:r>
      <w:r>
        <w:rPr>
          <w:rFonts w:ascii="Sylfaen" w:hAnsi="Sylfaen"/>
          <w:sz w:val="24"/>
          <w:szCs w:val="24"/>
        </w:rPr>
        <w:t>եւ</w:t>
      </w:r>
      <w:r w:rsidRPr="00CA27E3">
        <w:rPr>
          <w:rFonts w:ascii="Sylfaen" w:hAnsi="Sylfaen"/>
          <w:sz w:val="24"/>
          <w:szCs w:val="24"/>
        </w:rPr>
        <w:t xml:space="preserve"> 50 սմ-ից ոչ ավելի լայնությամբ անվանական տարողությամբ՝ սպասք լվացող մեքենաների համար՝</w:t>
      </w:r>
    </w:p>
    <w:p w14:paraId="75FDE56B" w14:textId="77777777" w:rsidR="00CA27E3" w:rsidRPr="00CA27E3" w:rsidRDefault="00CA27E3" w:rsidP="00CA27E3">
      <w:pPr>
        <w:pStyle w:val="1"/>
        <w:shd w:val="clear" w:color="auto" w:fill="auto"/>
        <w:spacing w:after="160"/>
        <w:ind w:firstLine="0"/>
        <w:jc w:val="center"/>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 xml:space="preserve"> = 25,2 × ps + 126,</w:t>
      </w:r>
    </w:p>
    <w:p w14:paraId="2857229F" w14:textId="77777777" w:rsidR="00066F60" w:rsidRDefault="00066F60" w:rsidP="00CA27E3">
      <w:pPr>
        <w:pStyle w:val="1"/>
        <w:shd w:val="clear" w:color="auto" w:fill="auto"/>
        <w:spacing w:after="160"/>
        <w:ind w:firstLine="567"/>
        <w:jc w:val="both"/>
        <w:rPr>
          <w:rFonts w:ascii="Sylfaen" w:hAnsi="Sylfaen"/>
          <w:sz w:val="24"/>
          <w:szCs w:val="24"/>
        </w:rPr>
      </w:pPr>
    </w:p>
    <w:p w14:paraId="31D8053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474C74C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ps-ն՝ անվանական տարողությունն է: </w:t>
      </w:r>
    </w:p>
    <w:p w14:paraId="5B27FA49"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5.</w:t>
      </w:r>
      <w:r w:rsidR="0034095C" w:rsidRPr="0034095C">
        <w:rPr>
          <w:rFonts w:ascii="Sylfaen" w:hAnsi="Sylfaen"/>
          <w:sz w:val="24"/>
          <w:szCs w:val="24"/>
        </w:rPr>
        <w:tab/>
      </w:r>
      <w:r w:rsidRPr="00CA27E3">
        <w:rPr>
          <w:rFonts w:ascii="Sylfaen" w:hAnsi="Sylfaen"/>
          <w:sz w:val="24"/>
          <w:szCs w:val="24"/>
        </w:rPr>
        <w:t>Փորձարկվող՝ սպասք լվացող մեքենայի լվացման արդյունավետության ցուցիչը I</w:t>
      </w:r>
      <w:r w:rsidRPr="00CA27E3">
        <w:rPr>
          <w:rFonts w:ascii="Sylfaen" w:hAnsi="Sylfaen"/>
          <w:sz w:val="24"/>
          <w:szCs w:val="24"/>
          <w:vertAlign w:val="subscript"/>
        </w:rPr>
        <w:t>C</w:t>
      </w:r>
      <w:r w:rsidRPr="00CA27E3">
        <w:rPr>
          <w:rFonts w:ascii="Sylfaen" w:hAnsi="Sylfaen"/>
          <w:sz w:val="24"/>
          <w:szCs w:val="24"/>
        </w:rPr>
        <w:t xml:space="preserve"> հաշվարկելու համար կատարվում է դրա լվացման արդյունավետության համեմատում չափանմուշային՝ սպասք լվացող մեքենայի լվացման արդյունավետության հետ:</w:t>
      </w:r>
    </w:p>
    <w:p w14:paraId="27B9AB1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Լվացման արդյունավետության ցուցիչը (I</w:t>
      </w:r>
      <w:r w:rsidRPr="00CA27E3">
        <w:rPr>
          <w:rFonts w:ascii="Sylfaen" w:hAnsi="Sylfaen"/>
          <w:sz w:val="24"/>
          <w:szCs w:val="24"/>
          <w:vertAlign w:val="subscript"/>
        </w:rPr>
        <w:t>C</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18E68D9F" w14:textId="77777777" w:rsidR="00CA27E3" w:rsidRPr="00CA27E3" w:rsidRDefault="00000000" w:rsidP="00CA27E3">
      <w:pPr>
        <w:pStyle w:val="1"/>
        <w:shd w:val="clear" w:color="auto" w:fill="auto"/>
        <w:spacing w:after="160"/>
        <w:ind w:firstLine="720"/>
        <w:jc w:val="center"/>
        <w:rPr>
          <w:rFonts w:ascii="Sylfaen" w:hAnsi="Sylfaen"/>
          <w:sz w:val="24"/>
          <w:szCs w:val="24"/>
        </w:rPr>
      </w:pPr>
      <m:oMathPara>
        <m:oMath>
          <m:sSub>
            <m:sSubPr>
              <m:ctrlPr>
                <w:rPr>
                  <w:rFonts w:ascii="Cambria Math" w:hAnsi="Sylfaen"/>
                  <w:i/>
                  <w:sz w:val="24"/>
                  <w:szCs w:val="24"/>
                </w:rPr>
              </m:ctrlPr>
            </m:sSubPr>
            <m:e>
              <m:r>
                <w:rPr>
                  <w:rFonts w:ascii="Cambria Math" w:hAnsi="Cambria Math"/>
                  <w:sz w:val="24"/>
                  <w:szCs w:val="24"/>
                </w:rPr>
                <m:t>I</m:t>
              </m:r>
            </m:e>
            <m:sub>
              <m:r>
                <w:rPr>
                  <w:rFonts w:ascii="Cambria Math" w:hAnsi="Cambria Math"/>
                  <w:sz w:val="24"/>
                  <w:szCs w:val="24"/>
                </w:rPr>
                <m:t>C</m:t>
              </m:r>
            </m:sub>
          </m:sSub>
          <m:r>
            <w:rPr>
              <w:rFonts w:ascii="Cambria Math" w:hAnsi="Sylfaen"/>
              <w:sz w:val="24"/>
              <w:szCs w:val="24"/>
            </w:rPr>
            <m:t>=</m:t>
          </m:r>
          <m:r>
            <w:rPr>
              <w:rFonts w:ascii="Cambria Math" w:hAnsi="Cambria Math"/>
              <w:sz w:val="24"/>
              <w:szCs w:val="24"/>
            </w:rPr>
            <m:t>Exp</m:t>
          </m:r>
          <m:d>
            <m:dPr>
              <m:begChr m:val="["/>
              <m:endChr m:val="]"/>
              <m:ctrlPr>
                <w:rPr>
                  <w:rFonts w:ascii="Cambria Math" w:hAnsi="Sylfaen"/>
                  <w:i/>
                  <w:sz w:val="24"/>
                  <w:szCs w:val="24"/>
                </w:rPr>
              </m:ctrlPr>
            </m:dPr>
            <m:e>
              <m:d>
                <m:dPr>
                  <m:ctrlPr>
                    <w:rPr>
                      <w:rFonts w:ascii="Cambria Math" w:hAnsi="Sylfaen"/>
                      <w:i/>
                      <w:sz w:val="24"/>
                      <w:szCs w:val="24"/>
                    </w:rPr>
                  </m:ctrlPr>
                </m:dPr>
                <m:e>
                  <m:f>
                    <m:fPr>
                      <m:type m:val="lin"/>
                      <m:ctrlPr>
                        <w:rPr>
                          <w:rFonts w:ascii="Cambria Math" w:hAnsi="Sylfaen"/>
                          <w:i/>
                          <w:sz w:val="24"/>
                          <w:szCs w:val="24"/>
                        </w:rPr>
                      </m:ctrlPr>
                    </m:fPr>
                    <m:num>
                      <m:r>
                        <w:rPr>
                          <w:rFonts w:ascii="Cambria Math" w:hAnsi="Sylfaen"/>
                          <w:sz w:val="24"/>
                          <w:szCs w:val="24"/>
                        </w:rPr>
                        <m:t>1</m:t>
                      </m:r>
                    </m:num>
                    <m:den>
                      <m:r>
                        <w:rPr>
                          <w:rFonts w:ascii="Cambria Math" w:hAnsi="Cambria Math"/>
                          <w:sz w:val="24"/>
                          <w:szCs w:val="24"/>
                        </w:rPr>
                        <m:t>n</m:t>
                      </m:r>
                    </m:den>
                  </m:f>
                </m:e>
              </m:d>
              <m:r>
                <m:rPr>
                  <m:sty m:val="p"/>
                </m:rPr>
                <w:rPr>
                  <w:rFonts w:ascii="Sylfaen" w:hAnsi="Sylfaen"/>
                  <w:sz w:val="24"/>
                  <w:szCs w:val="24"/>
                </w:rPr>
                <m:t>×</m:t>
              </m:r>
              <m:nary>
                <m:naryPr>
                  <m:chr m:val="∑"/>
                  <m:limLoc m:val="undOvr"/>
                  <m:ctrlPr>
                    <w:rPr>
                      <w:rFonts w:ascii="Cambria Math" w:hAnsi="Sylfaen"/>
                      <w:i/>
                      <w:sz w:val="24"/>
                      <w:szCs w:val="24"/>
                    </w:rPr>
                  </m:ctrlPr>
                </m:naryPr>
                <m:sub>
                  <m:r>
                    <w:rPr>
                      <w:rFonts w:ascii="Cambria Math" w:hAnsi="Cambria Math"/>
                      <w:sz w:val="24"/>
                      <w:szCs w:val="24"/>
                    </w:rPr>
                    <m:t>i</m:t>
                  </m:r>
                  <m:r>
                    <w:rPr>
                      <w:rFonts w:ascii="Cambria Math" w:hAnsi="Sylfaen"/>
                      <w:sz w:val="24"/>
                      <w:szCs w:val="24"/>
                    </w:rPr>
                    <m:t>=1</m:t>
                  </m:r>
                </m:sub>
                <m:sup>
                  <m:r>
                    <w:rPr>
                      <w:rFonts w:ascii="Cambria Math" w:hAnsi="Cambria Math"/>
                      <w:sz w:val="24"/>
                      <w:szCs w:val="24"/>
                    </w:rPr>
                    <m:t>n</m:t>
                  </m:r>
                </m:sup>
                <m:e>
                  <m:func>
                    <m:funcPr>
                      <m:ctrlPr>
                        <w:rPr>
                          <w:rFonts w:ascii="Cambria Math" w:hAnsi="Sylfaen"/>
                          <w:i/>
                          <w:sz w:val="24"/>
                          <w:szCs w:val="24"/>
                        </w:rPr>
                      </m:ctrlPr>
                    </m:funcPr>
                    <m:fName>
                      <m:r>
                        <m:rPr>
                          <m:sty m:val="p"/>
                        </m:rPr>
                        <w:rPr>
                          <w:rFonts w:ascii="Cambria Math" w:hAnsi="Sylfaen"/>
                          <w:sz w:val="24"/>
                          <w:szCs w:val="24"/>
                        </w:rPr>
                        <m:t>ln</m:t>
                      </m:r>
                    </m:fName>
                    <m:e>
                      <m:d>
                        <m:dPr>
                          <m:ctrlPr>
                            <w:rPr>
                              <w:rFonts w:ascii="Cambria Math" w:hAnsi="Sylfaen"/>
                              <w:i/>
                              <w:sz w:val="24"/>
                              <w:szCs w:val="24"/>
                            </w:rPr>
                          </m:ctrlPr>
                        </m:dPr>
                        <m:e>
                          <m:f>
                            <m:fPr>
                              <m:type m:val="lin"/>
                              <m:ctrlPr>
                                <w:rPr>
                                  <w:rFonts w:ascii="Cambria Math" w:hAnsi="Sylfaen"/>
                                  <w:i/>
                                  <w:sz w:val="24"/>
                                  <w:szCs w:val="24"/>
                                </w:rPr>
                              </m:ctrlPr>
                            </m:fPr>
                            <m:num>
                              <m:sSub>
                                <m:sSubPr>
                                  <m:ctrlPr>
                                    <w:rPr>
                                      <w:rFonts w:ascii="Cambria Math" w:hAnsi="Sylfaen"/>
                                      <w:i/>
                                      <w:sz w:val="24"/>
                                      <w:szCs w:val="24"/>
                                    </w:rPr>
                                  </m:ctrlPr>
                                </m:sSubPr>
                                <m:e>
                                  <m:r>
                                    <w:rPr>
                                      <w:rFonts w:ascii="Cambria Math" w:hAnsi="Cambria Math"/>
                                      <w:sz w:val="24"/>
                                      <w:szCs w:val="24"/>
                                    </w:rPr>
                                    <m:t>C</m:t>
                                  </m:r>
                                </m:e>
                                <m:sub>
                                  <m:r>
                                    <w:rPr>
                                      <w:rFonts w:ascii="Cambria Math" w:hAnsi="Cambria Math"/>
                                      <w:sz w:val="24"/>
                                      <w:szCs w:val="24"/>
                                    </w:rPr>
                                    <m:t>T</m:t>
                                  </m:r>
                                  <m:r>
                                    <w:rPr>
                                      <w:rFonts w:ascii="Cambria Math" w:hAnsi="Sylfaen"/>
                                      <w:sz w:val="24"/>
                                      <w:szCs w:val="24"/>
                                    </w:rPr>
                                    <m:t>,</m:t>
                                  </m:r>
                                  <m:r>
                                    <w:rPr>
                                      <w:rFonts w:ascii="Cambria Math" w:hAnsi="Cambria Math"/>
                                      <w:sz w:val="24"/>
                                      <w:szCs w:val="24"/>
                                    </w:rPr>
                                    <m:t>i</m:t>
                                  </m:r>
                                </m:sub>
                              </m:sSub>
                            </m:num>
                            <m:den>
                              <m:sSub>
                                <m:sSubPr>
                                  <m:ctrlPr>
                                    <w:rPr>
                                      <w:rFonts w:ascii="Cambria Math" w:hAnsi="Sylfaen"/>
                                      <w:i/>
                                      <w:sz w:val="24"/>
                                      <w:szCs w:val="24"/>
                                    </w:rPr>
                                  </m:ctrlPr>
                                </m:sSubPr>
                                <m:e>
                                  <m:r>
                                    <w:rPr>
                                      <w:rFonts w:ascii="Cambria Math" w:hAnsi="Cambria Math"/>
                                      <w:sz w:val="24"/>
                                      <w:szCs w:val="24"/>
                                    </w:rPr>
                                    <m:t>C</m:t>
                                  </m:r>
                                </m:e>
                                <m:sub>
                                  <m:r>
                                    <w:rPr>
                                      <w:rFonts w:ascii="Sylfaen" w:hAnsi="Sylfaen"/>
                                      <w:sz w:val="24"/>
                                      <w:szCs w:val="24"/>
                                    </w:rPr>
                                    <m:t>Э</m:t>
                                  </m:r>
                                  <m:r>
                                    <w:rPr>
                                      <w:rFonts w:ascii="Cambria Math" w:hAnsi="Sylfaen"/>
                                      <w:sz w:val="24"/>
                                      <w:szCs w:val="24"/>
                                    </w:rPr>
                                    <m:t>,</m:t>
                                  </m:r>
                                  <m:r>
                                    <w:rPr>
                                      <w:rFonts w:ascii="Cambria Math" w:hAnsi="Cambria Math"/>
                                      <w:sz w:val="24"/>
                                      <w:szCs w:val="24"/>
                                    </w:rPr>
                                    <m:t>i</m:t>
                                  </m:r>
                                </m:sub>
                              </m:sSub>
                            </m:den>
                          </m:f>
                        </m:e>
                      </m:d>
                    </m:e>
                  </m:func>
                </m:e>
              </m:nary>
            </m:e>
          </m:d>
          <m:r>
            <w:rPr>
              <w:rFonts w:ascii="Cambria Math" w:hAnsi="Sylfaen"/>
              <w:sz w:val="24"/>
              <w:szCs w:val="24"/>
            </w:rPr>
            <m:t>,</m:t>
          </m:r>
        </m:oMath>
      </m:oMathPara>
    </w:p>
    <w:p w14:paraId="5FD3B99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որտեղ՝</w:t>
      </w:r>
    </w:p>
    <w:p w14:paraId="5882E15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C</w:t>
      </w:r>
      <w:r w:rsidRPr="00CA27E3">
        <w:rPr>
          <w:rFonts w:ascii="Sylfaen" w:hAnsi="Sylfaen"/>
          <w:sz w:val="24"/>
          <w:szCs w:val="24"/>
          <w:vertAlign w:val="subscript"/>
        </w:rPr>
        <w:t>T,i</w:t>
      </w:r>
      <w:r w:rsidRPr="00CA27E3">
        <w:rPr>
          <w:rFonts w:ascii="Sylfaen" w:hAnsi="Sylfaen"/>
          <w:sz w:val="24"/>
          <w:szCs w:val="24"/>
        </w:rPr>
        <w:t>-ն՝ 1 ցիկլի (i ցիկլի) ընթացքում փորձարկման ժամանակ թեստավորվող՝ սպասք լվացող մեքենայի լվացման արդյունավետությունն է.</w:t>
      </w:r>
    </w:p>
    <w:p w14:paraId="300BB58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C</w:t>
      </w:r>
      <w:r w:rsidRPr="00CA27E3">
        <w:rPr>
          <w:rFonts w:ascii="Sylfaen" w:hAnsi="Sylfaen"/>
          <w:sz w:val="24"/>
          <w:szCs w:val="24"/>
          <w:vertAlign w:val="subscript"/>
        </w:rPr>
        <w:t>Э,i</w:t>
      </w:r>
      <w:r w:rsidRPr="00CA27E3">
        <w:rPr>
          <w:rFonts w:ascii="Sylfaen" w:hAnsi="Sylfaen"/>
          <w:sz w:val="24"/>
          <w:szCs w:val="24"/>
        </w:rPr>
        <w:t>-ն՝ 1 ցիկլի (i ցիկլի) ընթացքում փորձարկման ժամանակ չափանմուշային՝ սպասք լվացող մեքենայի լվացման արդյունավետությունն է.</w:t>
      </w:r>
    </w:p>
    <w:p w14:paraId="4C3EC2B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n-ը՝ ցիկլերի քանակն է (պետք է լինի առնվազն 5):</w:t>
      </w:r>
    </w:p>
    <w:p w14:paraId="1EC1EBA9" w14:textId="77777777" w:rsidR="00CA27E3" w:rsidRPr="00DC5495"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Լվացման արդյունավետությունը (С) 1-ին աղյուսակի համաձայն՝ բալերով որոշվող լվացման ստանդարտ ցիկլն ավարտելուց հետո սպասք լվացող մեքենայում բեռնած ճաշասպասքի յուրաքանչյուր առարկայի աղտոտվածության աստիճանի միջին մեծությունն է:</w:t>
      </w:r>
    </w:p>
    <w:p w14:paraId="107A76CF" w14:textId="77777777" w:rsidR="0034095C" w:rsidRPr="00DC5495" w:rsidRDefault="0034095C" w:rsidP="00CA27E3">
      <w:pPr>
        <w:pStyle w:val="1"/>
        <w:shd w:val="clear" w:color="auto" w:fill="auto"/>
        <w:spacing w:after="160"/>
        <w:ind w:firstLine="567"/>
        <w:jc w:val="both"/>
        <w:rPr>
          <w:rFonts w:ascii="Sylfaen" w:hAnsi="Sylfaen"/>
          <w:sz w:val="24"/>
          <w:szCs w:val="24"/>
        </w:rPr>
      </w:pPr>
    </w:p>
    <w:p w14:paraId="452C9075" w14:textId="77777777" w:rsidR="00CA27E3" w:rsidRPr="00CA27E3" w:rsidRDefault="00CA27E3" w:rsidP="00CA27E3">
      <w:pPr>
        <w:pStyle w:val="1"/>
        <w:shd w:val="clear" w:color="auto" w:fill="auto"/>
        <w:spacing w:after="160"/>
        <w:ind w:firstLine="0"/>
        <w:jc w:val="right"/>
        <w:rPr>
          <w:rFonts w:ascii="Sylfaen" w:hAnsi="Sylfaen"/>
          <w:sz w:val="24"/>
          <w:szCs w:val="24"/>
        </w:rPr>
      </w:pPr>
      <w:r w:rsidRPr="00CA27E3">
        <w:rPr>
          <w:rFonts w:ascii="Sylfaen" w:hAnsi="Sylfaen"/>
          <w:sz w:val="24"/>
          <w:szCs w:val="24"/>
        </w:rPr>
        <w:t>Աղյուսակ 1</w:t>
      </w:r>
    </w:p>
    <w:p w14:paraId="59AEA741" w14:textId="77777777" w:rsidR="00CA27E3" w:rsidRPr="00CA27E3" w:rsidRDefault="00CA27E3" w:rsidP="0034095C">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t>Աղտոտվածության աստիճանի գնահատումը</w:t>
      </w:r>
    </w:p>
    <w:tbl>
      <w:tblPr>
        <w:tblOverlap w:val="never"/>
        <w:tblW w:w="9412" w:type="dxa"/>
        <w:jc w:val="center"/>
        <w:tblLayout w:type="fixed"/>
        <w:tblCellMar>
          <w:left w:w="10" w:type="dxa"/>
          <w:right w:w="10" w:type="dxa"/>
        </w:tblCellMar>
        <w:tblLook w:val="0000" w:firstRow="0" w:lastRow="0" w:firstColumn="0" w:lastColumn="0" w:noHBand="0" w:noVBand="0"/>
      </w:tblPr>
      <w:tblGrid>
        <w:gridCol w:w="2865"/>
        <w:gridCol w:w="2835"/>
        <w:gridCol w:w="3712"/>
      </w:tblGrid>
      <w:tr w:rsidR="00CA27E3" w:rsidRPr="00066F60" w14:paraId="03B8CDEF" w14:textId="77777777" w:rsidTr="007B461B">
        <w:trPr>
          <w:jc w:val="center"/>
        </w:trPr>
        <w:tc>
          <w:tcPr>
            <w:tcW w:w="2865" w:type="dxa"/>
            <w:tcBorders>
              <w:top w:val="single" w:sz="4" w:space="0" w:color="auto"/>
              <w:left w:val="single" w:sz="4" w:space="0" w:color="auto"/>
            </w:tcBorders>
            <w:shd w:val="clear" w:color="auto" w:fill="FFFFFF"/>
            <w:vAlign w:val="bottom"/>
          </w:tcPr>
          <w:p w14:paraId="1C533EC9" w14:textId="77777777" w:rsidR="00CA27E3" w:rsidRPr="00066F60" w:rsidRDefault="00CA27E3" w:rsidP="0034095C">
            <w:pPr>
              <w:pStyle w:val="Other0"/>
              <w:shd w:val="clear" w:color="auto" w:fill="auto"/>
              <w:spacing w:after="120"/>
              <w:ind w:right="131"/>
              <w:rPr>
                <w:rFonts w:ascii="Sylfaen" w:hAnsi="Sylfaen"/>
                <w:sz w:val="20"/>
                <w:szCs w:val="20"/>
              </w:rPr>
            </w:pPr>
            <w:r w:rsidRPr="00066F60">
              <w:rPr>
                <w:rFonts w:ascii="Sylfaen" w:hAnsi="Sylfaen"/>
                <w:sz w:val="20"/>
                <w:szCs w:val="20"/>
              </w:rPr>
              <w:t>Աղտոտման կետերի քանակը (n)</w:t>
            </w:r>
          </w:p>
        </w:tc>
        <w:tc>
          <w:tcPr>
            <w:tcW w:w="2835" w:type="dxa"/>
            <w:tcBorders>
              <w:top w:val="single" w:sz="4" w:space="0" w:color="auto"/>
              <w:left w:val="single" w:sz="4" w:space="0" w:color="auto"/>
            </w:tcBorders>
            <w:shd w:val="clear" w:color="auto" w:fill="FFFFFF"/>
            <w:vAlign w:val="bottom"/>
          </w:tcPr>
          <w:p w14:paraId="409C5426"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Աղտոտման ընդհանուր մակերեսը (A</w:t>
            </w:r>
            <w:r w:rsidRPr="00066F60">
              <w:rPr>
                <w:rFonts w:ascii="Sylfaen" w:hAnsi="Sylfaen"/>
                <w:sz w:val="20"/>
                <w:szCs w:val="20"/>
                <w:vertAlign w:val="subscript"/>
              </w:rPr>
              <w:t>S</w:t>
            </w:r>
            <w:r w:rsidRPr="00066F60">
              <w:rPr>
                <w:rFonts w:ascii="Sylfaen" w:hAnsi="Sylfaen"/>
                <w:sz w:val="20"/>
                <w:szCs w:val="20"/>
              </w:rPr>
              <w:t>) (մմ</w:t>
            </w:r>
            <w:r w:rsidRPr="00066F60">
              <w:rPr>
                <w:rFonts w:ascii="Sylfaen" w:hAnsi="Sylfaen"/>
                <w:sz w:val="20"/>
                <w:szCs w:val="20"/>
                <w:vertAlign w:val="superscript"/>
              </w:rPr>
              <w:t>2</w:t>
            </w:r>
            <w:r w:rsidRPr="00066F60">
              <w:rPr>
                <w:rFonts w:ascii="Sylfaen" w:hAnsi="Sylfaen"/>
                <w:sz w:val="20"/>
                <w:szCs w:val="20"/>
              </w:rPr>
              <w:t>)</w:t>
            </w:r>
          </w:p>
        </w:tc>
        <w:tc>
          <w:tcPr>
            <w:tcW w:w="3712" w:type="dxa"/>
            <w:tcBorders>
              <w:top w:val="single" w:sz="4" w:space="0" w:color="auto"/>
              <w:left w:val="single" w:sz="4" w:space="0" w:color="auto"/>
              <w:right w:val="single" w:sz="4" w:space="0" w:color="auto"/>
            </w:tcBorders>
            <w:shd w:val="clear" w:color="auto" w:fill="FFFFFF"/>
            <w:vAlign w:val="center"/>
          </w:tcPr>
          <w:p w14:paraId="4855194F"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Աղտոտվածության աստիճանի գնահատումը</w:t>
            </w:r>
          </w:p>
        </w:tc>
      </w:tr>
      <w:tr w:rsidR="00CA27E3" w:rsidRPr="00066F60" w14:paraId="4E4653B0" w14:textId="77777777" w:rsidTr="007B461B">
        <w:trPr>
          <w:jc w:val="center"/>
        </w:trPr>
        <w:tc>
          <w:tcPr>
            <w:tcW w:w="2865" w:type="dxa"/>
            <w:tcBorders>
              <w:top w:val="single" w:sz="4" w:space="0" w:color="auto"/>
              <w:left w:val="single" w:sz="4" w:space="0" w:color="auto"/>
            </w:tcBorders>
            <w:shd w:val="clear" w:color="auto" w:fill="FFFFFF"/>
            <w:vAlign w:val="bottom"/>
          </w:tcPr>
          <w:p w14:paraId="63C1025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n = 0</w:t>
            </w:r>
          </w:p>
        </w:tc>
        <w:tc>
          <w:tcPr>
            <w:tcW w:w="2835" w:type="dxa"/>
            <w:tcBorders>
              <w:top w:val="single" w:sz="4" w:space="0" w:color="auto"/>
              <w:left w:val="single" w:sz="4" w:space="0" w:color="auto"/>
            </w:tcBorders>
            <w:shd w:val="clear" w:color="auto" w:fill="FFFFFF"/>
            <w:vAlign w:val="bottom"/>
          </w:tcPr>
          <w:p w14:paraId="7E82DBFA"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A</w:t>
            </w:r>
            <w:r w:rsidRPr="00066F60">
              <w:rPr>
                <w:rFonts w:ascii="Sylfaen" w:hAnsi="Sylfaen"/>
                <w:sz w:val="20"/>
                <w:szCs w:val="20"/>
                <w:vertAlign w:val="subscript"/>
              </w:rPr>
              <w:t>S</w:t>
            </w:r>
            <w:r w:rsidRPr="00066F60">
              <w:rPr>
                <w:rFonts w:ascii="Sylfaen" w:hAnsi="Sylfaen"/>
                <w:sz w:val="20"/>
                <w:szCs w:val="20"/>
              </w:rPr>
              <w:t xml:space="preserve"> = 0</w:t>
            </w:r>
          </w:p>
        </w:tc>
        <w:tc>
          <w:tcPr>
            <w:tcW w:w="3712" w:type="dxa"/>
            <w:tcBorders>
              <w:top w:val="single" w:sz="4" w:space="0" w:color="auto"/>
              <w:left w:val="single" w:sz="4" w:space="0" w:color="auto"/>
              <w:right w:val="single" w:sz="4" w:space="0" w:color="auto"/>
            </w:tcBorders>
            <w:shd w:val="clear" w:color="auto" w:fill="FFFFFF"/>
            <w:vAlign w:val="bottom"/>
          </w:tcPr>
          <w:p w14:paraId="7D3DFE00"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5 (առավելագույն արդյունավետությունը)</w:t>
            </w:r>
          </w:p>
        </w:tc>
      </w:tr>
      <w:tr w:rsidR="00CA27E3" w:rsidRPr="00066F60" w14:paraId="3ADC0984" w14:textId="77777777" w:rsidTr="007B461B">
        <w:trPr>
          <w:jc w:val="center"/>
        </w:trPr>
        <w:tc>
          <w:tcPr>
            <w:tcW w:w="2865" w:type="dxa"/>
            <w:tcBorders>
              <w:top w:val="single" w:sz="4" w:space="0" w:color="auto"/>
              <w:left w:val="single" w:sz="4" w:space="0" w:color="auto"/>
            </w:tcBorders>
            <w:shd w:val="clear" w:color="auto" w:fill="FFFFFF"/>
            <w:vAlign w:val="center"/>
          </w:tcPr>
          <w:p w14:paraId="7B05735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 &lt; n ≤ 4</w:t>
            </w:r>
          </w:p>
        </w:tc>
        <w:tc>
          <w:tcPr>
            <w:tcW w:w="2835" w:type="dxa"/>
            <w:tcBorders>
              <w:top w:val="single" w:sz="4" w:space="0" w:color="auto"/>
              <w:left w:val="single" w:sz="4" w:space="0" w:color="auto"/>
            </w:tcBorders>
            <w:shd w:val="clear" w:color="auto" w:fill="FFFFFF"/>
            <w:vAlign w:val="center"/>
          </w:tcPr>
          <w:p w14:paraId="1B2763E5"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 &lt; A</w:t>
            </w:r>
            <w:r w:rsidRPr="00066F60">
              <w:rPr>
                <w:rFonts w:ascii="Sylfaen" w:hAnsi="Sylfaen"/>
                <w:sz w:val="20"/>
                <w:szCs w:val="20"/>
                <w:vertAlign w:val="subscript"/>
              </w:rPr>
              <w:t>S</w:t>
            </w:r>
            <w:r w:rsidRPr="00066F60">
              <w:rPr>
                <w:rFonts w:ascii="Sylfaen" w:hAnsi="Sylfaen"/>
                <w:sz w:val="20"/>
                <w:szCs w:val="20"/>
              </w:rPr>
              <w:t xml:space="preserve"> ≤ 4</w:t>
            </w:r>
          </w:p>
        </w:tc>
        <w:tc>
          <w:tcPr>
            <w:tcW w:w="3712" w:type="dxa"/>
            <w:tcBorders>
              <w:top w:val="single" w:sz="4" w:space="0" w:color="auto"/>
              <w:left w:val="single" w:sz="4" w:space="0" w:color="auto"/>
              <w:right w:val="single" w:sz="4" w:space="0" w:color="auto"/>
            </w:tcBorders>
            <w:shd w:val="clear" w:color="auto" w:fill="FFFFFF"/>
            <w:vAlign w:val="center"/>
          </w:tcPr>
          <w:p w14:paraId="5130092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4</w:t>
            </w:r>
          </w:p>
        </w:tc>
      </w:tr>
      <w:tr w:rsidR="00CA27E3" w:rsidRPr="00066F60" w14:paraId="24BA9179" w14:textId="77777777" w:rsidTr="007B461B">
        <w:trPr>
          <w:jc w:val="center"/>
        </w:trPr>
        <w:tc>
          <w:tcPr>
            <w:tcW w:w="2865" w:type="dxa"/>
            <w:tcBorders>
              <w:top w:val="single" w:sz="4" w:space="0" w:color="auto"/>
              <w:left w:val="single" w:sz="4" w:space="0" w:color="auto"/>
            </w:tcBorders>
            <w:shd w:val="clear" w:color="auto" w:fill="FFFFFF"/>
            <w:vAlign w:val="center"/>
          </w:tcPr>
          <w:p w14:paraId="2665D975"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4 &lt; n ≤ 10</w:t>
            </w:r>
          </w:p>
        </w:tc>
        <w:tc>
          <w:tcPr>
            <w:tcW w:w="2835" w:type="dxa"/>
            <w:tcBorders>
              <w:top w:val="single" w:sz="4" w:space="0" w:color="auto"/>
              <w:left w:val="single" w:sz="4" w:space="0" w:color="auto"/>
            </w:tcBorders>
            <w:shd w:val="clear" w:color="auto" w:fill="FFFFFF"/>
            <w:vAlign w:val="center"/>
          </w:tcPr>
          <w:p w14:paraId="2C54227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 &lt; A</w:t>
            </w:r>
            <w:r w:rsidRPr="00066F60">
              <w:rPr>
                <w:rFonts w:ascii="Sylfaen" w:hAnsi="Sylfaen"/>
                <w:sz w:val="20"/>
                <w:szCs w:val="20"/>
                <w:vertAlign w:val="subscript"/>
              </w:rPr>
              <w:t>S</w:t>
            </w:r>
            <w:r w:rsidRPr="00066F60">
              <w:rPr>
                <w:rFonts w:ascii="Sylfaen" w:hAnsi="Sylfaen"/>
                <w:sz w:val="20"/>
                <w:szCs w:val="20"/>
              </w:rPr>
              <w:t xml:space="preserve"> ≤ 4</w:t>
            </w:r>
          </w:p>
        </w:tc>
        <w:tc>
          <w:tcPr>
            <w:tcW w:w="3712" w:type="dxa"/>
            <w:tcBorders>
              <w:top w:val="single" w:sz="4" w:space="0" w:color="auto"/>
              <w:left w:val="single" w:sz="4" w:space="0" w:color="auto"/>
              <w:right w:val="single" w:sz="4" w:space="0" w:color="auto"/>
            </w:tcBorders>
            <w:shd w:val="clear" w:color="auto" w:fill="FFFFFF"/>
            <w:vAlign w:val="center"/>
          </w:tcPr>
          <w:p w14:paraId="32BA00B9"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3</w:t>
            </w:r>
          </w:p>
        </w:tc>
      </w:tr>
      <w:tr w:rsidR="00CA27E3" w:rsidRPr="00066F60" w14:paraId="2A1E84BF" w14:textId="77777777" w:rsidTr="007B461B">
        <w:trPr>
          <w:jc w:val="center"/>
        </w:trPr>
        <w:tc>
          <w:tcPr>
            <w:tcW w:w="2865" w:type="dxa"/>
            <w:tcBorders>
              <w:top w:val="single" w:sz="4" w:space="0" w:color="auto"/>
              <w:left w:val="single" w:sz="4" w:space="0" w:color="auto"/>
            </w:tcBorders>
            <w:shd w:val="clear" w:color="auto" w:fill="FFFFFF"/>
            <w:vAlign w:val="center"/>
          </w:tcPr>
          <w:p w14:paraId="246BA7C0"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10 &lt; n</w:t>
            </w:r>
          </w:p>
        </w:tc>
        <w:tc>
          <w:tcPr>
            <w:tcW w:w="2835" w:type="dxa"/>
            <w:tcBorders>
              <w:top w:val="single" w:sz="4" w:space="0" w:color="auto"/>
              <w:left w:val="single" w:sz="4" w:space="0" w:color="auto"/>
            </w:tcBorders>
            <w:shd w:val="clear" w:color="auto" w:fill="FFFFFF"/>
            <w:vAlign w:val="center"/>
          </w:tcPr>
          <w:p w14:paraId="510F2D9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4 &lt; A</w:t>
            </w:r>
            <w:r w:rsidRPr="00066F60">
              <w:rPr>
                <w:rFonts w:ascii="Sylfaen" w:hAnsi="Sylfaen"/>
                <w:sz w:val="20"/>
                <w:szCs w:val="20"/>
                <w:vertAlign w:val="subscript"/>
              </w:rPr>
              <w:t>S</w:t>
            </w:r>
            <w:r w:rsidRPr="00066F60">
              <w:rPr>
                <w:rFonts w:ascii="Sylfaen" w:hAnsi="Sylfaen"/>
                <w:sz w:val="20"/>
                <w:szCs w:val="20"/>
              </w:rPr>
              <w:t xml:space="preserve"> ≤ 50</w:t>
            </w:r>
          </w:p>
        </w:tc>
        <w:tc>
          <w:tcPr>
            <w:tcW w:w="3712" w:type="dxa"/>
            <w:tcBorders>
              <w:top w:val="single" w:sz="4" w:space="0" w:color="auto"/>
              <w:left w:val="single" w:sz="4" w:space="0" w:color="auto"/>
              <w:right w:val="single" w:sz="4" w:space="0" w:color="auto"/>
            </w:tcBorders>
            <w:shd w:val="clear" w:color="auto" w:fill="FFFFFF"/>
            <w:vAlign w:val="center"/>
          </w:tcPr>
          <w:p w14:paraId="4E54E693"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w:t>
            </w:r>
          </w:p>
        </w:tc>
      </w:tr>
      <w:tr w:rsidR="00CA27E3" w:rsidRPr="00066F60" w14:paraId="07008538" w14:textId="77777777" w:rsidTr="007B461B">
        <w:trPr>
          <w:jc w:val="center"/>
        </w:trPr>
        <w:tc>
          <w:tcPr>
            <w:tcW w:w="2865" w:type="dxa"/>
            <w:tcBorders>
              <w:top w:val="single" w:sz="4" w:space="0" w:color="auto"/>
              <w:left w:val="single" w:sz="4" w:space="0" w:color="auto"/>
            </w:tcBorders>
            <w:shd w:val="clear" w:color="auto" w:fill="FFFFFF"/>
            <w:vAlign w:val="center"/>
          </w:tcPr>
          <w:p w14:paraId="6FD76A13"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չի դիտարկվում</w:t>
            </w:r>
          </w:p>
        </w:tc>
        <w:tc>
          <w:tcPr>
            <w:tcW w:w="2835" w:type="dxa"/>
            <w:tcBorders>
              <w:top w:val="single" w:sz="4" w:space="0" w:color="auto"/>
              <w:left w:val="single" w:sz="4" w:space="0" w:color="auto"/>
            </w:tcBorders>
            <w:shd w:val="clear" w:color="auto" w:fill="FFFFFF"/>
            <w:vAlign w:val="center"/>
          </w:tcPr>
          <w:p w14:paraId="360D612D"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50 &lt; A</w:t>
            </w:r>
            <w:r w:rsidRPr="00066F60">
              <w:rPr>
                <w:rFonts w:ascii="Sylfaen" w:hAnsi="Sylfaen"/>
                <w:sz w:val="20"/>
                <w:szCs w:val="20"/>
                <w:vertAlign w:val="subscript"/>
              </w:rPr>
              <w:t>S</w:t>
            </w:r>
            <w:r w:rsidRPr="00066F60">
              <w:rPr>
                <w:rFonts w:ascii="Sylfaen" w:hAnsi="Sylfaen"/>
                <w:sz w:val="20"/>
                <w:szCs w:val="20"/>
              </w:rPr>
              <w:t xml:space="preserve"> ≤ 200</w:t>
            </w:r>
          </w:p>
        </w:tc>
        <w:tc>
          <w:tcPr>
            <w:tcW w:w="3712" w:type="dxa"/>
            <w:tcBorders>
              <w:top w:val="single" w:sz="4" w:space="0" w:color="auto"/>
              <w:left w:val="single" w:sz="4" w:space="0" w:color="auto"/>
              <w:right w:val="single" w:sz="4" w:space="0" w:color="auto"/>
            </w:tcBorders>
            <w:shd w:val="clear" w:color="auto" w:fill="FFFFFF"/>
            <w:vAlign w:val="center"/>
          </w:tcPr>
          <w:p w14:paraId="3A55C20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1</w:t>
            </w:r>
          </w:p>
        </w:tc>
      </w:tr>
      <w:tr w:rsidR="00CA27E3" w:rsidRPr="00066F60" w14:paraId="17BEAA65" w14:textId="77777777" w:rsidTr="007B461B">
        <w:trPr>
          <w:jc w:val="center"/>
        </w:trPr>
        <w:tc>
          <w:tcPr>
            <w:tcW w:w="2865" w:type="dxa"/>
            <w:tcBorders>
              <w:top w:val="single" w:sz="4" w:space="0" w:color="auto"/>
              <w:left w:val="single" w:sz="4" w:space="0" w:color="auto"/>
              <w:bottom w:val="single" w:sz="4" w:space="0" w:color="auto"/>
            </w:tcBorders>
            <w:shd w:val="clear" w:color="auto" w:fill="FFFFFF"/>
            <w:vAlign w:val="center"/>
          </w:tcPr>
          <w:p w14:paraId="3A037B8D"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չի դիտարկվում</w:t>
            </w:r>
          </w:p>
        </w:tc>
        <w:tc>
          <w:tcPr>
            <w:tcW w:w="2835" w:type="dxa"/>
            <w:tcBorders>
              <w:top w:val="single" w:sz="4" w:space="0" w:color="auto"/>
              <w:left w:val="single" w:sz="4" w:space="0" w:color="auto"/>
              <w:bottom w:val="single" w:sz="4" w:space="0" w:color="auto"/>
            </w:tcBorders>
            <w:shd w:val="clear" w:color="auto" w:fill="FFFFFF"/>
            <w:vAlign w:val="center"/>
          </w:tcPr>
          <w:p w14:paraId="32A7B1A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200 &lt; A</w:t>
            </w:r>
            <w:r w:rsidRPr="00066F60">
              <w:rPr>
                <w:rFonts w:ascii="Sylfaen" w:hAnsi="Sylfaen"/>
                <w:sz w:val="20"/>
                <w:szCs w:val="20"/>
                <w:vertAlign w:val="subscript"/>
              </w:rPr>
              <w:t>S</w:t>
            </w:r>
          </w:p>
        </w:tc>
        <w:tc>
          <w:tcPr>
            <w:tcW w:w="3712" w:type="dxa"/>
            <w:tcBorders>
              <w:top w:val="single" w:sz="4" w:space="0" w:color="auto"/>
              <w:left w:val="single" w:sz="4" w:space="0" w:color="auto"/>
              <w:bottom w:val="single" w:sz="4" w:space="0" w:color="auto"/>
              <w:right w:val="single" w:sz="4" w:space="0" w:color="auto"/>
            </w:tcBorders>
            <w:shd w:val="clear" w:color="auto" w:fill="FFFFFF"/>
            <w:vAlign w:val="center"/>
          </w:tcPr>
          <w:p w14:paraId="66564C6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 (նվազագույն արդյունավետությունը)</w:t>
            </w:r>
          </w:p>
        </w:tc>
      </w:tr>
    </w:tbl>
    <w:p w14:paraId="089BB265" w14:textId="77777777" w:rsidR="00CA27E3" w:rsidRPr="00CA27E3" w:rsidRDefault="00CA27E3" w:rsidP="00CA27E3">
      <w:pPr>
        <w:spacing w:after="160" w:line="360" w:lineRule="auto"/>
        <w:rPr>
          <w:rFonts w:ascii="Sylfaen" w:hAnsi="Sylfaen"/>
        </w:rPr>
      </w:pPr>
    </w:p>
    <w:p w14:paraId="58178E07" w14:textId="77777777" w:rsidR="0034095C"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6.</w:t>
      </w:r>
      <w:r w:rsidR="0034095C" w:rsidRPr="0034095C">
        <w:rPr>
          <w:rFonts w:ascii="Sylfaen" w:hAnsi="Sylfaen"/>
          <w:sz w:val="24"/>
          <w:szCs w:val="24"/>
        </w:rPr>
        <w:tab/>
      </w:r>
      <w:r w:rsidRPr="00CA27E3">
        <w:rPr>
          <w:rFonts w:ascii="Sylfaen" w:hAnsi="Sylfaen"/>
          <w:sz w:val="24"/>
          <w:szCs w:val="24"/>
        </w:rPr>
        <w:t>Փորձարկվող՝ սպասք լվացող մեքենայի չորացման արդյունավետության ցուցիչը (ID) հաշվարկելու համար կատարվում է դրա չորացման արդյունավետության համեմատում չափանմուշային՝ սպասք լվացող մեքենայի չորացման արդյունավետության հետ:</w:t>
      </w:r>
    </w:p>
    <w:p w14:paraId="1AB08B5F" w14:textId="77777777" w:rsidR="0034095C" w:rsidRDefault="0034095C">
      <w:pPr>
        <w:rPr>
          <w:rFonts w:ascii="Sylfaen" w:eastAsia="Times New Roman" w:hAnsi="Sylfaen" w:cs="Times New Roman"/>
          <w:color w:val="auto"/>
        </w:rPr>
      </w:pPr>
      <w:r>
        <w:rPr>
          <w:rFonts w:ascii="Sylfaen" w:hAnsi="Sylfaen"/>
        </w:rPr>
        <w:br w:type="page"/>
      </w:r>
    </w:p>
    <w:p w14:paraId="01DF736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I</w:t>
      </w:r>
      <w:r w:rsidRPr="00CA27E3">
        <w:rPr>
          <w:rFonts w:ascii="Sylfaen" w:hAnsi="Sylfaen"/>
          <w:sz w:val="24"/>
          <w:szCs w:val="24"/>
          <w:vertAlign w:val="subscript"/>
        </w:rPr>
        <w:t>D</w:t>
      </w:r>
      <w:r w:rsidRPr="00CA27E3">
        <w:rPr>
          <w:rFonts w:ascii="Sylfaen" w:hAnsi="Sylfaen"/>
          <w:sz w:val="24"/>
          <w:szCs w:val="24"/>
        </w:rPr>
        <w:t>-ն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745B49F3" w14:textId="77777777" w:rsidR="00CA27E3" w:rsidRPr="00CA27E3" w:rsidRDefault="00000000" w:rsidP="00CA27E3">
      <w:pPr>
        <w:pStyle w:val="1"/>
        <w:shd w:val="clear" w:color="auto" w:fill="auto"/>
        <w:spacing w:after="160"/>
        <w:ind w:firstLine="720"/>
        <w:jc w:val="center"/>
        <w:rPr>
          <w:rFonts w:ascii="Sylfaen" w:hAnsi="Sylfaen"/>
          <w:sz w:val="24"/>
          <w:szCs w:val="24"/>
        </w:rPr>
      </w:pPr>
      <m:oMathPara>
        <m:oMath>
          <m:sSub>
            <m:sSubPr>
              <m:ctrlPr>
                <w:rPr>
                  <w:rFonts w:ascii="Cambria Math" w:hAnsi="Sylfaen"/>
                  <w:i/>
                  <w:sz w:val="24"/>
                  <w:szCs w:val="24"/>
                </w:rPr>
              </m:ctrlPr>
            </m:sSubPr>
            <m:e>
              <m:r>
                <w:rPr>
                  <w:rFonts w:ascii="Cambria Math" w:hAnsi="Cambria Math"/>
                  <w:sz w:val="24"/>
                  <w:szCs w:val="24"/>
                </w:rPr>
                <m:t>I</m:t>
              </m:r>
            </m:e>
            <m:sub>
              <m:r>
                <w:rPr>
                  <w:rFonts w:ascii="Cambria Math" w:hAnsi="Cambria Math"/>
                  <w:sz w:val="24"/>
                  <w:szCs w:val="24"/>
                </w:rPr>
                <m:t>D</m:t>
              </m:r>
            </m:sub>
          </m:sSub>
          <m:r>
            <w:rPr>
              <w:rFonts w:ascii="Cambria Math" w:hAnsi="Sylfaen"/>
              <w:sz w:val="24"/>
              <w:szCs w:val="24"/>
            </w:rPr>
            <m:t>=</m:t>
          </m:r>
          <m:r>
            <w:rPr>
              <w:rFonts w:ascii="Cambria Math" w:hAnsi="Cambria Math"/>
              <w:sz w:val="24"/>
              <w:szCs w:val="24"/>
            </w:rPr>
            <m:t>Exp</m:t>
          </m:r>
          <m:d>
            <m:dPr>
              <m:begChr m:val="["/>
              <m:endChr m:val="]"/>
              <m:ctrlPr>
                <w:rPr>
                  <w:rFonts w:ascii="Cambria Math" w:hAnsi="Sylfaen"/>
                  <w:i/>
                  <w:sz w:val="24"/>
                  <w:szCs w:val="24"/>
                </w:rPr>
              </m:ctrlPr>
            </m:dPr>
            <m:e>
              <m:d>
                <m:dPr>
                  <m:ctrlPr>
                    <w:rPr>
                      <w:rFonts w:ascii="Cambria Math" w:hAnsi="Sylfaen"/>
                      <w:i/>
                      <w:sz w:val="24"/>
                      <w:szCs w:val="24"/>
                    </w:rPr>
                  </m:ctrlPr>
                </m:dPr>
                <m:e>
                  <m:f>
                    <m:fPr>
                      <m:type m:val="lin"/>
                      <m:ctrlPr>
                        <w:rPr>
                          <w:rFonts w:ascii="Cambria Math" w:hAnsi="Sylfaen"/>
                          <w:i/>
                          <w:sz w:val="24"/>
                          <w:szCs w:val="24"/>
                        </w:rPr>
                      </m:ctrlPr>
                    </m:fPr>
                    <m:num>
                      <m:r>
                        <w:rPr>
                          <w:rFonts w:ascii="Cambria Math" w:hAnsi="Sylfaen"/>
                          <w:sz w:val="24"/>
                          <w:szCs w:val="24"/>
                        </w:rPr>
                        <m:t>1</m:t>
                      </m:r>
                    </m:num>
                    <m:den>
                      <m:r>
                        <w:rPr>
                          <w:rFonts w:ascii="Cambria Math" w:hAnsi="Cambria Math"/>
                          <w:sz w:val="24"/>
                          <w:szCs w:val="24"/>
                        </w:rPr>
                        <m:t>n</m:t>
                      </m:r>
                    </m:den>
                  </m:f>
                </m:e>
              </m:d>
              <m:r>
                <m:rPr>
                  <m:sty m:val="p"/>
                </m:rPr>
                <w:rPr>
                  <w:rFonts w:ascii="Sylfaen" w:hAnsi="Sylfaen"/>
                  <w:sz w:val="24"/>
                  <w:szCs w:val="24"/>
                </w:rPr>
                <m:t>×</m:t>
              </m:r>
              <m:nary>
                <m:naryPr>
                  <m:chr m:val="∑"/>
                  <m:limLoc m:val="undOvr"/>
                  <m:ctrlPr>
                    <w:rPr>
                      <w:rFonts w:ascii="Cambria Math" w:hAnsi="Sylfaen"/>
                      <w:i/>
                      <w:sz w:val="24"/>
                      <w:szCs w:val="24"/>
                    </w:rPr>
                  </m:ctrlPr>
                </m:naryPr>
                <m:sub>
                  <m:r>
                    <w:rPr>
                      <w:rFonts w:ascii="Cambria Math" w:hAnsi="Cambria Math"/>
                      <w:sz w:val="24"/>
                      <w:szCs w:val="24"/>
                    </w:rPr>
                    <m:t>i</m:t>
                  </m:r>
                  <m:r>
                    <w:rPr>
                      <w:rFonts w:ascii="Cambria Math" w:hAnsi="Sylfaen"/>
                      <w:sz w:val="24"/>
                      <w:szCs w:val="24"/>
                    </w:rPr>
                    <m:t>=1</m:t>
                  </m:r>
                </m:sub>
                <m:sup>
                  <m:r>
                    <w:rPr>
                      <w:rFonts w:ascii="Cambria Math" w:hAnsi="Cambria Math"/>
                      <w:sz w:val="24"/>
                      <w:szCs w:val="24"/>
                    </w:rPr>
                    <m:t>n</m:t>
                  </m:r>
                </m:sup>
                <m:e>
                  <m:func>
                    <m:funcPr>
                      <m:ctrlPr>
                        <w:rPr>
                          <w:rFonts w:ascii="Cambria Math" w:hAnsi="Sylfaen"/>
                          <w:i/>
                          <w:sz w:val="24"/>
                          <w:szCs w:val="24"/>
                        </w:rPr>
                      </m:ctrlPr>
                    </m:funcPr>
                    <m:fName>
                      <m:r>
                        <m:rPr>
                          <m:sty m:val="p"/>
                        </m:rPr>
                        <w:rPr>
                          <w:rFonts w:ascii="Cambria Math" w:hAnsi="Sylfaen"/>
                          <w:sz w:val="24"/>
                          <w:szCs w:val="24"/>
                        </w:rPr>
                        <m:t>ln</m:t>
                      </m:r>
                    </m:fName>
                    <m:e>
                      <m:d>
                        <m:dPr>
                          <m:ctrlPr>
                            <w:rPr>
                              <w:rFonts w:ascii="Cambria Math" w:hAnsi="Sylfaen"/>
                              <w:i/>
                              <w:sz w:val="24"/>
                              <w:szCs w:val="24"/>
                            </w:rPr>
                          </m:ctrlPr>
                        </m:dPr>
                        <m:e>
                          <m:f>
                            <m:fPr>
                              <m:type m:val="lin"/>
                              <m:ctrlPr>
                                <w:rPr>
                                  <w:rFonts w:ascii="Cambria Math" w:hAnsi="Sylfaen"/>
                                  <w:i/>
                                  <w:sz w:val="24"/>
                                  <w:szCs w:val="24"/>
                                </w:rPr>
                              </m:ctrlPr>
                            </m:fPr>
                            <m:num>
                              <m:sSub>
                                <m:sSubPr>
                                  <m:ctrlPr>
                                    <w:rPr>
                                      <w:rFonts w:ascii="Cambria Math" w:hAnsi="Sylfaen"/>
                                      <w:i/>
                                      <w:sz w:val="24"/>
                                      <w:szCs w:val="24"/>
                                    </w:rPr>
                                  </m:ctrlPr>
                                </m:sSubPr>
                                <m:e>
                                  <m:r>
                                    <w:rPr>
                                      <w:rFonts w:ascii="Cambria Math" w:hAnsi="Cambria Math"/>
                                      <w:sz w:val="24"/>
                                      <w:szCs w:val="24"/>
                                    </w:rPr>
                                    <m:t>D</m:t>
                                  </m:r>
                                </m:e>
                                <m:sub>
                                  <m:r>
                                    <w:rPr>
                                      <w:rFonts w:ascii="Cambria Math" w:hAnsi="Cambria Math"/>
                                      <w:sz w:val="24"/>
                                      <w:szCs w:val="24"/>
                                    </w:rPr>
                                    <m:t>T</m:t>
                                  </m:r>
                                  <m:r>
                                    <w:rPr>
                                      <w:rFonts w:ascii="Cambria Math" w:hAnsi="Sylfaen"/>
                                      <w:sz w:val="24"/>
                                      <w:szCs w:val="24"/>
                                    </w:rPr>
                                    <m:t>,</m:t>
                                  </m:r>
                                  <m:r>
                                    <w:rPr>
                                      <w:rFonts w:ascii="Cambria Math" w:hAnsi="Cambria Math"/>
                                      <w:sz w:val="24"/>
                                      <w:szCs w:val="24"/>
                                    </w:rPr>
                                    <m:t>i</m:t>
                                  </m:r>
                                </m:sub>
                              </m:sSub>
                            </m:num>
                            <m:den>
                              <m:sSub>
                                <m:sSubPr>
                                  <m:ctrlPr>
                                    <w:rPr>
                                      <w:rFonts w:ascii="Cambria Math" w:hAnsi="Sylfaen"/>
                                      <w:i/>
                                      <w:sz w:val="24"/>
                                      <w:szCs w:val="24"/>
                                    </w:rPr>
                                  </m:ctrlPr>
                                </m:sSubPr>
                                <m:e>
                                  <m:r>
                                    <w:rPr>
                                      <w:rFonts w:ascii="Cambria Math" w:hAnsi="Cambria Math"/>
                                      <w:sz w:val="24"/>
                                      <w:szCs w:val="24"/>
                                    </w:rPr>
                                    <m:t>D</m:t>
                                  </m:r>
                                </m:e>
                                <m:sub>
                                  <m:r>
                                    <w:rPr>
                                      <w:rFonts w:ascii="Sylfaen" w:hAnsi="Sylfaen"/>
                                      <w:sz w:val="24"/>
                                      <w:szCs w:val="24"/>
                                    </w:rPr>
                                    <m:t>Э</m:t>
                                  </m:r>
                                  <m:r>
                                    <w:rPr>
                                      <w:rFonts w:ascii="Cambria Math" w:hAnsi="Sylfaen"/>
                                      <w:sz w:val="24"/>
                                      <w:szCs w:val="24"/>
                                    </w:rPr>
                                    <m:t>,</m:t>
                                  </m:r>
                                  <m:r>
                                    <w:rPr>
                                      <w:rFonts w:ascii="Cambria Math" w:hAnsi="Cambria Math"/>
                                      <w:sz w:val="24"/>
                                      <w:szCs w:val="24"/>
                                    </w:rPr>
                                    <m:t>i</m:t>
                                  </m:r>
                                </m:sub>
                              </m:sSub>
                            </m:den>
                          </m:f>
                        </m:e>
                      </m:d>
                    </m:e>
                  </m:func>
                </m:e>
              </m:nary>
            </m:e>
          </m:d>
          <m:r>
            <w:rPr>
              <w:rFonts w:ascii="Cambria Math" w:hAnsi="Sylfaen"/>
              <w:sz w:val="24"/>
              <w:szCs w:val="24"/>
            </w:rPr>
            <m:t>,</m:t>
          </m:r>
        </m:oMath>
      </m:oMathPara>
    </w:p>
    <w:p w14:paraId="6D30E211" w14:textId="77777777" w:rsidR="0034095C" w:rsidRDefault="0034095C" w:rsidP="00CA27E3">
      <w:pPr>
        <w:pStyle w:val="1"/>
        <w:shd w:val="clear" w:color="auto" w:fill="auto"/>
        <w:spacing w:after="160"/>
        <w:ind w:firstLine="567"/>
        <w:jc w:val="both"/>
        <w:rPr>
          <w:rFonts w:ascii="Sylfaen" w:hAnsi="Sylfaen"/>
          <w:sz w:val="24"/>
          <w:szCs w:val="24"/>
          <w:lang w:val="en-US"/>
        </w:rPr>
      </w:pPr>
    </w:p>
    <w:p w14:paraId="075DA19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որտեղ՝</w:t>
      </w:r>
    </w:p>
    <w:p w14:paraId="2E0CB143"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D</w:t>
      </w:r>
      <w:r w:rsidRPr="00CA27E3">
        <w:rPr>
          <w:rFonts w:ascii="Sylfaen" w:hAnsi="Sylfaen"/>
          <w:sz w:val="24"/>
          <w:szCs w:val="24"/>
          <w:vertAlign w:val="subscript"/>
        </w:rPr>
        <w:t>T,i</w:t>
      </w:r>
      <w:r w:rsidRPr="00CA27E3">
        <w:rPr>
          <w:rFonts w:ascii="Sylfaen" w:hAnsi="Sylfaen"/>
          <w:sz w:val="24"/>
          <w:szCs w:val="24"/>
        </w:rPr>
        <w:t>-ն՝ 1 ցիկլի (i ցիկլի) ընթացքում փորձարկման ժամանակ թեստավորվող՝ սպասք լվացող մեքենայի չորացման արդյունավետությունն է.</w:t>
      </w:r>
    </w:p>
    <w:p w14:paraId="37F932E7"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D</w:t>
      </w:r>
      <w:r w:rsidRPr="00CA27E3">
        <w:rPr>
          <w:rFonts w:ascii="Sylfaen" w:hAnsi="Sylfaen"/>
          <w:sz w:val="24"/>
          <w:szCs w:val="24"/>
          <w:vertAlign w:val="subscript"/>
        </w:rPr>
        <w:t>Э,i</w:t>
      </w:r>
      <w:r w:rsidRPr="00CA27E3">
        <w:rPr>
          <w:rFonts w:ascii="Sylfaen" w:hAnsi="Sylfaen"/>
          <w:sz w:val="24"/>
          <w:szCs w:val="24"/>
        </w:rPr>
        <w:t>-ն՝ 1 ցիկլի (i ցիկլի) ընթացքում փորձարկման ժամանակ չափանմուշային՝ սպասք լվացող մեքենայի չորացման արդյունավետությունն է.</w:t>
      </w:r>
    </w:p>
    <w:p w14:paraId="6E22A06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n-ը՝ ցիկլերի քանակն է (պետք է լինի առնվազն 5):</w:t>
      </w:r>
    </w:p>
    <w:p w14:paraId="4170A37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Լվացման արդյունավետությունը (D) 2-րդ աղյուսակի համաձայն բալերով որոշվող լվացման ստանդարտ ցիկլն ավարտելուց հետո սպասք լվացող մեքենայում բեռնած ճաշասպասքի յուրաքանչյուր առարկայի խոնավության առկայությունը բնութագրող միջին մեծությունն է:</w:t>
      </w:r>
    </w:p>
    <w:p w14:paraId="193C562A" w14:textId="77777777" w:rsidR="00066F60" w:rsidRDefault="00066F60" w:rsidP="00066F60">
      <w:pPr>
        <w:pStyle w:val="1"/>
        <w:shd w:val="clear" w:color="auto" w:fill="auto"/>
        <w:spacing w:after="160"/>
        <w:ind w:firstLine="567"/>
        <w:jc w:val="right"/>
        <w:rPr>
          <w:rFonts w:ascii="Sylfaen" w:hAnsi="Sylfaen"/>
          <w:sz w:val="24"/>
          <w:szCs w:val="24"/>
        </w:rPr>
      </w:pPr>
    </w:p>
    <w:p w14:paraId="3AC250BD" w14:textId="77777777" w:rsidR="00CA27E3" w:rsidRPr="00CA27E3" w:rsidRDefault="00CA27E3" w:rsidP="00066F60">
      <w:pPr>
        <w:pStyle w:val="1"/>
        <w:shd w:val="clear" w:color="auto" w:fill="auto"/>
        <w:spacing w:after="160"/>
        <w:ind w:firstLine="567"/>
        <w:jc w:val="right"/>
        <w:rPr>
          <w:rFonts w:ascii="Sylfaen" w:hAnsi="Sylfaen"/>
          <w:sz w:val="24"/>
          <w:szCs w:val="24"/>
        </w:rPr>
      </w:pPr>
      <w:r w:rsidRPr="00CA27E3">
        <w:rPr>
          <w:rFonts w:ascii="Sylfaen" w:hAnsi="Sylfaen"/>
          <w:sz w:val="24"/>
          <w:szCs w:val="24"/>
        </w:rPr>
        <w:t>Աղյուսակ 2</w:t>
      </w:r>
    </w:p>
    <w:p w14:paraId="4BA04770" w14:textId="77777777" w:rsidR="00CA27E3" w:rsidRPr="00CA27E3" w:rsidRDefault="00CA27E3" w:rsidP="0034095C">
      <w:pPr>
        <w:pStyle w:val="1"/>
        <w:shd w:val="clear" w:color="auto" w:fill="auto"/>
        <w:spacing w:after="160"/>
        <w:ind w:firstLine="0"/>
        <w:jc w:val="center"/>
        <w:rPr>
          <w:rFonts w:ascii="Sylfaen" w:hAnsi="Sylfaen"/>
          <w:sz w:val="24"/>
          <w:szCs w:val="24"/>
        </w:rPr>
      </w:pPr>
      <w:r w:rsidRPr="00CA27E3">
        <w:rPr>
          <w:rFonts w:ascii="Sylfaen" w:hAnsi="Sylfaen"/>
          <w:sz w:val="24"/>
          <w:szCs w:val="24"/>
        </w:rPr>
        <w:t>Խոնավության մակարդակի գնահատումը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03"/>
        <w:gridCol w:w="3120"/>
        <w:gridCol w:w="3662"/>
      </w:tblGrid>
      <w:tr w:rsidR="00CA27E3" w:rsidRPr="00066F60" w14:paraId="6E380712" w14:textId="77777777" w:rsidTr="0034095C">
        <w:trPr>
          <w:jc w:val="center"/>
        </w:trPr>
        <w:tc>
          <w:tcPr>
            <w:tcW w:w="2803" w:type="dxa"/>
            <w:tcBorders>
              <w:top w:val="single" w:sz="4" w:space="0" w:color="auto"/>
              <w:left w:val="single" w:sz="4" w:space="0" w:color="auto"/>
            </w:tcBorders>
            <w:shd w:val="clear" w:color="auto" w:fill="FFFFFF"/>
            <w:vAlign w:val="center"/>
          </w:tcPr>
          <w:p w14:paraId="5EE1794A"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Խոնավության (W</w:t>
            </w:r>
            <w:r w:rsidRPr="00066F60">
              <w:rPr>
                <w:rFonts w:ascii="Sylfaen" w:hAnsi="Sylfaen"/>
                <w:sz w:val="20"/>
                <w:szCs w:val="20"/>
                <w:vertAlign w:val="subscript"/>
              </w:rPr>
              <w:t>T</w:t>
            </w:r>
            <w:r w:rsidRPr="00066F60">
              <w:rPr>
                <w:rFonts w:ascii="Sylfaen" w:hAnsi="Sylfaen"/>
                <w:sz w:val="20"/>
                <w:szCs w:val="20"/>
              </w:rPr>
              <w:t>) եւ հոսակեղտերի (W</w:t>
            </w:r>
            <w:r w:rsidRPr="00066F60">
              <w:rPr>
                <w:rFonts w:ascii="Sylfaen" w:hAnsi="Sylfaen"/>
                <w:sz w:val="20"/>
                <w:szCs w:val="20"/>
                <w:vertAlign w:val="subscript"/>
              </w:rPr>
              <w:t>S</w:t>
            </w:r>
            <w:r w:rsidRPr="00066F60">
              <w:rPr>
                <w:rFonts w:ascii="Sylfaen" w:hAnsi="Sylfaen"/>
                <w:sz w:val="20"/>
                <w:szCs w:val="20"/>
              </w:rPr>
              <w:t>) կետերի քանակը</w:t>
            </w:r>
          </w:p>
        </w:tc>
        <w:tc>
          <w:tcPr>
            <w:tcW w:w="3120" w:type="dxa"/>
            <w:tcBorders>
              <w:top w:val="single" w:sz="4" w:space="0" w:color="auto"/>
              <w:left w:val="single" w:sz="4" w:space="0" w:color="auto"/>
            </w:tcBorders>
            <w:shd w:val="clear" w:color="auto" w:fill="FFFFFF"/>
            <w:vAlign w:val="center"/>
          </w:tcPr>
          <w:p w14:paraId="0AF6F16A" w14:textId="77777777" w:rsidR="00CA27E3" w:rsidRPr="00066F60" w:rsidRDefault="00CA27E3" w:rsidP="0034095C">
            <w:pPr>
              <w:pStyle w:val="Other0"/>
              <w:shd w:val="clear" w:color="auto" w:fill="auto"/>
              <w:spacing w:after="120"/>
              <w:ind w:right="127"/>
              <w:rPr>
                <w:rFonts w:ascii="Sylfaen" w:hAnsi="Sylfaen"/>
                <w:sz w:val="20"/>
                <w:szCs w:val="20"/>
              </w:rPr>
            </w:pPr>
            <w:r w:rsidRPr="00066F60">
              <w:rPr>
                <w:rFonts w:ascii="Sylfaen" w:hAnsi="Sylfaen"/>
                <w:sz w:val="20"/>
                <w:szCs w:val="20"/>
              </w:rPr>
              <w:t>Խոնավ հատվածների ընդհանուր մակերեսը (A</w:t>
            </w:r>
            <w:r w:rsidRPr="00066F60">
              <w:rPr>
                <w:rFonts w:ascii="Sylfaen" w:hAnsi="Sylfaen"/>
                <w:sz w:val="20"/>
                <w:szCs w:val="20"/>
                <w:vertAlign w:val="subscript"/>
              </w:rPr>
              <w:t>w</w:t>
            </w:r>
            <w:r w:rsidRPr="00066F60">
              <w:rPr>
                <w:rFonts w:ascii="Sylfaen" w:hAnsi="Sylfaen"/>
                <w:sz w:val="20"/>
                <w:szCs w:val="20"/>
              </w:rPr>
              <w:t>) (մմ</w:t>
            </w:r>
            <w:r w:rsidRPr="00066F60">
              <w:rPr>
                <w:rFonts w:ascii="Sylfaen" w:hAnsi="Sylfaen"/>
                <w:sz w:val="20"/>
                <w:szCs w:val="20"/>
                <w:vertAlign w:val="superscript"/>
              </w:rPr>
              <w:t>2</w:t>
            </w:r>
            <w:r w:rsidRPr="00066F60">
              <w:rPr>
                <w:rFonts w:ascii="Sylfaen" w:hAnsi="Sylfaen"/>
                <w:sz w:val="20"/>
                <w:szCs w:val="20"/>
              </w:rPr>
              <w:t>)</w:t>
            </w:r>
          </w:p>
        </w:tc>
        <w:tc>
          <w:tcPr>
            <w:tcW w:w="3662" w:type="dxa"/>
            <w:tcBorders>
              <w:top w:val="single" w:sz="4" w:space="0" w:color="auto"/>
              <w:left w:val="single" w:sz="4" w:space="0" w:color="auto"/>
              <w:right w:val="single" w:sz="4" w:space="0" w:color="auto"/>
            </w:tcBorders>
            <w:shd w:val="clear" w:color="auto" w:fill="FFFFFF"/>
            <w:vAlign w:val="center"/>
          </w:tcPr>
          <w:p w14:paraId="3E9827B4"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Խոնավության մակարդակի գնահատումը</w:t>
            </w:r>
          </w:p>
        </w:tc>
      </w:tr>
      <w:tr w:rsidR="00CA27E3" w:rsidRPr="00066F60" w14:paraId="1E5ABF48" w14:textId="77777777" w:rsidTr="0034095C">
        <w:trPr>
          <w:jc w:val="center"/>
        </w:trPr>
        <w:tc>
          <w:tcPr>
            <w:tcW w:w="2803" w:type="dxa"/>
            <w:tcBorders>
              <w:top w:val="single" w:sz="4" w:space="0" w:color="auto"/>
              <w:left w:val="single" w:sz="4" w:space="0" w:color="auto"/>
            </w:tcBorders>
            <w:shd w:val="clear" w:color="auto" w:fill="FFFFFF"/>
            <w:vAlign w:val="center"/>
          </w:tcPr>
          <w:p w14:paraId="76741FD8"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W</w:t>
            </w:r>
            <w:r w:rsidRPr="00066F60">
              <w:rPr>
                <w:rFonts w:ascii="Sylfaen" w:hAnsi="Sylfaen"/>
                <w:sz w:val="20"/>
                <w:szCs w:val="20"/>
                <w:vertAlign w:val="subscript"/>
              </w:rPr>
              <w:t>T</w:t>
            </w:r>
            <w:r w:rsidRPr="00066F60">
              <w:rPr>
                <w:rFonts w:ascii="Sylfaen" w:hAnsi="Sylfaen"/>
                <w:sz w:val="20"/>
                <w:szCs w:val="20"/>
              </w:rPr>
              <w:t xml:space="preserve"> = 0 եւ W</w:t>
            </w:r>
            <w:r w:rsidRPr="00066F60">
              <w:rPr>
                <w:rFonts w:ascii="Sylfaen" w:hAnsi="Sylfaen"/>
                <w:sz w:val="20"/>
                <w:szCs w:val="20"/>
                <w:vertAlign w:val="subscript"/>
              </w:rPr>
              <w:t>S</w:t>
            </w:r>
            <w:r w:rsidRPr="00066F60">
              <w:rPr>
                <w:rFonts w:ascii="Sylfaen" w:hAnsi="Sylfaen"/>
                <w:sz w:val="20"/>
                <w:szCs w:val="20"/>
              </w:rPr>
              <w:t xml:space="preserve"> = 0</w:t>
            </w:r>
          </w:p>
        </w:tc>
        <w:tc>
          <w:tcPr>
            <w:tcW w:w="3120" w:type="dxa"/>
            <w:tcBorders>
              <w:top w:val="single" w:sz="4" w:space="0" w:color="auto"/>
              <w:left w:val="single" w:sz="4" w:space="0" w:color="auto"/>
            </w:tcBorders>
            <w:shd w:val="clear" w:color="auto" w:fill="FFFFFF"/>
            <w:vAlign w:val="center"/>
          </w:tcPr>
          <w:p w14:paraId="5FF6874B"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չի դիտարկվում</w:t>
            </w:r>
          </w:p>
        </w:tc>
        <w:tc>
          <w:tcPr>
            <w:tcW w:w="3662" w:type="dxa"/>
            <w:tcBorders>
              <w:top w:val="single" w:sz="4" w:space="0" w:color="auto"/>
              <w:left w:val="single" w:sz="4" w:space="0" w:color="auto"/>
              <w:right w:val="single" w:sz="4" w:space="0" w:color="auto"/>
            </w:tcBorders>
            <w:shd w:val="clear" w:color="auto" w:fill="FFFFFF"/>
            <w:vAlign w:val="center"/>
          </w:tcPr>
          <w:p w14:paraId="0FB142C2"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2 (առավելագույն արդյունավետությունը)</w:t>
            </w:r>
          </w:p>
        </w:tc>
      </w:tr>
      <w:tr w:rsidR="00CA27E3" w:rsidRPr="00066F60" w14:paraId="087E9E95" w14:textId="77777777" w:rsidTr="0034095C">
        <w:trPr>
          <w:jc w:val="center"/>
        </w:trPr>
        <w:tc>
          <w:tcPr>
            <w:tcW w:w="2803" w:type="dxa"/>
            <w:tcBorders>
              <w:top w:val="single" w:sz="4" w:space="0" w:color="auto"/>
              <w:left w:val="single" w:sz="4" w:space="0" w:color="auto"/>
            </w:tcBorders>
            <w:shd w:val="clear" w:color="auto" w:fill="FFFFFF"/>
            <w:vAlign w:val="center"/>
          </w:tcPr>
          <w:p w14:paraId="1A68E67B" w14:textId="77777777" w:rsidR="00CA27E3" w:rsidRPr="00066F60" w:rsidRDefault="00CA27E3" w:rsidP="0034095C">
            <w:pPr>
              <w:pStyle w:val="Other0"/>
              <w:shd w:val="clear" w:color="auto" w:fill="auto"/>
              <w:spacing w:after="120"/>
              <w:ind w:firstLine="300"/>
              <w:rPr>
                <w:rFonts w:ascii="Sylfaen" w:hAnsi="Sylfaen"/>
                <w:sz w:val="20"/>
                <w:szCs w:val="20"/>
              </w:rPr>
            </w:pPr>
            <w:r w:rsidRPr="00066F60">
              <w:rPr>
                <w:rFonts w:ascii="Sylfaen" w:hAnsi="Sylfaen"/>
                <w:sz w:val="20"/>
                <w:szCs w:val="20"/>
              </w:rPr>
              <w:t>1 &lt; W</w:t>
            </w:r>
            <w:r w:rsidRPr="00066F60">
              <w:rPr>
                <w:rFonts w:ascii="Sylfaen" w:hAnsi="Sylfaen"/>
                <w:sz w:val="20"/>
                <w:szCs w:val="20"/>
                <w:vertAlign w:val="subscript"/>
              </w:rPr>
              <w:t>T</w:t>
            </w:r>
            <w:r w:rsidRPr="00066F60">
              <w:rPr>
                <w:rFonts w:ascii="Sylfaen" w:hAnsi="Sylfaen"/>
                <w:sz w:val="20"/>
                <w:szCs w:val="20"/>
              </w:rPr>
              <w:t xml:space="preserve"> ≤ 2 կամ Ws = 1</w:t>
            </w:r>
          </w:p>
        </w:tc>
        <w:tc>
          <w:tcPr>
            <w:tcW w:w="3120" w:type="dxa"/>
            <w:tcBorders>
              <w:top w:val="single" w:sz="4" w:space="0" w:color="auto"/>
              <w:left w:val="single" w:sz="4" w:space="0" w:color="auto"/>
            </w:tcBorders>
            <w:shd w:val="clear" w:color="auto" w:fill="FFFFFF"/>
            <w:vAlign w:val="center"/>
          </w:tcPr>
          <w:p w14:paraId="455EAE70"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A</w:t>
            </w:r>
            <w:r w:rsidRPr="00066F60">
              <w:rPr>
                <w:rFonts w:ascii="Sylfaen" w:hAnsi="Sylfaen"/>
                <w:sz w:val="20"/>
                <w:szCs w:val="20"/>
                <w:vertAlign w:val="subscript"/>
              </w:rPr>
              <w:t>w</w:t>
            </w:r>
            <w:r w:rsidRPr="00066F60">
              <w:rPr>
                <w:rFonts w:ascii="Sylfaen" w:hAnsi="Sylfaen"/>
                <w:sz w:val="20"/>
                <w:szCs w:val="20"/>
              </w:rPr>
              <w:t xml:space="preserve"> &lt; 50</w:t>
            </w:r>
          </w:p>
        </w:tc>
        <w:tc>
          <w:tcPr>
            <w:tcW w:w="3662" w:type="dxa"/>
            <w:tcBorders>
              <w:top w:val="single" w:sz="4" w:space="0" w:color="auto"/>
              <w:left w:val="single" w:sz="4" w:space="0" w:color="auto"/>
              <w:right w:val="single" w:sz="4" w:space="0" w:color="auto"/>
            </w:tcBorders>
            <w:shd w:val="clear" w:color="auto" w:fill="FFFFFF"/>
            <w:vAlign w:val="center"/>
          </w:tcPr>
          <w:p w14:paraId="5C56C98A"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1</w:t>
            </w:r>
          </w:p>
        </w:tc>
      </w:tr>
      <w:tr w:rsidR="00CA27E3" w:rsidRPr="00066F60" w14:paraId="03A348B3" w14:textId="77777777" w:rsidTr="0034095C">
        <w:trPr>
          <w:jc w:val="center"/>
        </w:trPr>
        <w:tc>
          <w:tcPr>
            <w:tcW w:w="2803" w:type="dxa"/>
            <w:tcBorders>
              <w:top w:val="single" w:sz="4" w:space="0" w:color="auto"/>
              <w:left w:val="single" w:sz="4" w:space="0" w:color="auto"/>
              <w:bottom w:val="single" w:sz="4" w:space="0" w:color="auto"/>
            </w:tcBorders>
            <w:shd w:val="clear" w:color="auto" w:fill="FFFFFF"/>
            <w:vAlign w:val="center"/>
          </w:tcPr>
          <w:p w14:paraId="7C967FBC" w14:textId="77777777" w:rsidR="00CA27E3" w:rsidRPr="00066F60" w:rsidRDefault="00CA27E3" w:rsidP="0034095C">
            <w:pPr>
              <w:pStyle w:val="Other0"/>
              <w:shd w:val="clear" w:color="auto" w:fill="auto"/>
              <w:spacing w:after="120"/>
              <w:ind w:right="126"/>
              <w:rPr>
                <w:rFonts w:ascii="Sylfaen" w:hAnsi="Sylfaen"/>
                <w:sz w:val="20"/>
                <w:szCs w:val="20"/>
              </w:rPr>
            </w:pPr>
            <w:r w:rsidRPr="00066F60">
              <w:rPr>
                <w:rFonts w:ascii="Sylfaen" w:hAnsi="Sylfaen"/>
                <w:sz w:val="20"/>
                <w:szCs w:val="20"/>
              </w:rPr>
              <w:t>2 &lt; W</w:t>
            </w:r>
            <w:r w:rsidRPr="00066F60">
              <w:rPr>
                <w:rFonts w:ascii="Sylfaen" w:hAnsi="Sylfaen"/>
                <w:sz w:val="20"/>
                <w:szCs w:val="20"/>
                <w:vertAlign w:val="subscript"/>
              </w:rPr>
              <w:t>T</w:t>
            </w:r>
            <w:r w:rsidRPr="00066F60">
              <w:rPr>
                <w:rFonts w:ascii="Sylfaen" w:hAnsi="Sylfaen"/>
                <w:sz w:val="20"/>
                <w:szCs w:val="20"/>
              </w:rPr>
              <w:t xml:space="preserve"> եւ (կամ) W</w:t>
            </w:r>
            <w:r w:rsidRPr="00066F60">
              <w:rPr>
                <w:rFonts w:ascii="Sylfaen" w:hAnsi="Sylfaen"/>
                <w:sz w:val="20"/>
                <w:szCs w:val="20"/>
                <w:vertAlign w:val="subscript"/>
              </w:rPr>
              <w:t>S</w:t>
            </w:r>
            <w:r w:rsidRPr="00066F60">
              <w:rPr>
                <w:rFonts w:ascii="Sylfaen" w:hAnsi="Sylfaen"/>
                <w:sz w:val="20"/>
                <w:szCs w:val="20"/>
              </w:rPr>
              <w:t xml:space="preserve"> = 2 կամ էլ W</w:t>
            </w:r>
            <w:r w:rsidRPr="00066F60">
              <w:rPr>
                <w:rFonts w:ascii="Sylfaen" w:hAnsi="Sylfaen"/>
                <w:sz w:val="20"/>
                <w:szCs w:val="20"/>
                <w:vertAlign w:val="subscript"/>
              </w:rPr>
              <w:t>S</w:t>
            </w:r>
            <w:r w:rsidRPr="00066F60">
              <w:rPr>
                <w:rFonts w:ascii="Sylfaen" w:hAnsi="Sylfaen"/>
                <w:sz w:val="20"/>
                <w:szCs w:val="20"/>
              </w:rPr>
              <w:t xml:space="preserve"> = 1 եւ W</w:t>
            </w:r>
            <w:r w:rsidRPr="00066F60">
              <w:rPr>
                <w:rFonts w:ascii="Sylfaen" w:hAnsi="Sylfaen"/>
                <w:sz w:val="20"/>
                <w:szCs w:val="20"/>
                <w:vertAlign w:val="subscript"/>
              </w:rPr>
              <w:t>T</w:t>
            </w:r>
            <w:r w:rsidRPr="00066F60">
              <w:rPr>
                <w:rFonts w:ascii="Sylfaen" w:hAnsi="Sylfaen"/>
                <w:sz w:val="20"/>
                <w:szCs w:val="20"/>
              </w:rPr>
              <w:t xml:space="preserve"> = 1</w:t>
            </w:r>
          </w:p>
        </w:tc>
        <w:tc>
          <w:tcPr>
            <w:tcW w:w="3120" w:type="dxa"/>
            <w:tcBorders>
              <w:top w:val="single" w:sz="4" w:space="0" w:color="auto"/>
              <w:left w:val="single" w:sz="4" w:space="0" w:color="auto"/>
              <w:bottom w:val="single" w:sz="4" w:space="0" w:color="auto"/>
            </w:tcBorders>
            <w:shd w:val="clear" w:color="auto" w:fill="FFFFFF"/>
            <w:vAlign w:val="center"/>
          </w:tcPr>
          <w:p w14:paraId="34AF45AF"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A</w:t>
            </w:r>
            <w:r w:rsidRPr="00066F60">
              <w:rPr>
                <w:rFonts w:ascii="Sylfaen" w:hAnsi="Sylfaen"/>
                <w:sz w:val="20"/>
                <w:szCs w:val="20"/>
                <w:vertAlign w:val="subscript"/>
              </w:rPr>
              <w:t>w</w:t>
            </w:r>
            <w:r w:rsidRPr="00066F60">
              <w:rPr>
                <w:rFonts w:ascii="Sylfaen" w:hAnsi="Sylfaen"/>
                <w:sz w:val="20"/>
                <w:szCs w:val="20"/>
              </w:rPr>
              <w:t xml:space="preserve"> &gt; 50</w:t>
            </w:r>
          </w:p>
        </w:tc>
        <w:tc>
          <w:tcPr>
            <w:tcW w:w="3662" w:type="dxa"/>
            <w:tcBorders>
              <w:top w:val="single" w:sz="4" w:space="0" w:color="auto"/>
              <w:left w:val="single" w:sz="4" w:space="0" w:color="auto"/>
              <w:bottom w:val="single" w:sz="4" w:space="0" w:color="auto"/>
              <w:right w:val="single" w:sz="4" w:space="0" w:color="auto"/>
            </w:tcBorders>
            <w:shd w:val="clear" w:color="auto" w:fill="FFFFFF"/>
            <w:vAlign w:val="center"/>
          </w:tcPr>
          <w:p w14:paraId="4311241D" w14:textId="77777777" w:rsidR="00CA27E3" w:rsidRPr="00066F60" w:rsidRDefault="00CA27E3" w:rsidP="0034095C">
            <w:pPr>
              <w:pStyle w:val="Other0"/>
              <w:shd w:val="clear" w:color="auto" w:fill="auto"/>
              <w:spacing w:after="120"/>
              <w:rPr>
                <w:rFonts w:ascii="Sylfaen" w:hAnsi="Sylfaen"/>
                <w:sz w:val="20"/>
                <w:szCs w:val="20"/>
              </w:rPr>
            </w:pPr>
            <w:r w:rsidRPr="00066F60">
              <w:rPr>
                <w:rFonts w:ascii="Sylfaen" w:hAnsi="Sylfaen"/>
                <w:sz w:val="20"/>
                <w:szCs w:val="20"/>
              </w:rPr>
              <w:t>0 (նվազագույն արդյունավետությունը)</w:t>
            </w:r>
          </w:p>
        </w:tc>
      </w:tr>
    </w:tbl>
    <w:p w14:paraId="2A28BE8A" w14:textId="77777777" w:rsidR="00CA27E3" w:rsidRDefault="00CA27E3" w:rsidP="00CA27E3">
      <w:pPr>
        <w:spacing w:after="160" w:line="360" w:lineRule="auto"/>
        <w:rPr>
          <w:rFonts w:ascii="Sylfaen" w:hAnsi="Sylfaen"/>
          <w:lang w:val="en-US"/>
        </w:rPr>
      </w:pPr>
    </w:p>
    <w:p w14:paraId="782280DB" w14:textId="77777777" w:rsidR="0034095C" w:rsidRPr="0034095C" w:rsidRDefault="0034095C" w:rsidP="00CA27E3">
      <w:pPr>
        <w:spacing w:after="160" w:line="360" w:lineRule="auto"/>
        <w:rPr>
          <w:rFonts w:ascii="Sylfaen" w:hAnsi="Sylfaen"/>
          <w:lang w:val="en-US"/>
        </w:rPr>
      </w:pPr>
    </w:p>
    <w:p w14:paraId="5EB651C2"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7.</w:t>
      </w:r>
      <w:r w:rsidR="0034095C">
        <w:rPr>
          <w:rFonts w:ascii="Sylfaen" w:hAnsi="Sylfaen"/>
          <w:sz w:val="24"/>
          <w:szCs w:val="24"/>
          <w:lang w:val="en-US"/>
        </w:rPr>
        <w:tab/>
      </w:r>
      <w:r w:rsidRPr="00CA27E3">
        <w:rPr>
          <w:rFonts w:ascii="Sylfaen" w:hAnsi="Sylfaen"/>
          <w:sz w:val="24"/>
          <w:szCs w:val="24"/>
        </w:rPr>
        <w:t>Սպասք լվացող մեքենաները պետք է համապատասխանեն հետ</w:t>
      </w:r>
      <w:r>
        <w:rPr>
          <w:rFonts w:ascii="Sylfaen" w:hAnsi="Sylfaen"/>
          <w:sz w:val="24"/>
          <w:szCs w:val="24"/>
        </w:rPr>
        <w:t>եւ</w:t>
      </w:r>
      <w:r w:rsidRPr="00CA27E3">
        <w:rPr>
          <w:rFonts w:ascii="Sylfaen" w:hAnsi="Sylfaen"/>
          <w:sz w:val="24"/>
          <w:szCs w:val="24"/>
        </w:rPr>
        <w:t>յալ պահանջներին՝</w:t>
      </w:r>
    </w:p>
    <w:p w14:paraId="136B7797"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34095C" w:rsidRPr="00DC5495">
        <w:rPr>
          <w:rFonts w:ascii="Sylfaen" w:hAnsi="Sylfaen"/>
          <w:sz w:val="24"/>
          <w:szCs w:val="24"/>
        </w:rPr>
        <w:tab/>
      </w:r>
      <w:r w:rsidRPr="00CA27E3">
        <w:rPr>
          <w:rFonts w:ascii="Sylfaen" w:hAnsi="Sylfaen"/>
          <w:sz w:val="24"/>
          <w:szCs w:val="24"/>
        </w:rPr>
        <w:t>2020 թվականի սեպտեմբերի 1-ից՝</w:t>
      </w:r>
    </w:p>
    <w:p w14:paraId="1CD795D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սպասքի 11 </w:t>
      </w:r>
      <w:r>
        <w:rPr>
          <w:rFonts w:ascii="Sylfaen" w:hAnsi="Sylfaen"/>
          <w:sz w:val="24"/>
          <w:szCs w:val="24"/>
        </w:rPr>
        <w:t>եւ</w:t>
      </w:r>
      <w:r w:rsidRPr="00CA27E3">
        <w:rPr>
          <w:rFonts w:ascii="Sylfaen" w:hAnsi="Sylfaen"/>
          <w:sz w:val="24"/>
          <w:szCs w:val="24"/>
        </w:rPr>
        <w:t xml:space="preserve"> ավելի լրակազմ անվանական տարողությամբ՝ սպասք լվացող մեքենաների, ինչպես նա</w:t>
      </w:r>
      <w:r>
        <w:rPr>
          <w:rFonts w:ascii="Sylfaen" w:hAnsi="Sylfaen"/>
          <w:sz w:val="24"/>
          <w:szCs w:val="24"/>
        </w:rPr>
        <w:t>եւ</w:t>
      </w:r>
      <w:r w:rsidRPr="00CA27E3">
        <w:rPr>
          <w:rFonts w:ascii="Sylfaen" w:hAnsi="Sylfaen"/>
          <w:sz w:val="24"/>
          <w:szCs w:val="24"/>
        </w:rPr>
        <w:t xml:space="preserve"> սպասքի ոչ ավելի, քան 10 լրակազմ անվանական տարողությամբ </w:t>
      </w:r>
      <w:r>
        <w:rPr>
          <w:rFonts w:ascii="Sylfaen" w:hAnsi="Sylfaen"/>
          <w:sz w:val="24"/>
          <w:szCs w:val="24"/>
        </w:rPr>
        <w:t>եւ</w:t>
      </w:r>
      <w:r w:rsidRPr="00CA27E3">
        <w:rPr>
          <w:rFonts w:ascii="Sylfaen" w:hAnsi="Sylfaen"/>
          <w:sz w:val="24"/>
          <w:szCs w:val="24"/>
        </w:rPr>
        <w:t xml:space="preserve"> 45 սմ-ից ավելի լայնությամբ՝ սպասք լվացող մեքենաների EEI-ն պետք է լինի 63-ից պակաս.</w:t>
      </w:r>
    </w:p>
    <w:p w14:paraId="159C964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սպասքի 10 լրակազմ </w:t>
      </w:r>
      <w:r>
        <w:rPr>
          <w:rFonts w:ascii="Sylfaen" w:hAnsi="Sylfaen"/>
          <w:sz w:val="24"/>
          <w:szCs w:val="24"/>
        </w:rPr>
        <w:t>եւ</w:t>
      </w:r>
      <w:r w:rsidRPr="00CA27E3">
        <w:rPr>
          <w:rFonts w:ascii="Sylfaen" w:hAnsi="Sylfaen"/>
          <w:sz w:val="24"/>
          <w:szCs w:val="24"/>
        </w:rPr>
        <w:t xml:space="preserve"> 45 սմ-ից ոչ ավելի լայնությամբ անվանական տարողությամբ՝ սպասք լվացող մեքենաների EEI-ն պետք է լինի 71-ից պակաս. </w:t>
      </w:r>
    </w:p>
    <w:p w14:paraId="333ED41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I</w:t>
      </w:r>
      <w:r w:rsidRPr="00CA27E3">
        <w:rPr>
          <w:rFonts w:ascii="Sylfaen" w:hAnsi="Sylfaen"/>
          <w:sz w:val="24"/>
          <w:szCs w:val="24"/>
          <w:vertAlign w:val="subscript"/>
        </w:rPr>
        <w:t>c</w:t>
      </w:r>
      <w:r w:rsidRPr="00CA27E3">
        <w:rPr>
          <w:rFonts w:ascii="Sylfaen" w:hAnsi="Sylfaen"/>
          <w:sz w:val="24"/>
          <w:szCs w:val="24"/>
        </w:rPr>
        <w:t>-ն պետք է լինի 1,12-ից ավելի.</w:t>
      </w:r>
    </w:p>
    <w:p w14:paraId="0C5BB1E8"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սպասքի 7 լրակազմից ավելի անվանական տարողությամբ՝ սպասք լվացող մեքենաների I</w:t>
      </w:r>
      <w:r w:rsidRPr="00CA27E3">
        <w:rPr>
          <w:rFonts w:ascii="Sylfaen" w:hAnsi="Sylfaen"/>
          <w:sz w:val="24"/>
          <w:szCs w:val="24"/>
          <w:vertAlign w:val="subscript"/>
        </w:rPr>
        <w:t>D</w:t>
      </w:r>
      <w:r w:rsidRPr="00CA27E3">
        <w:rPr>
          <w:rFonts w:ascii="Sylfaen" w:hAnsi="Sylfaen"/>
          <w:sz w:val="24"/>
          <w:szCs w:val="24"/>
        </w:rPr>
        <w:t>-ն պետք է լինի 1,08-ից ավելի.</w:t>
      </w:r>
    </w:p>
    <w:p w14:paraId="34C4B73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սպասքի 7 լրակազմից ոչ ավելի անվանական տարողությամբ՝ սպասք լվացող մեքենաների I</w:t>
      </w:r>
      <w:r w:rsidRPr="00CA27E3">
        <w:rPr>
          <w:rFonts w:ascii="Sylfaen" w:hAnsi="Sylfaen"/>
          <w:sz w:val="24"/>
          <w:szCs w:val="24"/>
          <w:vertAlign w:val="subscript"/>
        </w:rPr>
        <w:t>D</w:t>
      </w:r>
      <w:r w:rsidRPr="00CA27E3">
        <w:rPr>
          <w:rFonts w:ascii="Sylfaen" w:hAnsi="Sylfaen"/>
          <w:sz w:val="24"/>
          <w:szCs w:val="24"/>
        </w:rPr>
        <w:t>-ն պետք է լինի 0,86-ից ավելի.</w:t>
      </w:r>
    </w:p>
    <w:p w14:paraId="79B4CF8E"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34095C" w:rsidRPr="0034095C">
        <w:rPr>
          <w:rFonts w:ascii="Sylfaen" w:hAnsi="Sylfaen"/>
          <w:sz w:val="24"/>
          <w:szCs w:val="24"/>
        </w:rPr>
        <w:tab/>
      </w:r>
      <w:r w:rsidRPr="00CA27E3">
        <w:rPr>
          <w:rFonts w:ascii="Sylfaen" w:hAnsi="Sylfaen"/>
          <w:sz w:val="24"/>
          <w:szCs w:val="24"/>
        </w:rPr>
        <w:t xml:space="preserve">2021 թվականի սեպտեմբերի 1-ից սպասքի 8 </w:t>
      </w:r>
      <w:r>
        <w:rPr>
          <w:rFonts w:ascii="Sylfaen" w:hAnsi="Sylfaen"/>
          <w:sz w:val="24"/>
          <w:szCs w:val="24"/>
        </w:rPr>
        <w:t>եւ</w:t>
      </w:r>
      <w:r w:rsidRPr="00CA27E3">
        <w:rPr>
          <w:rFonts w:ascii="Sylfaen" w:hAnsi="Sylfaen"/>
          <w:sz w:val="24"/>
          <w:szCs w:val="24"/>
        </w:rPr>
        <w:t xml:space="preserve"> 9 լրակազմ անվանական տարողությամբ՝ սպասք լվացող մեքենաների, ինչպես նա</w:t>
      </w:r>
      <w:r>
        <w:rPr>
          <w:rFonts w:ascii="Sylfaen" w:hAnsi="Sylfaen"/>
          <w:sz w:val="24"/>
          <w:szCs w:val="24"/>
        </w:rPr>
        <w:t>եւ</w:t>
      </w:r>
      <w:r w:rsidRPr="00CA27E3">
        <w:rPr>
          <w:rFonts w:ascii="Sylfaen" w:hAnsi="Sylfaen"/>
          <w:sz w:val="24"/>
          <w:szCs w:val="24"/>
        </w:rPr>
        <w:t xml:space="preserve"> սպասքի 10 լրակազմ անվանական տարողությամբ </w:t>
      </w:r>
      <w:r>
        <w:rPr>
          <w:rFonts w:ascii="Sylfaen" w:hAnsi="Sylfaen"/>
          <w:sz w:val="24"/>
          <w:szCs w:val="24"/>
        </w:rPr>
        <w:t>եւ</w:t>
      </w:r>
      <w:r w:rsidRPr="00CA27E3">
        <w:rPr>
          <w:rFonts w:ascii="Sylfaen" w:hAnsi="Sylfaen"/>
          <w:sz w:val="24"/>
          <w:szCs w:val="24"/>
        </w:rPr>
        <w:t xml:space="preserve"> 45 սմ-ից ոչ ավելի լայնությամբ՝ սպասք լվացող մեքենաների EEI-ն պետք է լինի 63-ից պակաս:</w:t>
      </w:r>
    </w:p>
    <w:p w14:paraId="288B64FC"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8.</w:t>
      </w:r>
      <w:r w:rsidR="0034095C" w:rsidRPr="0034095C">
        <w:rPr>
          <w:rFonts w:ascii="Sylfaen" w:hAnsi="Sylfaen"/>
          <w:sz w:val="24"/>
          <w:szCs w:val="24"/>
        </w:rPr>
        <w:tab/>
      </w:r>
      <w:r w:rsidRPr="00CA27E3">
        <w:rPr>
          <w:rFonts w:ascii="Sylfaen" w:hAnsi="Sylfaen"/>
          <w:sz w:val="24"/>
          <w:szCs w:val="24"/>
        </w:rPr>
        <w:t>«Էներգասպառող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Pr>
          <w:rFonts w:ascii="Sylfaen" w:hAnsi="Sylfaen"/>
          <w:sz w:val="24"/>
          <w:szCs w:val="24"/>
        </w:rPr>
        <w:t xml:space="preserve"> </w:t>
      </w:r>
      <w:r w:rsidR="0034095C" w:rsidRPr="0034095C">
        <w:rPr>
          <w:rFonts w:ascii="Sylfaen" w:hAnsi="Sylfaen"/>
          <w:sz w:val="24"/>
          <w:szCs w:val="24"/>
        </w:rPr>
        <w:tab/>
      </w:r>
      <w:r w:rsidRPr="00CA27E3">
        <w:rPr>
          <w:rFonts w:ascii="Sylfaen" w:hAnsi="Sylfaen"/>
          <w:sz w:val="24"/>
          <w:szCs w:val="24"/>
        </w:rPr>
        <w:t>/20</w:t>
      </w:r>
      <w:r w:rsidR="0034095C" w:rsidRPr="0034095C">
        <w:rPr>
          <w:rFonts w:ascii="Sylfaen" w:hAnsi="Sylfaen"/>
          <w:sz w:val="24"/>
          <w:szCs w:val="24"/>
        </w:rPr>
        <w:tab/>
      </w:r>
      <w:r w:rsidRPr="00CA27E3">
        <w:rPr>
          <w:rFonts w:ascii="Sylfaen" w:hAnsi="Sylfaen"/>
          <w:sz w:val="24"/>
          <w:szCs w:val="24"/>
        </w:rPr>
        <w:t xml:space="preserve">) (այսուհետ՝ տեխնիկական </w:t>
      </w:r>
      <w:r w:rsidRPr="0034095C">
        <w:rPr>
          <w:rFonts w:ascii="Sylfaen" w:hAnsi="Sylfaen"/>
          <w:spacing w:val="-4"/>
          <w:sz w:val="24"/>
          <w:szCs w:val="24"/>
        </w:rPr>
        <w:t>կանոնակարգ) 13-րդ կետով նախատեսված շահագործման փաստաթղթերը պետք է պարունակեն բնութագրերի եւ պարամետրերի մասին հետեւյալ</w:t>
      </w:r>
      <w:r w:rsidRPr="00CA27E3">
        <w:rPr>
          <w:rFonts w:ascii="Sylfaen" w:hAnsi="Sylfaen"/>
          <w:sz w:val="24"/>
          <w:szCs w:val="24"/>
        </w:rPr>
        <w:t xml:space="preserve"> տեղեկությունները՝</w:t>
      </w:r>
    </w:p>
    <w:p w14:paraId="06ADEEB1" w14:textId="77777777" w:rsidR="0034095C" w:rsidRDefault="0034095C" w:rsidP="00CA27E3">
      <w:pPr>
        <w:pStyle w:val="1"/>
        <w:shd w:val="clear" w:color="auto" w:fill="auto"/>
        <w:spacing w:after="160"/>
        <w:ind w:firstLine="567"/>
        <w:jc w:val="both"/>
        <w:rPr>
          <w:rFonts w:ascii="Sylfaen" w:hAnsi="Sylfaen"/>
          <w:sz w:val="24"/>
          <w:szCs w:val="24"/>
        </w:rPr>
      </w:pPr>
      <w:r>
        <w:rPr>
          <w:rFonts w:ascii="Sylfaen" w:hAnsi="Sylfaen"/>
          <w:sz w:val="24"/>
          <w:szCs w:val="24"/>
        </w:rPr>
        <w:t>սույն պահանջների 4</w:t>
      </w:r>
      <w:r w:rsidR="007B461B" w:rsidRPr="007B461B">
        <w:rPr>
          <w:rFonts w:ascii="Sylfaen" w:hAnsi="Sylfaen"/>
          <w:sz w:val="24"/>
          <w:szCs w:val="24"/>
        </w:rPr>
        <w:t>-</w:t>
      </w:r>
      <w:r w:rsidR="00CA27E3" w:rsidRPr="00CA27E3">
        <w:rPr>
          <w:rFonts w:ascii="Sylfaen" w:hAnsi="Sylfaen"/>
          <w:sz w:val="24"/>
          <w:szCs w:val="24"/>
        </w:rPr>
        <w:t>7-րդ կետերին համապատասխան որոշված EEI, I</w:t>
      </w:r>
      <w:r w:rsidR="00CA27E3" w:rsidRPr="00CA27E3">
        <w:rPr>
          <w:rFonts w:ascii="Sylfaen" w:hAnsi="Sylfaen"/>
          <w:sz w:val="24"/>
          <w:szCs w:val="24"/>
          <w:vertAlign w:val="subscript"/>
        </w:rPr>
        <w:t>C</w:t>
      </w:r>
      <w:r w:rsidR="00CA27E3" w:rsidRPr="00CA27E3">
        <w:rPr>
          <w:rFonts w:ascii="Sylfaen" w:hAnsi="Sylfaen"/>
          <w:sz w:val="24"/>
          <w:szCs w:val="24"/>
        </w:rPr>
        <w:t xml:space="preserve"> </w:t>
      </w:r>
      <w:r w:rsidR="00CA27E3">
        <w:rPr>
          <w:rFonts w:ascii="Sylfaen" w:hAnsi="Sylfaen"/>
          <w:sz w:val="24"/>
          <w:szCs w:val="24"/>
        </w:rPr>
        <w:t>եւ</w:t>
      </w:r>
      <w:r w:rsidR="00CA27E3" w:rsidRPr="00CA27E3">
        <w:rPr>
          <w:rFonts w:ascii="Sylfaen" w:hAnsi="Sylfaen"/>
          <w:sz w:val="24"/>
          <w:szCs w:val="24"/>
        </w:rPr>
        <w:t xml:space="preserve"> I</w:t>
      </w:r>
      <w:r w:rsidR="00CA27E3" w:rsidRPr="00CA27E3">
        <w:rPr>
          <w:rFonts w:ascii="Sylfaen" w:hAnsi="Sylfaen"/>
          <w:sz w:val="24"/>
          <w:szCs w:val="24"/>
          <w:vertAlign w:val="subscript"/>
        </w:rPr>
        <w:t>D</w:t>
      </w:r>
      <w:r w:rsidR="00CA27E3" w:rsidRPr="00CA27E3">
        <w:rPr>
          <w:rFonts w:ascii="Sylfaen" w:hAnsi="Sylfaen"/>
          <w:sz w:val="24"/>
          <w:szCs w:val="24"/>
        </w:rPr>
        <w:t xml:space="preserve"> արժեքները.</w:t>
      </w:r>
    </w:p>
    <w:p w14:paraId="59AAB94B" w14:textId="77777777" w:rsidR="0034095C" w:rsidRDefault="0034095C">
      <w:pPr>
        <w:rPr>
          <w:rFonts w:ascii="Sylfaen" w:eastAsia="Times New Roman" w:hAnsi="Sylfaen" w:cs="Times New Roman"/>
          <w:color w:val="auto"/>
        </w:rPr>
      </w:pPr>
      <w:r>
        <w:rPr>
          <w:rFonts w:ascii="Sylfaen" w:hAnsi="Sylfaen"/>
        </w:rPr>
        <w:br w:type="page"/>
      </w:r>
    </w:p>
    <w:p w14:paraId="0593468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lastRenderedPageBreak/>
        <w:t xml:space="preserve">լվացման ստանդարտ ծրագրի մասին տեղեկատվությունը (պետք է նշվի այն, որ սպասք լվացող մեքենան պիտանի է սովորական աղտոտման սպասք </w:t>
      </w:r>
      <w:r>
        <w:rPr>
          <w:rFonts w:ascii="Sylfaen" w:hAnsi="Sylfaen"/>
          <w:sz w:val="24"/>
          <w:szCs w:val="24"/>
        </w:rPr>
        <w:t>եւ</w:t>
      </w:r>
      <w:r w:rsidRPr="00CA27E3">
        <w:rPr>
          <w:rFonts w:ascii="Sylfaen" w:hAnsi="Sylfaen"/>
          <w:sz w:val="24"/>
          <w:szCs w:val="24"/>
        </w:rPr>
        <w:t xml:space="preserve"> ճաշասպասք լվանալու համար ու առավել արդյունավետ ծրագիր է էլեկտրական էներգիայի սպառման </w:t>
      </w:r>
      <w:r>
        <w:rPr>
          <w:rFonts w:ascii="Sylfaen" w:hAnsi="Sylfaen"/>
          <w:sz w:val="24"/>
          <w:szCs w:val="24"/>
        </w:rPr>
        <w:t>եւ</w:t>
      </w:r>
      <w:r w:rsidRPr="00CA27E3">
        <w:rPr>
          <w:rFonts w:ascii="Sylfaen" w:hAnsi="Sylfaen"/>
          <w:sz w:val="24"/>
          <w:szCs w:val="24"/>
        </w:rPr>
        <w:t xml:space="preserve"> ջրի ծախսի տեսանկյունից).</w:t>
      </w:r>
    </w:p>
    <w:p w14:paraId="7E06033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օգտագործվող հզորությունը միացված վիճակում (սպասման ռեժիմում) </w:t>
      </w:r>
      <w:r>
        <w:rPr>
          <w:rFonts w:ascii="Sylfaen" w:hAnsi="Sylfaen"/>
          <w:sz w:val="24"/>
          <w:szCs w:val="24"/>
        </w:rPr>
        <w:t>եւ</w:t>
      </w:r>
      <w:r w:rsidRPr="00CA27E3">
        <w:rPr>
          <w:rFonts w:ascii="Sylfaen" w:hAnsi="Sylfaen"/>
          <w:sz w:val="24"/>
          <w:szCs w:val="24"/>
        </w:rPr>
        <w:t xml:space="preserve"> անջատման ռեժիմում.</w:t>
      </w:r>
    </w:p>
    <w:p w14:paraId="47B6EC3D"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լվանալու հիմնական ծրագրի օգտագործման ժամանակ սպասք լվացող մեքենայի ցիկլի տ</w:t>
      </w:r>
      <w:r>
        <w:rPr>
          <w:rFonts w:ascii="Sylfaen" w:hAnsi="Sylfaen"/>
          <w:sz w:val="24"/>
          <w:szCs w:val="24"/>
        </w:rPr>
        <w:t>եւ</w:t>
      </w:r>
      <w:r w:rsidRPr="00CA27E3">
        <w:rPr>
          <w:rFonts w:ascii="Sylfaen" w:hAnsi="Sylfaen"/>
          <w:sz w:val="24"/>
          <w:szCs w:val="24"/>
        </w:rPr>
        <w:t xml:space="preserve">ողության </w:t>
      </w:r>
      <w:r>
        <w:rPr>
          <w:rFonts w:ascii="Sylfaen" w:hAnsi="Sylfaen"/>
          <w:sz w:val="24"/>
          <w:szCs w:val="24"/>
        </w:rPr>
        <w:t>եւ</w:t>
      </w:r>
      <w:r w:rsidRPr="00CA27E3">
        <w:rPr>
          <w:rFonts w:ascii="Sylfaen" w:hAnsi="Sylfaen"/>
          <w:sz w:val="24"/>
          <w:szCs w:val="24"/>
        </w:rPr>
        <w:t xml:space="preserve"> ջրի ծախսի մասին տեղեկատվությունը: </w:t>
      </w:r>
    </w:p>
    <w:p w14:paraId="4F91B919" w14:textId="77777777" w:rsidR="00CA27E3" w:rsidRPr="00CA27E3" w:rsidRDefault="00CA27E3" w:rsidP="00CA27E3">
      <w:pPr>
        <w:pStyle w:val="1"/>
        <w:shd w:val="clear" w:color="auto" w:fill="auto"/>
        <w:spacing w:after="160"/>
        <w:ind w:firstLine="567"/>
        <w:jc w:val="both"/>
        <w:rPr>
          <w:rFonts w:ascii="Sylfaen" w:hAnsi="Sylfaen"/>
          <w:sz w:val="24"/>
          <w:szCs w:val="24"/>
        </w:rPr>
      </w:pPr>
    </w:p>
    <w:p w14:paraId="2476E53A" w14:textId="77777777" w:rsidR="00CA27E3" w:rsidRPr="00CA27E3" w:rsidRDefault="00CA27E3" w:rsidP="0034095C">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t xml:space="preserve">IV. Սպասք լվացող մեքենաների էներգետիկ արդյունավետության պարամետրերի թույլատրելի շեղումները՝ դրանք շրջանառության մեջ դրվելուց հետո փորձարկումներ (չափումներ) կատարելիս </w:t>
      </w:r>
    </w:p>
    <w:p w14:paraId="0044A031" w14:textId="77777777" w:rsidR="00CA27E3" w:rsidRPr="00CA27E3" w:rsidRDefault="00CA27E3" w:rsidP="0034095C">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9.</w:t>
      </w:r>
      <w:r w:rsidR="0034095C" w:rsidRPr="0034095C">
        <w:rPr>
          <w:rFonts w:ascii="Sylfaen" w:hAnsi="Sylfaen"/>
          <w:sz w:val="24"/>
          <w:szCs w:val="24"/>
        </w:rPr>
        <w:tab/>
      </w:r>
      <w:r w:rsidRPr="00CA27E3">
        <w:rPr>
          <w:rFonts w:ascii="Sylfaen" w:hAnsi="Sylfaen"/>
          <w:sz w:val="24"/>
          <w:szCs w:val="24"/>
        </w:rPr>
        <w:t>Սպասք լվացող մեքենաները Միության մաքսային տարածքում շրջանառության մեջ դրվելուց հետո դրանց փորձարկումները (չափումները) կատարելիս պետք է փորձարկվի սպասք լվացող մեքենայի յուրաքանչյուր մոդելի մեկ տիպային օրինակ։</w:t>
      </w:r>
    </w:p>
    <w:p w14:paraId="63C21B2A"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Սպասք լվացող մեքենայի մոդելը համարվում է սույն պահանջներին համապատասխանող, եթե սպասք լվացող մեքենայի պարամետրերի </w:t>
      </w:r>
      <w:r>
        <w:rPr>
          <w:rFonts w:ascii="Sylfaen" w:hAnsi="Sylfaen"/>
          <w:sz w:val="24"/>
          <w:szCs w:val="24"/>
        </w:rPr>
        <w:t>եւ</w:t>
      </w:r>
      <w:r w:rsidRPr="00CA27E3">
        <w:rPr>
          <w:rFonts w:ascii="Sylfaen" w:hAnsi="Sylfaen"/>
          <w:sz w:val="24"/>
          <w:szCs w:val="24"/>
        </w:rPr>
        <w:t xml:space="preserve"> բնութագրերի չափված արժեքները համապատասխանում են սույն պահանջների III բաժնի պահանջներին </w:t>
      </w:r>
      <w:r>
        <w:rPr>
          <w:rFonts w:ascii="Sylfaen" w:hAnsi="Sylfaen"/>
          <w:sz w:val="24"/>
          <w:szCs w:val="24"/>
        </w:rPr>
        <w:t>եւ</w:t>
      </w:r>
      <w:r w:rsidRPr="00CA27E3">
        <w:rPr>
          <w:rFonts w:ascii="Sylfaen" w:hAnsi="Sylfaen"/>
          <w:sz w:val="24"/>
          <w:szCs w:val="24"/>
        </w:rPr>
        <w:t xml:space="preserve"> արտադրողի հայտագրված անվանական արժեքներին՝ 3-րդ աղյուսակում նշված թույլատրելի շեղումների սահմաններում:</w:t>
      </w:r>
    </w:p>
    <w:p w14:paraId="28991046" w14:textId="77777777" w:rsidR="0034095C" w:rsidRDefault="0034095C">
      <w:pPr>
        <w:rPr>
          <w:rFonts w:ascii="Sylfaen" w:eastAsia="Times New Roman" w:hAnsi="Sylfaen" w:cs="Times New Roman"/>
        </w:rPr>
      </w:pPr>
      <w:r>
        <w:rPr>
          <w:rFonts w:ascii="Sylfaen" w:hAnsi="Sylfaen"/>
        </w:rPr>
        <w:br w:type="page"/>
      </w:r>
    </w:p>
    <w:p w14:paraId="13121284" w14:textId="77777777" w:rsidR="00CA27E3" w:rsidRPr="00CA27E3" w:rsidRDefault="00CA27E3" w:rsidP="00CA27E3">
      <w:pPr>
        <w:pStyle w:val="Tablecaption0"/>
        <w:shd w:val="clear" w:color="auto" w:fill="auto"/>
        <w:spacing w:after="160" w:line="360" w:lineRule="auto"/>
        <w:rPr>
          <w:rFonts w:ascii="Sylfaen" w:hAnsi="Sylfaen"/>
          <w:sz w:val="24"/>
          <w:szCs w:val="24"/>
        </w:rPr>
      </w:pPr>
      <w:r w:rsidRPr="00CA27E3">
        <w:rPr>
          <w:rFonts w:ascii="Sylfaen" w:hAnsi="Sylfaen"/>
          <w:sz w:val="24"/>
          <w:szCs w:val="24"/>
        </w:rPr>
        <w:lastRenderedPageBreak/>
        <w:t>Աղյուսակ 3</w:t>
      </w:r>
    </w:p>
    <w:p w14:paraId="375D1790" w14:textId="77777777" w:rsidR="00CA27E3" w:rsidRPr="00CA27E3" w:rsidRDefault="00CA27E3" w:rsidP="00CA27E3">
      <w:pPr>
        <w:pStyle w:val="1"/>
        <w:shd w:val="clear" w:color="auto" w:fill="auto"/>
        <w:spacing w:after="160"/>
        <w:ind w:left="1134" w:right="1126" w:firstLine="0"/>
        <w:jc w:val="center"/>
        <w:rPr>
          <w:rFonts w:ascii="Sylfaen" w:hAnsi="Sylfaen"/>
          <w:sz w:val="24"/>
          <w:szCs w:val="24"/>
        </w:rPr>
      </w:pPr>
      <w:r w:rsidRPr="00CA27E3">
        <w:rPr>
          <w:rFonts w:ascii="Sylfaen" w:hAnsi="Sylfaen"/>
          <w:sz w:val="24"/>
          <w:szCs w:val="24"/>
        </w:rPr>
        <w:t>Թույլատրելի շեղումները</w:t>
      </w:r>
    </w:p>
    <w:tbl>
      <w:tblPr>
        <w:tblOverlap w:val="never"/>
        <w:tblW w:w="9475" w:type="dxa"/>
        <w:jc w:val="center"/>
        <w:tblLayout w:type="fixed"/>
        <w:tblCellMar>
          <w:left w:w="10" w:type="dxa"/>
          <w:right w:w="10" w:type="dxa"/>
        </w:tblCellMar>
        <w:tblLook w:val="0000" w:firstRow="0" w:lastRow="0" w:firstColumn="0" w:lastColumn="0" w:noHBand="0" w:noVBand="0"/>
      </w:tblPr>
      <w:tblGrid>
        <w:gridCol w:w="2885"/>
        <w:gridCol w:w="6590"/>
      </w:tblGrid>
      <w:tr w:rsidR="00CA27E3" w:rsidRPr="00066F60" w14:paraId="570A17D1" w14:textId="77777777" w:rsidTr="00066F60">
        <w:trPr>
          <w:tblHeader/>
          <w:jc w:val="center"/>
        </w:trPr>
        <w:tc>
          <w:tcPr>
            <w:tcW w:w="2885" w:type="dxa"/>
            <w:tcBorders>
              <w:top w:val="single" w:sz="4" w:space="0" w:color="auto"/>
              <w:left w:val="single" w:sz="4" w:space="0" w:color="auto"/>
            </w:tcBorders>
            <w:shd w:val="clear" w:color="auto" w:fill="FFFFFF"/>
            <w:vAlign w:val="bottom"/>
          </w:tcPr>
          <w:p w14:paraId="095DBF5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Չափվող պարամետրը</w:t>
            </w:r>
          </w:p>
        </w:tc>
        <w:tc>
          <w:tcPr>
            <w:tcW w:w="6590" w:type="dxa"/>
            <w:tcBorders>
              <w:top w:val="single" w:sz="4" w:space="0" w:color="auto"/>
              <w:left w:val="single" w:sz="4" w:space="0" w:color="auto"/>
              <w:right w:val="single" w:sz="4" w:space="0" w:color="auto"/>
            </w:tcBorders>
            <w:shd w:val="clear" w:color="auto" w:fill="FFFFFF"/>
            <w:vAlign w:val="bottom"/>
          </w:tcPr>
          <w:p w14:paraId="6C821FC7"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Թույլտրվածքները*</w:t>
            </w:r>
          </w:p>
        </w:tc>
      </w:tr>
      <w:tr w:rsidR="00CA27E3" w:rsidRPr="00066F60" w14:paraId="58A26926" w14:textId="77777777" w:rsidTr="00250D3E">
        <w:trPr>
          <w:jc w:val="center"/>
        </w:trPr>
        <w:tc>
          <w:tcPr>
            <w:tcW w:w="2885" w:type="dxa"/>
            <w:tcBorders>
              <w:top w:val="single" w:sz="4" w:space="0" w:color="auto"/>
              <w:left w:val="single" w:sz="4" w:space="0" w:color="auto"/>
            </w:tcBorders>
            <w:shd w:val="clear" w:color="auto" w:fill="FFFFFF"/>
            <w:vAlign w:val="bottom"/>
          </w:tcPr>
          <w:p w14:paraId="394096F3"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Էլեկտրական էներգիայի տարեկան սպառումը</w:t>
            </w:r>
          </w:p>
        </w:tc>
        <w:tc>
          <w:tcPr>
            <w:tcW w:w="6590" w:type="dxa"/>
            <w:tcBorders>
              <w:top w:val="single" w:sz="4" w:space="0" w:color="auto"/>
              <w:left w:val="single" w:sz="4" w:space="0" w:color="auto"/>
              <w:right w:val="single" w:sz="4" w:space="0" w:color="auto"/>
            </w:tcBorders>
            <w:shd w:val="clear" w:color="auto" w:fill="FFFFFF"/>
            <w:vAlign w:val="center"/>
          </w:tcPr>
          <w:p w14:paraId="7DEBC2F0"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գերազանցի AE</w:t>
            </w:r>
            <w:r w:rsidRPr="00066F60">
              <w:rPr>
                <w:rFonts w:ascii="Sylfaen" w:hAnsi="Sylfaen"/>
                <w:sz w:val="20"/>
                <w:szCs w:val="20"/>
                <w:vertAlign w:val="subscript"/>
              </w:rPr>
              <w:t>C</w:t>
            </w:r>
            <w:r w:rsidRPr="00066F60">
              <w:rPr>
                <w:rFonts w:ascii="Sylfaen" w:hAnsi="Sylfaen"/>
                <w:sz w:val="20"/>
                <w:szCs w:val="20"/>
              </w:rPr>
              <w:t xml:space="preserve"> անվանական արժեքն ավելի քան 10 %-ով</w:t>
            </w:r>
          </w:p>
        </w:tc>
      </w:tr>
      <w:tr w:rsidR="00CA27E3" w:rsidRPr="00066F60" w14:paraId="22D78624" w14:textId="77777777" w:rsidTr="00250D3E">
        <w:trPr>
          <w:jc w:val="center"/>
        </w:trPr>
        <w:tc>
          <w:tcPr>
            <w:tcW w:w="2885" w:type="dxa"/>
            <w:tcBorders>
              <w:top w:val="single" w:sz="4" w:space="0" w:color="auto"/>
              <w:left w:val="single" w:sz="4" w:space="0" w:color="auto"/>
            </w:tcBorders>
            <w:shd w:val="clear" w:color="auto" w:fill="FFFFFF"/>
            <w:vAlign w:val="center"/>
          </w:tcPr>
          <w:p w14:paraId="69A8A94C"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Լվացման արդյունավետության ցուցիչը</w:t>
            </w:r>
          </w:p>
        </w:tc>
        <w:tc>
          <w:tcPr>
            <w:tcW w:w="6590" w:type="dxa"/>
            <w:tcBorders>
              <w:top w:val="single" w:sz="4" w:space="0" w:color="auto"/>
              <w:left w:val="single" w:sz="4" w:space="0" w:color="auto"/>
              <w:right w:val="single" w:sz="4" w:space="0" w:color="auto"/>
            </w:tcBorders>
            <w:shd w:val="clear" w:color="auto" w:fill="FFFFFF"/>
            <w:vAlign w:val="center"/>
          </w:tcPr>
          <w:p w14:paraId="0673C84B"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պակաս լինի I</w:t>
            </w:r>
            <w:r w:rsidRPr="00066F60">
              <w:rPr>
                <w:rFonts w:ascii="Sylfaen" w:hAnsi="Sylfaen"/>
                <w:sz w:val="20"/>
                <w:szCs w:val="20"/>
                <w:vertAlign w:val="subscript"/>
              </w:rPr>
              <w:t>C</w:t>
            </w:r>
            <w:r w:rsidRPr="00066F60">
              <w:rPr>
                <w:rFonts w:ascii="Sylfaen" w:hAnsi="Sylfaen"/>
                <w:sz w:val="20"/>
                <w:szCs w:val="20"/>
              </w:rPr>
              <w:t xml:space="preserve"> անվանական արժեքից ավելի քան 10 %-ով</w:t>
            </w:r>
          </w:p>
        </w:tc>
      </w:tr>
      <w:tr w:rsidR="00CA27E3" w:rsidRPr="00066F60" w14:paraId="4E410CED" w14:textId="77777777" w:rsidTr="00250D3E">
        <w:trPr>
          <w:jc w:val="center"/>
        </w:trPr>
        <w:tc>
          <w:tcPr>
            <w:tcW w:w="2885" w:type="dxa"/>
            <w:tcBorders>
              <w:top w:val="single" w:sz="4" w:space="0" w:color="auto"/>
              <w:left w:val="single" w:sz="4" w:space="0" w:color="auto"/>
            </w:tcBorders>
            <w:shd w:val="clear" w:color="auto" w:fill="FFFFFF"/>
            <w:vAlign w:val="bottom"/>
          </w:tcPr>
          <w:p w14:paraId="4141E2F4"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Չորացման արդյունավետության ցուցիչը</w:t>
            </w:r>
          </w:p>
        </w:tc>
        <w:tc>
          <w:tcPr>
            <w:tcW w:w="6590" w:type="dxa"/>
            <w:tcBorders>
              <w:top w:val="single" w:sz="4" w:space="0" w:color="auto"/>
              <w:left w:val="single" w:sz="4" w:space="0" w:color="auto"/>
              <w:right w:val="single" w:sz="4" w:space="0" w:color="auto"/>
            </w:tcBorders>
            <w:shd w:val="clear" w:color="auto" w:fill="FFFFFF"/>
            <w:vAlign w:val="center"/>
          </w:tcPr>
          <w:p w14:paraId="17AC763F"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պակաս լինի ID անվանական արժեքից ավելի քան 19 %-ով</w:t>
            </w:r>
          </w:p>
        </w:tc>
      </w:tr>
      <w:tr w:rsidR="00CA27E3" w:rsidRPr="00066F60" w14:paraId="46FA1C02" w14:textId="77777777" w:rsidTr="00250D3E">
        <w:trPr>
          <w:jc w:val="center"/>
        </w:trPr>
        <w:tc>
          <w:tcPr>
            <w:tcW w:w="2885" w:type="dxa"/>
            <w:tcBorders>
              <w:top w:val="single" w:sz="4" w:space="0" w:color="auto"/>
              <w:left w:val="single" w:sz="4" w:space="0" w:color="auto"/>
            </w:tcBorders>
            <w:shd w:val="clear" w:color="auto" w:fill="FFFFFF"/>
            <w:vAlign w:val="bottom"/>
          </w:tcPr>
          <w:p w14:paraId="3099C939"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Էլեկտրական էներգիայի սպառումը</w:t>
            </w:r>
          </w:p>
        </w:tc>
        <w:tc>
          <w:tcPr>
            <w:tcW w:w="6590" w:type="dxa"/>
            <w:tcBorders>
              <w:top w:val="single" w:sz="4" w:space="0" w:color="auto"/>
              <w:left w:val="single" w:sz="4" w:space="0" w:color="auto"/>
              <w:right w:val="single" w:sz="4" w:space="0" w:color="auto"/>
            </w:tcBorders>
            <w:shd w:val="clear" w:color="auto" w:fill="FFFFFF"/>
            <w:vAlign w:val="center"/>
          </w:tcPr>
          <w:p w14:paraId="16C9637B"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գերազանցի E</w:t>
            </w:r>
            <w:r w:rsidRPr="00066F60">
              <w:rPr>
                <w:rFonts w:ascii="Sylfaen" w:hAnsi="Sylfaen"/>
                <w:sz w:val="20"/>
                <w:szCs w:val="20"/>
                <w:vertAlign w:val="subscript"/>
              </w:rPr>
              <w:t>t</w:t>
            </w:r>
            <w:r w:rsidRPr="00066F60">
              <w:rPr>
                <w:rFonts w:ascii="Sylfaen" w:hAnsi="Sylfaen"/>
                <w:sz w:val="20"/>
                <w:szCs w:val="20"/>
              </w:rPr>
              <w:t xml:space="preserve"> անվանական արժեքն ավելի քան 10 %-ով</w:t>
            </w:r>
          </w:p>
        </w:tc>
      </w:tr>
      <w:tr w:rsidR="00CA27E3" w:rsidRPr="00066F60" w14:paraId="42D6A91B" w14:textId="77777777" w:rsidTr="00250D3E">
        <w:trPr>
          <w:jc w:val="center"/>
        </w:trPr>
        <w:tc>
          <w:tcPr>
            <w:tcW w:w="2885" w:type="dxa"/>
            <w:tcBorders>
              <w:top w:val="single" w:sz="4" w:space="0" w:color="auto"/>
              <w:left w:val="single" w:sz="4" w:space="0" w:color="auto"/>
            </w:tcBorders>
            <w:shd w:val="clear" w:color="auto" w:fill="FFFFFF"/>
            <w:vAlign w:val="bottom"/>
          </w:tcPr>
          <w:p w14:paraId="041146A8"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Ծրագրի տեւողությունը</w:t>
            </w:r>
          </w:p>
        </w:tc>
        <w:tc>
          <w:tcPr>
            <w:tcW w:w="6590" w:type="dxa"/>
            <w:tcBorders>
              <w:top w:val="single" w:sz="4" w:space="0" w:color="auto"/>
              <w:left w:val="single" w:sz="4" w:space="0" w:color="auto"/>
              <w:right w:val="single" w:sz="4" w:space="0" w:color="auto"/>
            </w:tcBorders>
            <w:shd w:val="clear" w:color="auto" w:fill="FFFFFF"/>
            <w:vAlign w:val="center"/>
          </w:tcPr>
          <w:p w14:paraId="25D04AEA"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գերազանցի T</w:t>
            </w:r>
            <w:r w:rsidRPr="00066F60">
              <w:rPr>
                <w:rFonts w:ascii="Sylfaen" w:hAnsi="Sylfaen"/>
                <w:sz w:val="20"/>
                <w:szCs w:val="20"/>
                <w:vertAlign w:val="subscript"/>
              </w:rPr>
              <w:t>t</w:t>
            </w:r>
            <w:r w:rsidRPr="00066F60">
              <w:rPr>
                <w:rFonts w:ascii="Sylfaen" w:hAnsi="Sylfaen"/>
                <w:sz w:val="20"/>
                <w:szCs w:val="20"/>
              </w:rPr>
              <w:t xml:space="preserve"> անվանական արժեքն ավելի քան 10 %-ով</w:t>
            </w:r>
          </w:p>
        </w:tc>
      </w:tr>
      <w:tr w:rsidR="00CA27E3" w:rsidRPr="00066F60" w14:paraId="5212531E" w14:textId="77777777" w:rsidTr="00250D3E">
        <w:trPr>
          <w:jc w:val="center"/>
        </w:trPr>
        <w:tc>
          <w:tcPr>
            <w:tcW w:w="2885" w:type="dxa"/>
            <w:tcBorders>
              <w:top w:val="single" w:sz="4" w:space="0" w:color="auto"/>
              <w:left w:val="single" w:sz="4" w:space="0" w:color="auto"/>
            </w:tcBorders>
            <w:shd w:val="clear" w:color="auto" w:fill="FFFFFF"/>
          </w:tcPr>
          <w:p w14:paraId="40225031"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Ջրի ծախսը</w:t>
            </w:r>
          </w:p>
        </w:tc>
        <w:tc>
          <w:tcPr>
            <w:tcW w:w="6590" w:type="dxa"/>
            <w:tcBorders>
              <w:top w:val="single" w:sz="4" w:space="0" w:color="auto"/>
              <w:left w:val="single" w:sz="4" w:space="0" w:color="auto"/>
              <w:right w:val="single" w:sz="4" w:space="0" w:color="auto"/>
            </w:tcBorders>
            <w:shd w:val="clear" w:color="auto" w:fill="FFFFFF"/>
            <w:vAlign w:val="center"/>
          </w:tcPr>
          <w:p w14:paraId="7F6B4A67"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գերազանցի W</w:t>
            </w:r>
            <w:r w:rsidRPr="00066F60">
              <w:rPr>
                <w:rFonts w:ascii="Sylfaen" w:hAnsi="Sylfaen"/>
                <w:sz w:val="20"/>
                <w:szCs w:val="20"/>
                <w:vertAlign w:val="subscript"/>
              </w:rPr>
              <w:t>t</w:t>
            </w:r>
            <w:r w:rsidRPr="00066F60">
              <w:rPr>
                <w:rFonts w:ascii="Sylfaen" w:hAnsi="Sylfaen"/>
                <w:sz w:val="20"/>
                <w:szCs w:val="20"/>
              </w:rPr>
              <w:t xml:space="preserve"> անվանական արժեքն ավելի քան 10 %-ով</w:t>
            </w:r>
          </w:p>
        </w:tc>
      </w:tr>
      <w:tr w:rsidR="00CA27E3" w:rsidRPr="00066F60" w14:paraId="2A96B9A7" w14:textId="77777777" w:rsidTr="00250D3E">
        <w:trPr>
          <w:jc w:val="center"/>
        </w:trPr>
        <w:tc>
          <w:tcPr>
            <w:tcW w:w="2885" w:type="dxa"/>
            <w:tcBorders>
              <w:top w:val="single" w:sz="4" w:space="0" w:color="auto"/>
              <w:left w:val="single" w:sz="4" w:space="0" w:color="auto"/>
              <w:bottom w:val="single" w:sz="4" w:space="0" w:color="auto"/>
            </w:tcBorders>
            <w:shd w:val="clear" w:color="auto" w:fill="FFFFFF"/>
          </w:tcPr>
          <w:p w14:paraId="240B8FED"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Անջատման ռեժիմում եւ սպասման ռեժիմում օգտագործվող հզորությունը</w:t>
            </w:r>
          </w:p>
        </w:tc>
        <w:tc>
          <w:tcPr>
            <w:tcW w:w="6590" w:type="dxa"/>
            <w:tcBorders>
              <w:top w:val="single" w:sz="4" w:space="0" w:color="auto"/>
              <w:left w:val="single" w:sz="4" w:space="0" w:color="auto"/>
              <w:bottom w:val="single" w:sz="4" w:space="0" w:color="auto"/>
              <w:right w:val="single" w:sz="4" w:space="0" w:color="auto"/>
            </w:tcBorders>
            <w:shd w:val="clear" w:color="auto" w:fill="FFFFFF"/>
            <w:vAlign w:val="center"/>
          </w:tcPr>
          <w:p w14:paraId="6A9D2B65"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եթե Р</w:t>
            </w:r>
            <w:r w:rsidRPr="00066F60">
              <w:rPr>
                <w:rFonts w:ascii="Sylfaen" w:hAnsi="Sylfaen"/>
                <w:sz w:val="20"/>
                <w:szCs w:val="20"/>
                <w:vertAlign w:val="subscript"/>
              </w:rPr>
              <w:t>0</w:t>
            </w:r>
            <w:r w:rsidRPr="00066F60">
              <w:rPr>
                <w:rFonts w:ascii="Sylfaen" w:hAnsi="Sylfaen"/>
                <w:sz w:val="20"/>
                <w:szCs w:val="20"/>
              </w:rPr>
              <w:t xml:space="preserve"> եւ P</w:t>
            </w:r>
            <w:r w:rsidRPr="00066F60">
              <w:rPr>
                <w:rFonts w:ascii="Sylfaen" w:hAnsi="Sylfaen"/>
                <w:sz w:val="20"/>
                <w:szCs w:val="20"/>
                <w:vertAlign w:val="subscript"/>
              </w:rPr>
              <w:t>1</w:t>
            </w:r>
            <w:r w:rsidRPr="00066F60">
              <w:rPr>
                <w:rFonts w:ascii="Sylfaen" w:hAnsi="Sylfaen"/>
                <w:sz w:val="20"/>
                <w:szCs w:val="20"/>
              </w:rPr>
              <w:t xml:space="preserve"> արժեքները գերազանցում են 1,00 Վտ-ը, ապա դրանք չպետք է գերազանցեն անվանական արժեքն ավելի քան 10 %-ով: Եթե Р</w:t>
            </w:r>
            <w:r w:rsidRPr="00066F60">
              <w:rPr>
                <w:rFonts w:ascii="Sylfaen" w:hAnsi="Sylfaen"/>
                <w:sz w:val="20"/>
                <w:szCs w:val="20"/>
                <w:vertAlign w:val="subscript"/>
              </w:rPr>
              <w:t>0</w:t>
            </w:r>
            <w:r w:rsidRPr="00066F60">
              <w:rPr>
                <w:rFonts w:ascii="Sylfaen" w:hAnsi="Sylfaen"/>
                <w:sz w:val="20"/>
                <w:szCs w:val="20"/>
              </w:rPr>
              <w:t xml:space="preserve"> եւ P</w:t>
            </w:r>
            <w:r w:rsidRPr="00066F60">
              <w:rPr>
                <w:rFonts w:ascii="Sylfaen" w:hAnsi="Sylfaen"/>
                <w:sz w:val="20"/>
                <w:szCs w:val="20"/>
                <w:vertAlign w:val="subscript"/>
              </w:rPr>
              <w:t>1</w:t>
            </w:r>
            <w:r w:rsidRPr="00066F60">
              <w:rPr>
                <w:rFonts w:ascii="Sylfaen" w:hAnsi="Sylfaen"/>
                <w:sz w:val="20"/>
                <w:szCs w:val="20"/>
              </w:rPr>
              <w:t xml:space="preserve"> արժեքները չեն գերազանցում 1,00 Վտ-ը, ապա դրանք չպետք է գերազանցեն անվանական արժեքն ավելի քան 0,10 Վտ-ով:</w:t>
            </w:r>
          </w:p>
        </w:tc>
      </w:tr>
      <w:tr w:rsidR="00CA27E3" w:rsidRPr="00066F60" w14:paraId="138E76D9" w14:textId="77777777" w:rsidTr="00250D3E">
        <w:trPr>
          <w:jc w:val="center"/>
        </w:trPr>
        <w:tc>
          <w:tcPr>
            <w:tcW w:w="2885" w:type="dxa"/>
            <w:tcBorders>
              <w:top w:val="single" w:sz="4" w:space="0" w:color="auto"/>
              <w:left w:val="single" w:sz="4" w:space="0" w:color="auto"/>
              <w:bottom w:val="single" w:sz="4" w:space="0" w:color="auto"/>
            </w:tcBorders>
            <w:shd w:val="clear" w:color="auto" w:fill="FFFFFF"/>
            <w:vAlign w:val="center"/>
          </w:tcPr>
          <w:p w14:paraId="735D0E16" w14:textId="77777777" w:rsidR="00CA27E3" w:rsidRPr="00066F60" w:rsidRDefault="00CA27E3" w:rsidP="0034095C">
            <w:pPr>
              <w:pStyle w:val="Other0"/>
              <w:shd w:val="clear" w:color="auto" w:fill="auto"/>
              <w:spacing w:after="120"/>
              <w:ind w:right="121"/>
              <w:jc w:val="left"/>
              <w:rPr>
                <w:rFonts w:ascii="Sylfaen" w:hAnsi="Sylfaen"/>
                <w:sz w:val="20"/>
                <w:szCs w:val="20"/>
              </w:rPr>
            </w:pPr>
            <w:r w:rsidRPr="00066F60">
              <w:rPr>
                <w:rFonts w:ascii="Sylfaen" w:hAnsi="Sylfaen"/>
                <w:sz w:val="20"/>
                <w:szCs w:val="20"/>
              </w:rPr>
              <w:t>Անջատման ռեժիմում եւ սպասման ռեժիմում գտնվելու տեւողությունը</w:t>
            </w:r>
          </w:p>
        </w:tc>
        <w:tc>
          <w:tcPr>
            <w:tcW w:w="6590" w:type="dxa"/>
            <w:tcBorders>
              <w:top w:val="single" w:sz="4" w:space="0" w:color="auto"/>
              <w:left w:val="single" w:sz="4" w:space="0" w:color="auto"/>
              <w:bottom w:val="single" w:sz="4" w:space="0" w:color="auto"/>
              <w:right w:val="single" w:sz="4" w:space="0" w:color="auto"/>
            </w:tcBorders>
            <w:shd w:val="clear" w:color="auto" w:fill="FFFFFF"/>
            <w:vAlign w:val="center"/>
          </w:tcPr>
          <w:p w14:paraId="53F25AB3" w14:textId="77777777" w:rsidR="00CA27E3" w:rsidRPr="00066F60" w:rsidRDefault="00CA27E3" w:rsidP="00250D3E">
            <w:pPr>
              <w:pStyle w:val="Other0"/>
              <w:shd w:val="clear" w:color="auto" w:fill="auto"/>
              <w:spacing w:after="120"/>
              <w:ind w:left="93" w:right="122"/>
              <w:jc w:val="both"/>
              <w:rPr>
                <w:rFonts w:ascii="Sylfaen" w:hAnsi="Sylfaen"/>
                <w:sz w:val="20"/>
                <w:szCs w:val="20"/>
              </w:rPr>
            </w:pPr>
            <w:r w:rsidRPr="00066F60">
              <w:rPr>
                <w:rFonts w:ascii="Sylfaen" w:hAnsi="Sylfaen"/>
                <w:sz w:val="20"/>
                <w:szCs w:val="20"/>
              </w:rPr>
              <w:t>չափված արժեքը չպետք է գերազանցի T</w:t>
            </w:r>
            <w:r w:rsidRPr="00066F60">
              <w:rPr>
                <w:rFonts w:ascii="Sylfaen" w:hAnsi="Sylfaen"/>
                <w:sz w:val="20"/>
                <w:szCs w:val="20"/>
                <w:vertAlign w:val="subscript"/>
              </w:rPr>
              <w:t>l</w:t>
            </w:r>
            <w:r w:rsidRPr="00066F60">
              <w:rPr>
                <w:rFonts w:ascii="Sylfaen" w:hAnsi="Sylfaen"/>
                <w:sz w:val="20"/>
                <w:szCs w:val="20"/>
              </w:rPr>
              <w:t xml:space="preserve"> անվանական արժեքն ավելի քան 10 %-ով</w:t>
            </w:r>
          </w:p>
        </w:tc>
      </w:tr>
    </w:tbl>
    <w:p w14:paraId="5B7212EF" w14:textId="77777777" w:rsidR="00CA27E3" w:rsidRPr="0034095C" w:rsidRDefault="00CA27E3" w:rsidP="007B461B">
      <w:pPr>
        <w:pStyle w:val="Tablecaption0"/>
        <w:shd w:val="clear" w:color="auto" w:fill="auto"/>
        <w:spacing w:after="160" w:line="348" w:lineRule="auto"/>
        <w:ind w:left="11"/>
        <w:jc w:val="both"/>
        <w:rPr>
          <w:rFonts w:ascii="Sylfaen" w:hAnsi="Sylfaen"/>
          <w:sz w:val="20"/>
          <w:szCs w:val="20"/>
        </w:rPr>
      </w:pPr>
      <w:r w:rsidRPr="0034095C">
        <w:rPr>
          <w:rFonts w:ascii="Sylfaen" w:hAnsi="Sylfaen"/>
          <w:sz w:val="20"/>
          <w:szCs w:val="20"/>
        </w:rPr>
        <w:t>(*) Անվանական արժեքի տակ հասկանում ենք արտադրողի հայտագրված արժեքը:</w:t>
      </w:r>
    </w:p>
    <w:p w14:paraId="424D4C31" w14:textId="77777777" w:rsidR="00CA27E3" w:rsidRPr="00CA27E3" w:rsidRDefault="00CA27E3" w:rsidP="0034095C">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 xml:space="preserve">Այլ դեպքերում փորձարկումները (չափումները) պետք է կատարվեն սպասք լվացող մեքենայի յուրաքանչյուր մոդելի 3 լրացուցիչ օրինակների վրա: Սպասք լվացող մեքենայի մոդելը համարվում է սույն պահանջներին համապատասխանող, եթե սպասք լվացող մեքենաների այդ 3 լրացուցիչ օրինակների չափված </w:t>
      </w:r>
      <w:r w:rsidRPr="0034095C">
        <w:rPr>
          <w:rFonts w:ascii="Sylfaen" w:hAnsi="Sylfaen"/>
          <w:spacing w:val="4"/>
          <w:sz w:val="24"/>
          <w:szCs w:val="24"/>
        </w:rPr>
        <w:t>պարամետրերի միջին արժեքները համապատասխանում են սույն պահանջների 3-րդ աղյուսակում նշված պահանջներին, բացառությամբ էլեկտրական էներգիայի</w:t>
      </w:r>
      <w:r w:rsidRPr="00CA27E3">
        <w:rPr>
          <w:rFonts w:ascii="Sylfaen" w:hAnsi="Sylfaen"/>
          <w:sz w:val="24"/>
          <w:szCs w:val="24"/>
        </w:rPr>
        <w:t xml:space="preserve"> սպառման, որի չափվող մեծությունը չի գերազանցում Et անվանական արժեքն ավելի քան 6 %-ով:</w:t>
      </w:r>
    </w:p>
    <w:p w14:paraId="2A70C6D3" w14:textId="77777777" w:rsidR="00CA27E3" w:rsidRDefault="00CA27E3" w:rsidP="0034095C">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 xml:space="preserve">Այլ դեպքերում սպասք լվացող մեքենայի տվյալ մոդելը </w:t>
      </w:r>
      <w:r>
        <w:rPr>
          <w:rFonts w:ascii="Sylfaen" w:hAnsi="Sylfaen"/>
          <w:sz w:val="24"/>
          <w:szCs w:val="24"/>
        </w:rPr>
        <w:t>եւ</w:t>
      </w:r>
      <w:r w:rsidRPr="00CA27E3">
        <w:rPr>
          <w:rFonts w:ascii="Sylfaen" w:hAnsi="Sylfaen"/>
          <w:sz w:val="24"/>
          <w:szCs w:val="24"/>
        </w:rPr>
        <w:t xml:space="preserve"> սպասք լվացող բոլոր մյուս համարժեք մեքենաները հարկ է դիտարկել որպես տեխնիկական կանոնակարգի պահանջներին չհամապատասխանող։</w:t>
      </w:r>
    </w:p>
    <w:p w14:paraId="43884A05" w14:textId="77777777" w:rsidR="00066F60" w:rsidRPr="00CA27E3" w:rsidRDefault="00066F60" w:rsidP="00CA27E3">
      <w:pPr>
        <w:pStyle w:val="1"/>
        <w:shd w:val="clear" w:color="auto" w:fill="auto"/>
        <w:spacing w:after="160"/>
        <w:ind w:firstLine="567"/>
        <w:jc w:val="both"/>
        <w:rPr>
          <w:rFonts w:ascii="Sylfaen" w:hAnsi="Sylfaen"/>
          <w:sz w:val="24"/>
          <w:szCs w:val="24"/>
        </w:rPr>
      </w:pPr>
    </w:p>
    <w:p w14:paraId="5E8C7296" w14:textId="77777777" w:rsidR="00066F60" w:rsidRDefault="00066F60" w:rsidP="00CA27E3">
      <w:pPr>
        <w:pStyle w:val="1"/>
        <w:shd w:val="clear" w:color="auto" w:fill="auto"/>
        <w:spacing w:after="160"/>
        <w:ind w:left="5620" w:firstLine="0"/>
        <w:rPr>
          <w:rFonts w:ascii="Sylfaen" w:hAnsi="Sylfaen"/>
          <w:sz w:val="24"/>
          <w:szCs w:val="24"/>
        </w:rPr>
        <w:sectPr w:rsidR="00066F60" w:rsidSect="0027701C">
          <w:pgSz w:w="11907" w:h="16840" w:code="9"/>
          <w:pgMar w:top="1418" w:right="1418" w:bottom="1418" w:left="1418" w:header="0" w:footer="538" w:gutter="0"/>
          <w:pgNumType w:start="1"/>
          <w:cols w:space="720"/>
          <w:noEndnote/>
          <w:titlePg/>
          <w:docGrid w:linePitch="360"/>
        </w:sectPr>
      </w:pPr>
    </w:p>
    <w:p w14:paraId="4D14DD5A" w14:textId="77777777" w:rsidR="00CA27E3" w:rsidRPr="00CA27E3" w:rsidRDefault="00CA27E3" w:rsidP="007B461B">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lastRenderedPageBreak/>
        <w:t>ՀԱՎԵԼՎԱԾ ԹԻՎ 8</w:t>
      </w:r>
    </w:p>
    <w:p w14:paraId="347C9F03" w14:textId="77777777" w:rsidR="00CA27E3" w:rsidRPr="00CA27E3" w:rsidRDefault="00CA27E3" w:rsidP="007B461B">
      <w:pPr>
        <w:pStyle w:val="1"/>
        <w:shd w:val="clear" w:color="auto" w:fill="auto"/>
        <w:spacing w:after="160"/>
        <w:ind w:left="3969" w:firstLine="0"/>
        <w:jc w:val="center"/>
        <w:rPr>
          <w:rFonts w:ascii="Sylfaen" w:hAnsi="Sylfaen"/>
          <w:sz w:val="24"/>
          <w:szCs w:val="24"/>
        </w:rPr>
      </w:pPr>
      <w:r w:rsidRPr="00CA27E3">
        <w:rPr>
          <w:rFonts w:ascii="Sylfaen" w:hAnsi="Sylfaen"/>
          <w:sz w:val="24"/>
          <w:szCs w:val="24"/>
        </w:rPr>
        <w:t xml:space="preserve">«Էներգասպառող սարքվածքների </w:t>
      </w:r>
      <w:r w:rsidR="0034095C" w:rsidRPr="0034095C">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5503F1" w:rsidRPr="005503F1">
        <w:rPr>
          <w:rFonts w:ascii="Sylfaen" w:hAnsi="Sylfaen"/>
          <w:sz w:val="24"/>
          <w:szCs w:val="24"/>
        </w:rPr>
        <w:br/>
      </w:r>
      <w:r w:rsidRPr="00CA27E3">
        <w:rPr>
          <w:rFonts w:ascii="Sylfaen" w:hAnsi="Sylfaen"/>
          <w:sz w:val="24"/>
          <w:szCs w:val="24"/>
        </w:rPr>
        <w:t>(ԵԱՏՄ ՏԿ</w:t>
      </w:r>
      <w:r w:rsidR="005503F1" w:rsidRPr="005503F1">
        <w:rPr>
          <w:rFonts w:ascii="Sylfaen" w:hAnsi="Sylfaen"/>
          <w:sz w:val="24"/>
          <w:szCs w:val="24"/>
        </w:rPr>
        <w:tab/>
      </w:r>
      <w:r w:rsidRPr="00CA27E3">
        <w:rPr>
          <w:rFonts w:ascii="Sylfaen" w:hAnsi="Sylfaen"/>
          <w:sz w:val="24"/>
          <w:szCs w:val="24"/>
        </w:rPr>
        <w:t>/20</w:t>
      </w:r>
      <w:r w:rsidR="005503F1" w:rsidRPr="005503F1">
        <w:rPr>
          <w:rFonts w:ascii="Sylfaen" w:hAnsi="Sylfaen"/>
          <w:sz w:val="24"/>
          <w:szCs w:val="24"/>
        </w:rPr>
        <w:tab/>
      </w:r>
      <w:r w:rsidRPr="00CA27E3">
        <w:rPr>
          <w:rFonts w:ascii="Sylfaen" w:hAnsi="Sylfaen"/>
          <w:sz w:val="24"/>
          <w:szCs w:val="24"/>
        </w:rPr>
        <w:t>)</w:t>
      </w:r>
    </w:p>
    <w:p w14:paraId="2BECFD59" w14:textId="77777777" w:rsidR="00CA27E3" w:rsidRPr="00CA27E3" w:rsidRDefault="00CA27E3" w:rsidP="00CA27E3">
      <w:pPr>
        <w:pStyle w:val="1"/>
        <w:shd w:val="clear" w:color="auto" w:fill="auto"/>
        <w:spacing w:after="160"/>
        <w:ind w:left="4536" w:firstLine="0"/>
        <w:jc w:val="center"/>
        <w:rPr>
          <w:rFonts w:ascii="Sylfaen" w:hAnsi="Sylfaen"/>
          <w:sz w:val="24"/>
          <w:szCs w:val="24"/>
        </w:rPr>
      </w:pPr>
    </w:p>
    <w:p w14:paraId="3DC00F35" w14:textId="77777777" w:rsidR="00CA27E3" w:rsidRPr="00CA27E3" w:rsidRDefault="00CA27E3" w:rsidP="00CA27E3">
      <w:pPr>
        <w:pStyle w:val="Heading10"/>
        <w:shd w:val="clear" w:color="auto" w:fill="auto"/>
        <w:spacing w:after="160" w:line="360" w:lineRule="auto"/>
        <w:outlineLvl w:val="9"/>
        <w:rPr>
          <w:rFonts w:ascii="Sylfaen" w:hAnsi="Sylfaen"/>
          <w:sz w:val="24"/>
          <w:szCs w:val="24"/>
        </w:rPr>
      </w:pPr>
      <w:r w:rsidRPr="00CA27E3">
        <w:rPr>
          <w:rFonts w:ascii="Sylfaen" w:hAnsi="Sylfaen"/>
          <w:b/>
          <w:sz w:val="24"/>
          <w:szCs w:val="24"/>
        </w:rPr>
        <w:t>ՊԱՀԱՆՋՆԵՐ</w:t>
      </w:r>
    </w:p>
    <w:p w14:paraId="0C142FDC" w14:textId="77777777" w:rsidR="00CA27E3" w:rsidRPr="00CA27E3" w:rsidRDefault="00CA27E3" w:rsidP="00CA27E3">
      <w:pPr>
        <w:pStyle w:val="Heading10"/>
        <w:shd w:val="clear" w:color="auto" w:fill="auto"/>
        <w:spacing w:after="160" w:line="360" w:lineRule="auto"/>
        <w:outlineLvl w:val="9"/>
        <w:rPr>
          <w:rFonts w:ascii="Sylfaen" w:hAnsi="Sylfaen"/>
          <w:sz w:val="24"/>
          <w:szCs w:val="24"/>
        </w:rPr>
      </w:pPr>
      <w:r w:rsidRPr="00CA27E3">
        <w:rPr>
          <w:rFonts w:ascii="Sylfaen" w:hAnsi="Sylfaen"/>
          <w:b/>
          <w:sz w:val="24"/>
          <w:szCs w:val="24"/>
        </w:rPr>
        <w:t xml:space="preserve">հեռուստացուցային կցուրդների </w:t>
      </w:r>
      <w:r w:rsidR="005503F1" w:rsidRPr="005503F1">
        <w:rPr>
          <w:rFonts w:ascii="Sylfaen" w:hAnsi="Sylfaen"/>
          <w:b/>
          <w:sz w:val="24"/>
          <w:szCs w:val="24"/>
        </w:rPr>
        <w:br/>
      </w:r>
      <w:r w:rsidRPr="00CA27E3">
        <w:rPr>
          <w:rFonts w:ascii="Sylfaen" w:hAnsi="Sylfaen"/>
          <w:b/>
          <w:sz w:val="24"/>
          <w:szCs w:val="24"/>
        </w:rPr>
        <w:t>էներգետիկ արդյունավետությանը ներկայացվող</w:t>
      </w:r>
    </w:p>
    <w:p w14:paraId="7D7CC8F6" w14:textId="77777777" w:rsidR="00CA27E3" w:rsidRPr="00CA27E3" w:rsidRDefault="00CA27E3" w:rsidP="00CA27E3">
      <w:pPr>
        <w:spacing w:after="160" w:line="360" w:lineRule="auto"/>
        <w:rPr>
          <w:rFonts w:ascii="Sylfaen" w:hAnsi="Sylfaen"/>
        </w:rPr>
      </w:pPr>
    </w:p>
    <w:p w14:paraId="37366E7E" w14:textId="77777777" w:rsidR="00CA27E3" w:rsidRPr="00CA27E3" w:rsidRDefault="00CA27E3" w:rsidP="00CA27E3">
      <w:pPr>
        <w:pStyle w:val="1"/>
        <w:shd w:val="clear" w:color="auto" w:fill="auto"/>
        <w:spacing w:after="160"/>
        <w:ind w:left="1134" w:right="1126" w:firstLine="0"/>
        <w:jc w:val="center"/>
        <w:rPr>
          <w:rFonts w:ascii="Sylfaen" w:hAnsi="Sylfaen"/>
          <w:sz w:val="24"/>
          <w:szCs w:val="24"/>
        </w:rPr>
      </w:pPr>
      <w:r w:rsidRPr="00CA27E3">
        <w:rPr>
          <w:rFonts w:ascii="Sylfaen" w:hAnsi="Sylfaen"/>
          <w:sz w:val="24"/>
          <w:szCs w:val="24"/>
        </w:rPr>
        <w:t>I. Կիրառության ոլորտը</w:t>
      </w:r>
    </w:p>
    <w:p w14:paraId="3E39AB9E" w14:textId="77777777" w:rsidR="00CA27E3" w:rsidRPr="00CA27E3" w:rsidRDefault="00CA27E3" w:rsidP="005503F1">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w:t>
      </w:r>
      <w:r w:rsidR="005503F1" w:rsidRPr="005503F1">
        <w:rPr>
          <w:rFonts w:ascii="Sylfaen" w:hAnsi="Sylfaen"/>
          <w:sz w:val="24"/>
          <w:szCs w:val="24"/>
        </w:rPr>
        <w:tab/>
      </w:r>
      <w:r w:rsidRPr="00CA27E3">
        <w:rPr>
          <w:rFonts w:ascii="Sylfaen" w:hAnsi="Sylfaen"/>
          <w:sz w:val="24"/>
          <w:szCs w:val="24"/>
        </w:rPr>
        <w:t xml:space="preserve">Սույն պահանջները տարածվում են Եվրասիական տնտեսական միության (այսուհետ՝ Միություն) մաքսային տարածքում շրջանառության մեջ դրվող ավտոնոմ (հեռուստա- </w:t>
      </w:r>
      <w:r>
        <w:rPr>
          <w:rFonts w:ascii="Sylfaen" w:hAnsi="Sylfaen"/>
          <w:sz w:val="24"/>
          <w:szCs w:val="24"/>
        </w:rPr>
        <w:t>եւ</w:t>
      </w:r>
      <w:r w:rsidRPr="00CA27E3">
        <w:rPr>
          <w:rFonts w:ascii="Sylfaen" w:hAnsi="Sylfaen"/>
          <w:sz w:val="24"/>
          <w:szCs w:val="24"/>
        </w:rPr>
        <w:t xml:space="preserve"> (կամ) ռադիոհեռարձակման ընդունիչներում չներսարքվող) բաժանորդային հեռուստացուցային կցուրդների (այսուհետ՝ հեռուստացուցային կցուրդներ) վրա, որոնք նախատեսված են ստանդարտ </w:t>
      </w:r>
      <w:r>
        <w:rPr>
          <w:rFonts w:ascii="Sylfaen" w:hAnsi="Sylfaen"/>
          <w:sz w:val="24"/>
          <w:szCs w:val="24"/>
        </w:rPr>
        <w:t>եւ</w:t>
      </w:r>
      <w:r w:rsidRPr="00CA27E3">
        <w:rPr>
          <w:rFonts w:ascii="Sylfaen" w:hAnsi="Sylfaen"/>
          <w:sz w:val="24"/>
          <w:szCs w:val="24"/>
        </w:rPr>
        <w:t xml:space="preserve"> (կամ) բարձր հստակության բաց չկոդավորված թվային հեռուստա- </w:t>
      </w:r>
      <w:r>
        <w:rPr>
          <w:rFonts w:ascii="Sylfaen" w:hAnsi="Sylfaen"/>
          <w:sz w:val="24"/>
          <w:szCs w:val="24"/>
        </w:rPr>
        <w:t>եւ</w:t>
      </w:r>
      <w:r w:rsidRPr="00CA27E3">
        <w:rPr>
          <w:rFonts w:ascii="Sylfaen" w:hAnsi="Sylfaen"/>
          <w:sz w:val="24"/>
          <w:szCs w:val="24"/>
        </w:rPr>
        <w:t xml:space="preserve"> (կամ) ռադիոհեռարձակումն այն անալոգային հեռուստատեսությանը </w:t>
      </w:r>
      <w:r>
        <w:rPr>
          <w:rFonts w:ascii="Sylfaen" w:hAnsi="Sylfaen"/>
          <w:sz w:val="24"/>
          <w:szCs w:val="24"/>
        </w:rPr>
        <w:t>եւ</w:t>
      </w:r>
      <w:r w:rsidRPr="00CA27E3">
        <w:rPr>
          <w:rFonts w:ascii="Sylfaen" w:hAnsi="Sylfaen"/>
          <w:sz w:val="24"/>
          <w:szCs w:val="24"/>
        </w:rPr>
        <w:t xml:space="preserve"> (կամ) ռադիոյին համապատասխանող ազդանշանների փոխակերպման համար, որոնք չունեն «պայմանական մատչում» ֆունկցիա </w:t>
      </w:r>
      <w:r>
        <w:rPr>
          <w:rFonts w:ascii="Sylfaen" w:hAnsi="Sylfaen"/>
          <w:sz w:val="24"/>
          <w:szCs w:val="24"/>
        </w:rPr>
        <w:t>եւ</w:t>
      </w:r>
      <w:r w:rsidRPr="00CA27E3">
        <w:rPr>
          <w:rFonts w:ascii="Sylfaen" w:hAnsi="Sylfaen"/>
          <w:sz w:val="24"/>
          <w:szCs w:val="24"/>
        </w:rPr>
        <w:t xml:space="preserve"> ստանդարտ ձ</w:t>
      </w:r>
      <w:r>
        <w:rPr>
          <w:rFonts w:ascii="Sylfaen" w:hAnsi="Sylfaen"/>
          <w:sz w:val="24"/>
          <w:szCs w:val="24"/>
        </w:rPr>
        <w:t>եւ</w:t>
      </w:r>
      <w:r w:rsidRPr="00CA27E3">
        <w:rPr>
          <w:rFonts w:ascii="Sylfaen" w:hAnsi="Sylfaen"/>
          <w:sz w:val="24"/>
          <w:szCs w:val="24"/>
        </w:rPr>
        <w:t>աչափով տեղեկատվության հեռացվելի կրիչների վրա ձայնագրության ֆունկցիա, սակայն կարող են ունենալ՝</w:t>
      </w:r>
    </w:p>
    <w:p w14:paraId="4579B00E" w14:textId="77777777" w:rsidR="00CA27E3" w:rsidRPr="00CA27E3" w:rsidRDefault="00CA27E3" w:rsidP="005503F1">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ա)</w:t>
      </w:r>
      <w:r w:rsidR="005503F1" w:rsidRPr="005503F1">
        <w:rPr>
          <w:rFonts w:ascii="Sylfaen" w:hAnsi="Sylfaen"/>
          <w:sz w:val="24"/>
          <w:szCs w:val="24"/>
        </w:rPr>
        <w:tab/>
      </w:r>
      <w:r w:rsidRPr="00CA27E3">
        <w:rPr>
          <w:rFonts w:ascii="Sylfaen" w:hAnsi="Sylfaen"/>
          <w:sz w:val="24"/>
          <w:szCs w:val="24"/>
        </w:rPr>
        <w:t>տեղեկատվության ներկառուցված կուտակչի (կոշտ սկավառակ) վրա հեռարձակվող ծրագրի ֆոնային գրառման ֆունկցիա՝ ժամանակի տեղաշարժմամբ դրա հետագա դիտման հնարավորությամբ.</w:t>
      </w:r>
    </w:p>
    <w:p w14:paraId="6863D2E3" w14:textId="77777777" w:rsidR="00CA27E3" w:rsidRPr="00CA27E3" w:rsidRDefault="00CA27E3" w:rsidP="005503F1">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lastRenderedPageBreak/>
        <w:t>բ)</w:t>
      </w:r>
      <w:r w:rsidR="005503F1" w:rsidRPr="005503F1">
        <w:rPr>
          <w:rFonts w:ascii="Sylfaen" w:hAnsi="Sylfaen"/>
          <w:sz w:val="24"/>
          <w:szCs w:val="24"/>
        </w:rPr>
        <w:tab/>
      </w:r>
      <w:r w:rsidRPr="00CA27E3">
        <w:rPr>
          <w:rFonts w:ascii="Sylfaen" w:hAnsi="Sylfaen"/>
          <w:sz w:val="24"/>
          <w:szCs w:val="24"/>
        </w:rPr>
        <w:t>բարձր հստակության հեռուստահեռարձակման ընդունվող ազդանշանների՝ բարձր կամ ստանդարտ հստակության տեսաազդանշանների փոխակերպման ֆունկցիա.</w:t>
      </w:r>
    </w:p>
    <w:p w14:paraId="589E4B72" w14:textId="77777777" w:rsidR="00CA27E3" w:rsidRPr="00CA27E3" w:rsidRDefault="00CA27E3" w:rsidP="005503F1">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գ)</w:t>
      </w:r>
      <w:r w:rsidR="005503F1" w:rsidRPr="00DC5495">
        <w:rPr>
          <w:rFonts w:ascii="Sylfaen" w:hAnsi="Sylfaen"/>
          <w:sz w:val="24"/>
          <w:szCs w:val="24"/>
        </w:rPr>
        <w:tab/>
      </w:r>
      <w:r w:rsidRPr="00CA27E3">
        <w:rPr>
          <w:rFonts w:ascii="Sylfaen" w:hAnsi="Sylfaen"/>
          <w:sz w:val="24"/>
          <w:szCs w:val="24"/>
        </w:rPr>
        <w:t>երկրորդ կարգավորիչ:</w:t>
      </w:r>
    </w:p>
    <w:p w14:paraId="4BC12D5B"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Եթե հեռուստացուցային կցուրդների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հեռուստացուցային կցուրդները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4CF5C6D6" w14:textId="77777777" w:rsidR="00CA27E3" w:rsidRPr="00CA27E3" w:rsidRDefault="00CA27E3" w:rsidP="00CA27E3">
      <w:pPr>
        <w:spacing w:after="160" w:line="360" w:lineRule="auto"/>
        <w:ind w:firstLine="567"/>
        <w:jc w:val="both"/>
        <w:rPr>
          <w:rFonts w:ascii="Sylfaen" w:hAnsi="Sylfaen"/>
        </w:rPr>
      </w:pPr>
    </w:p>
    <w:p w14:paraId="0BD9E439" w14:textId="77777777" w:rsidR="00CA27E3" w:rsidRPr="00CA27E3" w:rsidRDefault="00CA27E3" w:rsidP="005503F1">
      <w:pPr>
        <w:pStyle w:val="1"/>
        <w:shd w:val="clear" w:color="auto" w:fill="auto"/>
        <w:spacing w:after="160"/>
        <w:ind w:right="-1" w:firstLine="0"/>
        <w:jc w:val="center"/>
        <w:rPr>
          <w:rFonts w:ascii="Sylfaen" w:hAnsi="Sylfaen"/>
          <w:sz w:val="24"/>
          <w:szCs w:val="24"/>
        </w:rPr>
      </w:pPr>
      <w:r w:rsidRPr="00CA27E3">
        <w:rPr>
          <w:rFonts w:ascii="Sylfaen" w:hAnsi="Sylfaen"/>
          <w:sz w:val="24"/>
          <w:szCs w:val="24"/>
        </w:rPr>
        <w:t>II. Հիմնական հասկացությունները</w:t>
      </w:r>
    </w:p>
    <w:p w14:paraId="41152870" w14:textId="77777777" w:rsidR="00CA27E3" w:rsidRPr="00CA27E3" w:rsidRDefault="00CA27E3" w:rsidP="005503F1">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2.</w:t>
      </w:r>
      <w:r w:rsidR="005503F1" w:rsidRPr="005503F1">
        <w:rPr>
          <w:rFonts w:ascii="Sylfaen" w:hAnsi="Sylfaen"/>
          <w:sz w:val="24"/>
          <w:szCs w:val="24"/>
        </w:rPr>
        <w:tab/>
      </w:r>
      <w:r w:rsidRPr="00CA27E3">
        <w:rPr>
          <w:rFonts w:ascii="Sylfaen" w:hAnsi="Sylfaen"/>
          <w:sz w:val="24"/>
          <w:szCs w:val="24"/>
        </w:rPr>
        <w:t>Սույն պահանջների կիրառման նպատակով օգտագործվում են հետ</w:t>
      </w:r>
      <w:r>
        <w:rPr>
          <w:rFonts w:ascii="Sylfaen" w:hAnsi="Sylfaen"/>
          <w:sz w:val="24"/>
          <w:szCs w:val="24"/>
        </w:rPr>
        <w:t>եւ</w:t>
      </w:r>
      <w:r w:rsidRPr="00CA27E3">
        <w:rPr>
          <w:rFonts w:ascii="Sylfaen" w:hAnsi="Sylfaen"/>
          <w:sz w:val="24"/>
          <w:szCs w:val="24"/>
        </w:rPr>
        <w:t>յալ հասկացությունները, որոնք ունեն հետ</w:t>
      </w:r>
      <w:r>
        <w:rPr>
          <w:rFonts w:ascii="Sylfaen" w:hAnsi="Sylfaen"/>
          <w:sz w:val="24"/>
          <w:szCs w:val="24"/>
        </w:rPr>
        <w:t>եւ</w:t>
      </w:r>
      <w:r w:rsidRPr="00CA27E3">
        <w:rPr>
          <w:rFonts w:ascii="Sylfaen" w:hAnsi="Sylfaen"/>
          <w:sz w:val="24"/>
          <w:szCs w:val="24"/>
        </w:rPr>
        <w:t>յալ իմաստը՝</w:t>
      </w:r>
    </w:p>
    <w:p w14:paraId="63BD2056" w14:textId="77777777" w:rsidR="00CA27E3" w:rsidRP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էլեկտրասնուցման ավտոմատ նվազում</w:t>
      </w:r>
      <w:r w:rsidR="00CA27E3" w:rsidRPr="005503F1">
        <w:rPr>
          <w:rFonts w:ascii="Sylfaen" w:hAnsi="Sylfaen"/>
          <w:b/>
          <w:sz w:val="24"/>
          <w:szCs w:val="24"/>
        </w:rPr>
        <w:t>՝</w:t>
      </w:r>
      <w:r w:rsidR="00CA27E3" w:rsidRPr="00CA27E3">
        <w:rPr>
          <w:rFonts w:ascii="Sylfaen" w:hAnsi="Sylfaen"/>
          <w:sz w:val="24"/>
          <w:szCs w:val="24"/>
        </w:rPr>
        <w:t xml:space="preserve"> ֆունկցիա, որը փոխարկում է հեռուստացուցային կցուրդն աշխատանքի ակտիվ ռեժիմից սպասման ռեժիմի՝ օգտագործողի վերջին միջամտության </w:t>
      </w:r>
      <w:r w:rsidR="00CA27E3">
        <w:rPr>
          <w:rFonts w:ascii="Sylfaen" w:hAnsi="Sylfaen"/>
          <w:sz w:val="24"/>
          <w:szCs w:val="24"/>
        </w:rPr>
        <w:t>եւ</w:t>
      </w:r>
      <w:r w:rsidR="00CA27E3" w:rsidRPr="00CA27E3">
        <w:rPr>
          <w:rFonts w:ascii="Sylfaen" w:hAnsi="Sylfaen"/>
          <w:sz w:val="24"/>
          <w:szCs w:val="24"/>
        </w:rPr>
        <w:t xml:space="preserve"> (կամ) ալիքը փոխելու պահից ակտիվ ռեժիմում աշխատանքի որոշակի ժամանակահատվածից հետո.</w:t>
      </w:r>
    </w:p>
    <w:p w14:paraId="698E604D" w14:textId="77777777" w:rsidR="00CA27E3" w:rsidRP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ակտիվ ռեժիմ (աշխատանքի ռեժիմ)</w:t>
      </w:r>
      <w:r w:rsidR="00CA27E3" w:rsidRPr="005503F1">
        <w:rPr>
          <w:rFonts w:ascii="Sylfaen" w:hAnsi="Sylfaen"/>
          <w:b/>
          <w:sz w:val="24"/>
          <w:szCs w:val="24"/>
        </w:rPr>
        <w:t>՝</w:t>
      </w:r>
      <w:r w:rsidR="00CA27E3" w:rsidRPr="00CA27E3">
        <w:rPr>
          <w:rFonts w:ascii="Sylfaen" w:hAnsi="Sylfaen"/>
          <w:sz w:val="24"/>
          <w:szCs w:val="24"/>
        </w:rPr>
        <w:t xml:space="preserve"> վիճակ, երբ սարքավորումը միացված է սնուցման աղբյուրին </w:t>
      </w:r>
      <w:r w:rsidR="00CA27E3">
        <w:rPr>
          <w:rFonts w:ascii="Sylfaen" w:hAnsi="Sylfaen"/>
          <w:sz w:val="24"/>
          <w:szCs w:val="24"/>
        </w:rPr>
        <w:t>եւ</w:t>
      </w:r>
      <w:r w:rsidR="00CA27E3" w:rsidRPr="00CA27E3">
        <w:rPr>
          <w:rFonts w:ascii="Sylfaen" w:hAnsi="Sylfaen"/>
          <w:sz w:val="24"/>
          <w:szCs w:val="24"/>
        </w:rPr>
        <w:t>, իր նշանակությանը համապատասխան, կատարում է գլխավոր աշխատանքային ֆունկցիաներից առնվազն մեկը.</w:t>
      </w:r>
    </w:p>
    <w:p w14:paraId="16115ABE" w14:textId="77777777" w:rsidR="00CA27E3" w:rsidRP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երկրորդ կարգավորիչ</w:t>
      </w:r>
      <w:r w:rsidR="00CA27E3" w:rsidRPr="005503F1">
        <w:rPr>
          <w:rFonts w:ascii="Sylfaen" w:hAnsi="Sylfaen"/>
          <w:b/>
          <w:sz w:val="24"/>
          <w:szCs w:val="24"/>
        </w:rPr>
        <w:t>՝</w:t>
      </w:r>
      <w:r w:rsidR="00CA27E3" w:rsidRPr="00CA27E3">
        <w:rPr>
          <w:rFonts w:ascii="Sylfaen" w:hAnsi="Sylfaen"/>
          <w:sz w:val="24"/>
          <w:szCs w:val="24"/>
        </w:rPr>
        <w:t xml:space="preserve"> հեռուստացուցային կցուրդի բաղկացուցիչ մաս (հանգույց), որը կարող է օգտագործվել այլ հեռարձակվող ծրագրի միաժամանակ դիտման ժամանակ՝ հեռուստա- </w:t>
      </w:r>
      <w:r w:rsidR="00CA27E3">
        <w:rPr>
          <w:rFonts w:ascii="Sylfaen" w:hAnsi="Sylfaen"/>
          <w:sz w:val="24"/>
          <w:szCs w:val="24"/>
        </w:rPr>
        <w:t>եւ</w:t>
      </w:r>
      <w:r w:rsidR="00CA27E3" w:rsidRPr="00CA27E3">
        <w:rPr>
          <w:rFonts w:ascii="Sylfaen" w:hAnsi="Sylfaen"/>
          <w:sz w:val="24"/>
          <w:szCs w:val="24"/>
        </w:rPr>
        <w:t xml:space="preserve"> (կամ) ռադիոհեռարձակման ծրագրի գրառման համար.</w:t>
      </w:r>
    </w:p>
    <w:p w14:paraId="32D2ECA9" w14:textId="77777777" w:rsidR="00CA27E3" w:rsidRP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lastRenderedPageBreak/>
        <w:t>անջատման ռեժիմ</w:t>
      </w:r>
      <w:r w:rsidR="00CA27E3" w:rsidRPr="005503F1">
        <w:rPr>
          <w:rFonts w:ascii="Sylfaen" w:hAnsi="Sylfaen"/>
          <w:b/>
          <w:sz w:val="24"/>
          <w:szCs w:val="24"/>
        </w:rPr>
        <w:t>՝</w:t>
      </w:r>
      <w:r w:rsidR="00CA27E3" w:rsidRPr="00CA27E3">
        <w:rPr>
          <w:rFonts w:ascii="Sylfaen" w:hAnsi="Sylfaen"/>
          <w:sz w:val="24"/>
          <w:szCs w:val="24"/>
        </w:rPr>
        <w:t xml:space="preserve"> վիճակ, որի ժամանակ սարքավորումը միացված է սնուցման աղբյուրին, սակայն չի գտնվում ակտիվ (աշխատանքի) ռեժիմում կամ սպասման ռեժիմում </w:t>
      </w:r>
      <w:r w:rsidR="00CA27E3">
        <w:rPr>
          <w:rFonts w:ascii="Sylfaen" w:hAnsi="Sylfaen"/>
          <w:sz w:val="24"/>
          <w:szCs w:val="24"/>
        </w:rPr>
        <w:t>եւ</w:t>
      </w:r>
      <w:r w:rsidR="00CA27E3" w:rsidRPr="00CA27E3">
        <w:rPr>
          <w:rFonts w:ascii="Sylfaen" w:hAnsi="Sylfaen"/>
          <w:sz w:val="24"/>
          <w:szCs w:val="24"/>
        </w:rPr>
        <w:t xml:space="preserve"> կարող է կատարել բացառապես էլեկտրամագնիսական համատեղելիության </w:t>
      </w:r>
      <w:r w:rsidR="00CA27E3">
        <w:rPr>
          <w:rFonts w:ascii="Sylfaen" w:hAnsi="Sylfaen"/>
          <w:sz w:val="24"/>
          <w:szCs w:val="24"/>
        </w:rPr>
        <w:t>եւ</w:t>
      </w:r>
      <w:r w:rsidR="00CA27E3" w:rsidRPr="00CA27E3">
        <w:rPr>
          <w:rFonts w:ascii="Sylfaen" w:hAnsi="Sylfaen"/>
          <w:sz w:val="24"/>
          <w:szCs w:val="24"/>
        </w:rPr>
        <w:t xml:space="preserve"> (կամ) անջատման ռեժիմի ցուցանշման ապահովման ֆունկցիա.</w:t>
      </w:r>
    </w:p>
    <w:p w14:paraId="60CDEDBA" w14:textId="77777777" w:rsidR="00CA27E3" w:rsidRP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սպասման ռեժիմ (սպասող ռեժիմ)</w:t>
      </w:r>
      <w:r w:rsidR="00CA27E3" w:rsidRPr="005503F1">
        <w:rPr>
          <w:rFonts w:ascii="Sylfaen" w:hAnsi="Sylfaen"/>
          <w:b/>
          <w:sz w:val="24"/>
          <w:szCs w:val="24"/>
        </w:rPr>
        <w:t>՝</w:t>
      </w:r>
      <w:r w:rsidR="00CA27E3" w:rsidRPr="00CA27E3">
        <w:rPr>
          <w:rFonts w:ascii="Sylfaen" w:hAnsi="Sylfaen"/>
          <w:sz w:val="24"/>
          <w:szCs w:val="24"/>
        </w:rPr>
        <w:t xml:space="preserve"> վիճակ, որի ժամանակ էլեկտրական սարքավորումը միացված է սնուցման աղբյուրին </w:t>
      </w:r>
      <w:r w:rsidR="00CA27E3">
        <w:rPr>
          <w:rFonts w:ascii="Sylfaen" w:hAnsi="Sylfaen"/>
          <w:sz w:val="24"/>
          <w:szCs w:val="24"/>
        </w:rPr>
        <w:t>եւ</w:t>
      </w:r>
      <w:r w:rsidR="00CA27E3" w:rsidRPr="00CA27E3">
        <w:rPr>
          <w:rFonts w:ascii="Sylfaen" w:hAnsi="Sylfaen"/>
          <w:sz w:val="24"/>
          <w:szCs w:val="24"/>
        </w:rPr>
        <w:t xml:space="preserve"> անսահմանափակ ժամանակով կատարում է վերաակտիվացման ֆունկցիա (այդ թվում՝ վերաակտիվացման ունակության (պատրաստության) ցուցանշմամբ) </w:t>
      </w:r>
      <w:r w:rsidR="00CA27E3">
        <w:rPr>
          <w:rFonts w:ascii="Sylfaen" w:hAnsi="Sylfaen"/>
          <w:sz w:val="24"/>
          <w:szCs w:val="24"/>
        </w:rPr>
        <w:t>եւ</w:t>
      </w:r>
      <w:r w:rsidR="00CA27E3" w:rsidRPr="00CA27E3">
        <w:rPr>
          <w:rFonts w:ascii="Sylfaen" w:hAnsi="Sylfaen"/>
          <w:sz w:val="24"/>
          <w:szCs w:val="24"/>
        </w:rPr>
        <w:t xml:space="preserve"> (կամ) տեղեկացման կամ վիճակի արտացոլման ֆունկցիա.</w:t>
      </w:r>
    </w:p>
    <w:p w14:paraId="5725ECB5" w14:textId="77777777" w:rsidR="00CA27E3" w:rsidRP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պայմանական մատչում</w:t>
      </w:r>
      <w:r w:rsidR="00CA27E3" w:rsidRPr="00CA27E3">
        <w:rPr>
          <w:rFonts w:ascii="Sylfaen" w:hAnsi="Sylfaen"/>
          <w:sz w:val="24"/>
          <w:szCs w:val="24"/>
        </w:rPr>
        <w:t xml:space="preserve">՝ տրամադրողի հսկողության տակ գտնվող հեռուստա- </w:t>
      </w:r>
      <w:r w:rsidR="00CA27E3">
        <w:rPr>
          <w:rFonts w:ascii="Sylfaen" w:hAnsi="Sylfaen"/>
          <w:sz w:val="24"/>
          <w:szCs w:val="24"/>
        </w:rPr>
        <w:t>եւ</w:t>
      </w:r>
      <w:r w:rsidR="00CA27E3" w:rsidRPr="00CA27E3">
        <w:rPr>
          <w:rFonts w:ascii="Sylfaen" w:hAnsi="Sylfaen"/>
          <w:sz w:val="24"/>
          <w:szCs w:val="24"/>
        </w:rPr>
        <w:t xml:space="preserve"> (կամ) ռադիոհեռարձակման վճարովի ծրագրերին մատչման սահմանափակման համակարգ.</w:t>
      </w:r>
    </w:p>
    <w:p w14:paraId="64F6CA6C"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տեղեկացման</w:t>
      </w:r>
      <w:r w:rsidR="005503F1" w:rsidRPr="005503F1">
        <w:rPr>
          <w:rFonts w:ascii="Sylfaen" w:hAnsi="Sylfaen"/>
          <w:b/>
          <w:sz w:val="24"/>
          <w:szCs w:val="24"/>
        </w:rPr>
        <w:t xml:space="preserve"> կամ վիճակի արտացոլման ֆունկցիա</w:t>
      </w:r>
      <w:r w:rsidRPr="005503F1">
        <w:rPr>
          <w:rFonts w:ascii="Sylfaen" w:hAnsi="Sylfaen"/>
          <w:b/>
          <w:sz w:val="24"/>
          <w:szCs w:val="24"/>
        </w:rPr>
        <w:t>՝</w:t>
      </w:r>
      <w:r w:rsidRPr="00CA27E3">
        <w:rPr>
          <w:rFonts w:ascii="Sylfaen" w:hAnsi="Sylfaen"/>
          <w:sz w:val="24"/>
          <w:szCs w:val="24"/>
        </w:rPr>
        <w:t xml:space="preserve"> ֆունկցիա, որն ապահովում է տեղեկատվության տրամադրումը կամ ցուցասարքի վրա սարքավորման վիճակի արտացոլումը, այդ թվում նա</w:t>
      </w:r>
      <w:r>
        <w:rPr>
          <w:rFonts w:ascii="Sylfaen" w:hAnsi="Sylfaen"/>
          <w:sz w:val="24"/>
          <w:szCs w:val="24"/>
        </w:rPr>
        <w:t>եւ</w:t>
      </w:r>
      <w:r w:rsidRPr="00CA27E3">
        <w:rPr>
          <w:rFonts w:ascii="Sylfaen" w:hAnsi="Sylfaen"/>
          <w:sz w:val="24"/>
          <w:szCs w:val="24"/>
        </w:rPr>
        <w:t xml:space="preserve"> ժամանակի ցուցանշումը.</w:t>
      </w:r>
    </w:p>
    <w:p w14:paraId="6AC075F0" w14:textId="77777777" w:rsidR="00CA27E3" w:rsidRDefault="005503F1" w:rsidP="00CA27E3">
      <w:pPr>
        <w:pStyle w:val="1"/>
        <w:shd w:val="clear" w:color="auto" w:fill="auto"/>
        <w:spacing w:after="160"/>
        <w:ind w:firstLine="567"/>
        <w:jc w:val="both"/>
        <w:rPr>
          <w:rFonts w:ascii="Sylfaen" w:hAnsi="Sylfaen"/>
          <w:sz w:val="24"/>
          <w:szCs w:val="24"/>
        </w:rPr>
      </w:pPr>
      <w:r w:rsidRPr="005503F1">
        <w:rPr>
          <w:rFonts w:ascii="Sylfaen" w:hAnsi="Sylfaen"/>
          <w:b/>
          <w:sz w:val="24"/>
          <w:szCs w:val="24"/>
        </w:rPr>
        <w:t>վերաակտիվացման ֆունկցիա</w:t>
      </w:r>
      <w:r w:rsidR="00CA27E3" w:rsidRPr="005503F1">
        <w:rPr>
          <w:rFonts w:ascii="Sylfaen" w:hAnsi="Sylfaen"/>
          <w:b/>
          <w:sz w:val="24"/>
          <w:szCs w:val="24"/>
        </w:rPr>
        <w:t>՝</w:t>
      </w:r>
      <w:r w:rsidR="00CA27E3" w:rsidRPr="00CA27E3">
        <w:rPr>
          <w:rFonts w:ascii="Sylfaen" w:hAnsi="Sylfaen"/>
          <w:sz w:val="24"/>
          <w:szCs w:val="24"/>
        </w:rPr>
        <w:t xml:space="preserve"> ֆունկցիա, որը հեռահար կառավարման սարքվածքների, ներքին տվիչների կամ պահաժամի կարգավորիչների (թայմերների) միջոցով ապահովում է սպասման ռեժիմից ակտիվ ռեժիմի անցնելու ունակությունը, որի ժամանակ տեղի է ունենում սարքավորման հիմնական կամ հիմնական ու լրացուցիչ ֆունկցիաների կատարման ակտիվացում։</w:t>
      </w:r>
    </w:p>
    <w:p w14:paraId="747956D2" w14:textId="77777777" w:rsidR="00250D3E" w:rsidRDefault="00250D3E">
      <w:pPr>
        <w:rPr>
          <w:rFonts w:ascii="Sylfaen" w:eastAsia="Times New Roman" w:hAnsi="Sylfaen" w:cs="Times New Roman"/>
          <w:color w:val="auto"/>
        </w:rPr>
      </w:pPr>
      <w:r>
        <w:rPr>
          <w:rFonts w:ascii="Sylfaen" w:hAnsi="Sylfaen"/>
        </w:rPr>
        <w:br w:type="page"/>
      </w:r>
    </w:p>
    <w:p w14:paraId="6E049FEF" w14:textId="77777777" w:rsidR="00CA27E3" w:rsidRPr="00CA27E3" w:rsidRDefault="00CA27E3" w:rsidP="00250D3E">
      <w:pPr>
        <w:pStyle w:val="1"/>
        <w:shd w:val="clear" w:color="auto" w:fill="auto"/>
        <w:spacing w:after="160" w:line="341" w:lineRule="auto"/>
        <w:ind w:left="567" w:right="566" w:firstLine="0"/>
        <w:jc w:val="center"/>
        <w:rPr>
          <w:rFonts w:ascii="Sylfaen" w:hAnsi="Sylfaen"/>
          <w:sz w:val="24"/>
          <w:szCs w:val="24"/>
        </w:rPr>
      </w:pPr>
      <w:r w:rsidRPr="00CA27E3">
        <w:rPr>
          <w:rFonts w:ascii="Sylfaen" w:hAnsi="Sylfaen"/>
          <w:sz w:val="24"/>
          <w:szCs w:val="24"/>
        </w:rPr>
        <w:lastRenderedPageBreak/>
        <w:t xml:space="preserve">III. Հեռուստացուցային կցուրդների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42789886" w14:textId="77777777" w:rsidR="00CA27E3" w:rsidRPr="00CA27E3" w:rsidRDefault="00CA27E3" w:rsidP="00250D3E">
      <w:pPr>
        <w:pStyle w:val="1"/>
        <w:shd w:val="clear" w:color="auto" w:fill="auto"/>
        <w:tabs>
          <w:tab w:val="left" w:pos="1134"/>
        </w:tabs>
        <w:spacing w:after="160" w:line="341" w:lineRule="auto"/>
        <w:ind w:firstLine="567"/>
        <w:jc w:val="both"/>
        <w:rPr>
          <w:rFonts w:ascii="Sylfaen" w:hAnsi="Sylfaen"/>
          <w:sz w:val="24"/>
          <w:szCs w:val="24"/>
        </w:rPr>
      </w:pPr>
      <w:r w:rsidRPr="00CA27E3">
        <w:rPr>
          <w:rFonts w:ascii="Sylfaen" w:hAnsi="Sylfaen"/>
          <w:sz w:val="24"/>
          <w:szCs w:val="24"/>
        </w:rPr>
        <w:t>3.</w:t>
      </w:r>
      <w:r w:rsidR="005503F1" w:rsidRPr="005503F1">
        <w:rPr>
          <w:rFonts w:ascii="Sylfaen" w:hAnsi="Sylfaen"/>
          <w:sz w:val="24"/>
          <w:szCs w:val="24"/>
        </w:rPr>
        <w:tab/>
      </w:r>
      <w:r w:rsidRPr="00CA27E3">
        <w:rPr>
          <w:rFonts w:ascii="Sylfaen" w:hAnsi="Sylfaen"/>
          <w:sz w:val="24"/>
          <w:szCs w:val="24"/>
        </w:rPr>
        <w:t>Հեռուստացուցային կցուրդների էներգասպառումը չպետք է գերազանցի աղյուսակում նշված սահմանային արժեքները:</w:t>
      </w:r>
    </w:p>
    <w:p w14:paraId="27801A88" w14:textId="77777777" w:rsidR="00CA27E3" w:rsidRPr="00CA27E3" w:rsidRDefault="00CA27E3" w:rsidP="00250D3E">
      <w:pPr>
        <w:pStyle w:val="1"/>
        <w:shd w:val="clear" w:color="auto" w:fill="auto"/>
        <w:spacing w:after="160" w:line="341" w:lineRule="auto"/>
        <w:ind w:firstLine="0"/>
        <w:jc w:val="right"/>
        <w:rPr>
          <w:rFonts w:ascii="Sylfaen" w:hAnsi="Sylfaen"/>
          <w:sz w:val="24"/>
          <w:szCs w:val="24"/>
        </w:rPr>
      </w:pPr>
      <w:r w:rsidRPr="00CA27E3">
        <w:rPr>
          <w:rFonts w:ascii="Sylfaen" w:hAnsi="Sylfaen"/>
          <w:sz w:val="24"/>
          <w:szCs w:val="24"/>
        </w:rPr>
        <w:t>Աղյուսակ</w:t>
      </w:r>
    </w:p>
    <w:p w14:paraId="7886A2AD" w14:textId="77777777" w:rsidR="00CA27E3" w:rsidRPr="00CA27E3" w:rsidRDefault="00CA27E3" w:rsidP="00250D3E">
      <w:pPr>
        <w:pStyle w:val="1"/>
        <w:shd w:val="clear" w:color="auto" w:fill="auto"/>
        <w:spacing w:after="160" w:line="341" w:lineRule="auto"/>
        <w:ind w:firstLine="0"/>
        <w:jc w:val="center"/>
        <w:rPr>
          <w:rFonts w:ascii="Sylfaen" w:hAnsi="Sylfaen"/>
          <w:sz w:val="24"/>
          <w:szCs w:val="24"/>
        </w:rPr>
      </w:pPr>
      <w:r w:rsidRPr="00CA27E3">
        <w:rPr>
          <w:rFonts w:ascii="Sylfaen" w:hAnsi="Sylfaen"/>
          <w:sz w:val="24"/>
          <w:szCs w:val="24"/>
        </w:rPr>
        <w:t>Էներգասպառման սահմանային արժեքները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266"/>
        <w:gridCol w:w="2059"/>
        <w:gridCol w:w="2170"/>
      </w:tblGrid>
      <w:tr w:rsidR="00CA27E3" w:rsidRPr="00066F60" w14:paraId="560F891C" w14:textId="77777777" w:rsidTr="005503F1">
        <w:trPr>
          <w:jc w:val="center"/>
        </w:trPr>
        <w:tc>
          <w:tcPr>
            <w:tcW w:w="5266" w:type="dxa"/>
            <w:tcBorders>
              <w:top w:val="single" w:sz="4" w:space="0" w:color="auto"/>
              <w:left w:val="single" w:sz="4" w:space="0" w:color="auto"/>
              <w:bottom w:val="single" w:sz="4" w:space="0" w:color="auto"/>
            </w:tcBorders>
            <w:shd w:val="clear" w:color="auto" w:fill="FFFFFF"/>
            <w:vAlign w:val="center"/>
          </w:tcPr>
          <w:p w14:paraId="601BCDCB" w14:textId="77777777" w:rsidR="00CA27E3" w:rsidRPr="00066F60" w:rsidRDefault="00CA27E3" w:rsidP="005503F1">
            <w:pPr>
              <w:pStyle w:val="Other0"/>
              <w:shd w:val="clear" w:color="auto" w:fill="auto"/>
              <w:spacing w:after="120"/>
              <w:rPr>
                <w:rFonts w:ascii="Sylfaen" w:hAnsi="Sylfaen"/>
                <w:sz w:val="20"/>
                <w:szCs w:val="20"/>
              </w:rPr>
            </w:pPr>
            <w:r w:rsidRPr="00066F60">
              <w:rPr>
                <w:rFonts w:ascii="Sylfaen" w:hAnsi="Sylfaen"/>
                <w:sz w:val="20"/>
                <w:szCs w:val="20"/>
              </w:rPr>
              <w:t>Արտադրատեսակը, լրացուցիչ բաղադրիչները կամ ֆունկցիաները</w:t>
            </w:r>
          </w:p>
        </w:tc>
        <w:tc>
          <w:tcPr>
            <w:tcW w:w="42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B2C3D5" w14:textId="77777777" w:rsidR="00CA27E3" w:rsidRPr="00066F60" w:rsidRDefault="00CA27E3" w:rsidP="005503F1">
            <w:pPr>
              <w:pStyle w:val="Other0"/>
              <w:shd w:val="clear" w:color="auto" w:fill="auto"/>
              <w:spacing w:after="120"/>
              <w:rPr>
                <w:rFonts w:ascii="Sylfaen" w:hAnsi="Sylfaen"/>
                <w:sz w:val="20"/>
                <w:szCs w:val="20"/>
              </w:rPr>
            </w:pPr>
            <w:r w:rsidRPr="00066F60">
              <w:rPr>
                <w:rFonts w:ascii="Sylfaen" w:hAnsi="Sylfaen"/>
                <w:sz w:val="20"/>
                <w:szCs w:val="20"/>
              </w:rPr>
              <w:t>Օգտագործվող հզորության սահմանային արժեքները (Վտ), ոչ ավելի քան</w:t>
            </w:r>
          </w:p>
        </w:tc>
      </w:tr>
      <w:tr w:rsidR="00CA27E3" w:rsidRPr="00066F60" w14:paraId="73B6D952" w14:textId="77777777" w:rsidTr="005503F1">
        <w:trPr>
          <w:jc w:val="center"/>
        </w:trPr>
        <w:tc>
          <w:tcPr>
            <w:tcW w:w="5266" w:type="dxa"/>
            <w:tcBorders>
              <w:top w:val="single" w:sz="4" w:space="0" w:color="auto"/>
              <w:left w:val="single" w:sz="4" w:space="0" w:color="auto"/>
            </w:tcBorders>
            <w:shd w:val="clear" w:color="auto" w:fill="FFFFFF"/>
            <w:vAlign w:val="center"/>
          </w:tcPr>
          <w:p w14:paraId="2D0BE2FF" w14:textId="77777777" w:rsidR="00CA27E3" w:rsidRPr="00066F60" w:rsidRDefault="00CA27E3" w:rsidP="005503F1">
            <w:pPr>
              <w:spacing w:after="120"/>
              <w:jc w:val="center"/>
              <w:rPr>
                <w:rFonts w:ascii="Sylfaen" w:hAnsi="Sylfaen"/>
                <w:sz w:val="20"/>
                <w:szCs w:val="20"/>
              </w:rPr>
            </w:pPr>
          </w:p>
        </w:tc>
        <w:tc>
          <w:tcPr>
            <w:tcW w:w="2059" w:type="dxa"/>
            <w:tcBorders>
              <w:top w:val="single" w:sz="4" w:space="0" w:color="auto"/>
              <w:left w:val="single" w:sz="4" w:space="0" w:color="auto"/>
            </w:tcBorders>
            <w:shd w:val="clear" w:color="auto" w:fill="FFFFFF"/>
            <w:vAlign w:val="center"/>
          </w:tcPr>
          <w:p w14:paraId="3C1012B9" w14:textId="77777777" w:rsidR="00CA27E3" w:rsidRPr="00066F60" w:rsidRDefault="00CA27E3" w:rsidP="005503F1">
            <w:pPr>
              <w:pStyle w:val="Other0"/>
              <w:shd w:val="clear" w:color="auto" w:fill="auto"/>
              <w:spacing w:after="120"/>
              <w:rPr>
                <w:rFonts w:ascii="Sylfaen" w:hAnsi="Sylfaen"/>
                <w:sz w:val="20"/>
                <w:szCs w:val="20"/>
              </w:rPr>
            </w:pPr>
            <w:r w:rsidRPr="00066F60">
              <w:rPr>
                <w:rFonts w:ascii="Sylfaen" w:hAnsi="Sylfaen"/>
                <w:sz w:val="20"/>
                <w:szCs w:val="20"/>
              </w:rPr>
              <w:t>սպասման ռեժիմում</w:t>
            </w:r>
          </w:p>
        </w:tc>
        <w:tc>
          <w:tcPr>
            <w:tcW w:w="2170" w:type="dxa"/>
            <w:tcBorders>
              <w:top w:val="single" w:sz="4" w:space="0" w:color="auto"/>
              <w:left w:val="single" w:sz="4" w:space="0" w:color="auto"/>
              <w:right w:val="single" w:sz="4" w:space="0" w:color="auto"/>
            </w:tcBorders>
            <w:shd w:val="clear" w:color="auto" w:fill="FFFFFF"/>
            <w:vAlign w:val="center"/>
          </w:tcPr>
          <w:p w14:paraId="4FAB24FD" w14:textId="77777777" w:rsidR="00CA27E3" w:rsidRPr="00066F60" w:rsidRDefault="00CA27E3" w:rsidP="005503F1">
            <w:pPr>
              <w:pStyle w:val="Other0"/>
              <w:shd w:val="clear" w:color="auto" w:fill="auto"/>
              <w:spacing w:after="120"/>
              <w:rPr>
                <w:rFonts w:ascii="Sylfaen" w:hAnsi="Sylfaen"/>
                <w:sz w:val="20"/>
                <w:szCs w:val="20"/>
              </w:rPr>
            </w:pPr>
            <w:r w:rsidRPr="00066F60">
              <w:rPr>
                <w:rFonts w:ascii="Sylfaen" w:hAnsi="Sylfaen"/>
                <w:sz w:val="20"/>
                <w:szCs w:val="20"/>
              </w:rPr>
              <w:t>ակտիվ ռեժիմում</w:t>
            </w:r>
          </w:p>
        </w:tc>
      </w:tr>
      <w:tr w:rsidR="00CA27E3" w:rsidRPr="00066F60" w14:paraId="7AE0C73C" w14:textId="77777777" w:rsidTr="00CA27E3">
        <w:trPr>
          <w:jc w:val="center"/>
        </w:trPr>
        <w:tc>
          <w:tcPr>
            <w:tcW w:w="5266" w:type="dxa"/>
            <w:tcBorders>
              <w:top w:val="single" w:sz="4" w:space="0" w:color="auto"/>
              <w:left w:val="single" w:sz="4" w:space="0" w:color="auto"/>
            </w:tcBorders>
            <w:shd w:val="clear" w:color="auto" w:fill="FFFFFF"/>
            <w:vAlign w:val="bottom"/>
          </w:tcPr>
          <w:p w14:paraId="48BC0FB5" w14:textId="77777777" w:rsidR="00CA27E3" w:rsidRPr="00066F60" w:rsidRDefault="00CA27E3" w:rsidP="005503F1">
            <w:pPr>
              <w:pStyle w:val="Other0"/>
              <w:shd w:val="clear" w:color="auto" w:fill="auto"/>
              <w:spacing w:after="120"/>
              <w:ind w:right="82"/>
              <w:jc w:val="both"/>
              <w:rPr>
                <w:rFonts w:ascii="Sylfaen" w:hAnsi="Sylfaen"/>
                <w:sz w:val="20"/>
                <w:szCs w:val="20"/>
              </w:rPr>
            </w:pPr>
            <w:r w:rsidRPr="00066F60">
              <w:rPr>
                <w:rFonts w:ascii="Sylfaen" w:hAnsi="Sylfaen"/>
                <w:sz w:val="20"/>
                <w:szCs w:val="20"/>
              </w:rPr>
              <w:t>Բացառապես հիմնական ֆունկցիաների կատարումն ապահովող հեռուստացուցային կցուրդ</w:t>
            </w:r>
          </w:p>
        </w:tc>
        <w:tc>
          <w:tcPr>
            <w:tcW w:w="2059" w:type="dxa"/>
            <w:tcBorders>
              <w:top w:val="single" w:sz="4" w:space="0" w:color="auto"/>
              <w:left w:val="single" w:sz="4" w:space="0" w:color="auto"/>
            </w:tcBorders>
            <w:shd w:val="clear" w:color="auto" w:fill="FFFFFF"/>
            <w:vAlign w:val="center"/>
          </w:tcPr>
          <w:p w14:paraId="71B36266"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0,50</w:t>
            </w:r>
          </w:p>
        </w:tc>
        <w:tc>
          <w:tcPr>
            <w:tcW w:w="2170" w:type="dxa"/>
            <w:tcBorders>
              <w:top w:val="single" w:sz="4" w:space="0" w:color="auto"/>
              <w:left w:val="single" w:sz="4" w:space="0" w:color="auto"/>
              <w:right w:val="single" w:sz="4" w:space="0" w:color="auto"/>
            </w:tcBorders>
            <w:shd w:val="clear" w:color="auto" w:fill="FFFFFF"/>
            <w:vAlign w:val="center"/>
          </w:tcPr>
          <w:p w14:paraId="09D2E67C"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5,00</w:t>
            </w:r>
          </w:p>
        </w:tc>
      </w:tr>
      <w:tr w:rsidR="00CA27E3" w:rsidRPr="00066F60" w14:paraId="2054909B" w14:textId="77777777" w:rsidTr="00CA27E3">
        <w:trPr>
          <w:jc w:val="center"/>
        </w:trPr>
        <w:tc>
          <w:tcPr>
            <w:tcW w:w="5266" w:type="dxa"/>
            <w:tcBorders>
              <w:top w:val="single" w:sz="4" w:space="0" w:color="auto"/>
              <w:left w:val="single" w:sz="4" w:space="0" w:color="auto"/>
            </w:tcBorders>
            <w:shd w:val="clear" w:color="auto" w:fill="FFFFFF"/>
          </w:tcPr>
          <w:p w14:paraId="1C483EBD" w14:textId="77777777" w:rsidR="00CA27E3" w:rsidRPr="00066F60" w:rsidRDefault="00CA27E3" w:rsidP="005503F1">
            <w:pPr>
              <w:pStyle w:val="Other0"/>
              <w:shd w:val="clear" w:color="auto" w:fill="auto"/>
              <w:spacing w:after="120"/>
              <w:ind w:right="82"/>
              <w:jc w:val="both"/>
              <w:rPr>
                <w:rFonts w:ascii="Sylfaen" w:hAnsi="Sylfaen"/>
                <w:sz w:val="20"/>
                <w:szCs w:val="20"/>
              </w:rPr>
            </w:pPr>
            <w:r w:rsidRPr="00066F60">
              <w:rPr>
                <w:rFonts w:ascii="Sylfaen" w:hAnsi="Sylfaen"/>
                <w:sz w:val="20"/>
                <w:szCs w:val="20"/>
              </w:rPr>
              <w:t xml:space="preserve">Տեղեկացման կամ վիճակի արտացոլման ֆունկցիայի առկայության դեպքում էներգասպառման ավելացում </w:t>
            </w:r>
          </w:p>
        </w:tc>
        <w:tc>
          <w:tcPr>
            <w:tcW w:w="2059" w:type="dxa"/>
            <w:tcBorders>
              <w:top w:val="single" w:sz="4" w:space="0" w:color="auto"/>
              <w:left w:val="single" w:sz="4" w:space="0" w:color="auto"/>
            </w:tcBorders>
            <w:shd w:val="clear" w:color="auto" w:fill="FFFFFF"/>
            <w:vAlign w:val="center"/>
          </w:tcPr>
          <w:p w14:paraId="1A9B888B"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+ 0,50</w:t>
            </w:r>
          </w:p>
        </w:tc>
        <w:tc>
          <w:tcPr>
            <w:tcW w:w="2170" w:type="dxa"/>
            <w:tcBorders>
              <w:top w:val="single" w:sz="4" w:space="0" w:color="auto"/>
              <w:left w:val="single" w:sz="4" w:space="0" w:color="auto"/>
              <w:right w:val="single" w:sz="4" w:space="0" w:color="auto"/>
            </w:tcBorders>
            <w:shd w:val="clear" w:color="auto" w:fill="FFFFFF"/>
            <w:vAlign w:val="center"/>
          </w:tcPr>
          <w:p w14:paraId="5BD1F298"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w:t>
            </w:r>
          </w:p>
        </w:tc>
      </w:tr>
      <w:tr w:rsidR="00CA27E3" w:rsidRPr="00066F60" w14:paraId="452B2040" w14:textId="77777777" w:rsidTr="00CA27E3">
        <w:trPr>
          <w:jc w:val="center"/>
        </w:trPr>
        <w:tc>
          <w:tcPr>
            <w:tcW w:w="5266" w:type="dxa"/>
            <w:tcBorders>
              <w:top w:val="single" w:sz="4" w:space="0" w:color="auto"/>
              <w:left w:val="single" w:sz="4" w:space="0" w:color="auto"/>
            </w:tcBorders>
            <w:shd w:val="clear" w:color="auto" w:fill="FFFFFF"/>
            <w:vAlign w:val="center"/>
          </w:tcPr>
          <w:p w14:paraId="673C468D" w14:textId="77777777" w:rsidR="00CA27E3" w:rsidRPr="00066F60" w:rsidRDefault="00CA27E3" w:rsidP="005503F1">
            <w:pPr>
              <w:pStyle w:val="Other0"/>
              <w:shd w:val="clear" w:color="auto" w:fill="auto"/>
              <w:spacing w:after="120"/>
              <w:ind w:right="82"/>
              <w:jc w:val="both"/>
              <w:rPr>
                <w:rFonts w:ascii="Sylfaen" w:hAnsi="Sylfaen"/>
                <w:sz w:val="20"/>
                <w:szCs w:val="20"/>
              </w:rPr>
            </w:pPr>
            <w:r w:rsidRPr="00066F60">
              <w:rPr>
                <w:rFonts w:ascii="Sylfaen" w:hAnsi="Sylfaen"/>
                <w:sz w:val="20"/>
                <w:szCs w:val="20"/>
              </w:rPr>
              <w:t>Տեղեկատվության ներսարքված կուտակչի (կոշտ սկավառակի) առկայության դեպքում էներգասպառման ավելացում</w:t>
            </w:r>
          </w:p>
        </w:tc>
        <w:tc>
          <w:tcPr>
            <w:tcW w:w="2059" w:type="dxa"/>
            <w:tcBorders>
              <w:top w:val="single" w:sz="4" w:space="0" w:color="auto"/>
              <w:left w:val="single" w:sz="4" w:space="0" w:color="auto"/>
            </w:tcBorders>
            <w:shd w:val="clear" w:color="auto" w:fill="FFFFFF"/>
            <w:vAlign w:val="center"/>
          </w:tcPr>
          <w:p w14:paraId="0E6B6A90"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w:t>
            </w:r>
          </w:p>
        </w:tc>
        <w:tc>
          <w:tcPr>
            <w:tcW w:w="2170" w:type="dxa"/>
            <w:tcBorders>
              <w:top w:val="single" w:sz="4" w:space="0" w:color="auto"/>
              <w:left w:val="single" w:sz="4" w:space="0" w:color="auto"/>
              <w:right w:val="single" w:sz="4" w:space="0" w:color="auto"/>
            </w:tcBorders>
            <w:shd w:val="clear" w:color="auto" w:fill="FFFFFF"/>
            <w:vAlign w:val="center"/>
          </w:tcPr>
          <w:p w14:paraId="49E3D9E6"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+ 6,00</w:t>
            </w:r>
          </w:p>
        </w:tc>
      </w:tr>
      <w:tr w:rsidR="00CA27E3" w:rsidRPr="00066F60" w14:paraId="4C9C4DE6" w14:textId="77777777" w:rsidTr="00CA27E3">
        <w:trPr>
          <w:jc w:val="center"/>
        </w:trPr>
        <w:tc>
          <w:tcPr>
            <w:tcW w:w="5266" w:type="dxa"/>
            <w:tcBorders>
              <w:top w:val="single" w:sz="4" w:space="0" w:color="auto"/>
              <w:left w:val="single" w:sz="4" w:space="0" w:color="auto"/>
            </w:tcBorders>
            <w:shd w:val="clear" w:color="auto" w:fill="FFFFFF"/>
            <w:vAlign w:val="center"/>
          </w:tcPr>
          <w:p w14:paraId="22810CF8" w14:textId="77777777" w:rsidR="00CA27E3" w:rsidRPr="00066F60" w:rsidRDefault="00CA27E3" w:rsidP="005503F1">
            <w:pPr>
              <w:pStyle w:val="Other0"/>
              <w:shd w:val="clear" w:color="auto" w:fill="auto"/>
              <w:spacing w:after="120"/>
              <w:ind w:right="82"/>
              <w:jc w:val="both"/>
              <w:rPr>
                <w:rFonts w:ascii="Sylfaen" w:hAnsi="Sylfaen"/>
                <w:sz w:val="20"/>
                <w:szCs w:val="20"/>
              </w:rPr>
            </w:pPr>
            <w:r w:rsidRPr="00066F60">
              <w:rPr>
                <w:rFonts w:ascii="Sylfaen" w:hAnsi="Sylfaen"/>
                <w:sz w:val="20"/>
                <w:szCs w:val="20"/>
              </w:rPr>
              <w:t>Երկրորդ կարգավորչի առկայության դեպքում էներգասպառման ավելացում</w:t>
            </w:r>
          </w:p>
        </w:tc>
        <w:tc>
          <w:tcPr>
            <w:tcW w:w="2059" w:type="dxa"/>
            <w:tcBorders>
              <w:top w:val="single" w:sz="4" w:space="0" w:color="auto"/>
              <w:left w:val="single" w:sz="4" w:space="0" w:color="auto"/>
            </w:tcBorders>
            <w:shd w:val="clear" w:color="auto" w:fill="FFFFFF"/>
            <w:vAlign w:val="bottom"/>
          </w:tcPr>
          <w:p w14:paraId="4BDB5824"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w:t>
            </w:r>
          </w:p>
        </w:tc>
        <w:tc>
          <w:tcPr>
            <w:tcW w:w="2170" w:type="dxa"/>
            <w:tcBorders>
              <w:top w:val="single" w:sz="4" w:space="0" w:color="auto"/>
              <w:left w:val="single" w:sz="4" w:space="0" w:color="auto"/>
              <w:right w:val="single" w:sz="4" w:space="0" w:color="auto"/>
            </w:tcBorders>
            <w:shd w:val="clear" w:color="auto" w:fill="FFFFFF"/>
            <w:vAlign w:val="center"/>
          </w:tcPr>
          <w:p w14:paraId="38D132F2"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+ 1,00</w:t>
            </w:r>
          </w:p>
        </w:tc>
      </w:tr>
      <w:tr w:rsidR="00CA27E3" w:rsidRPr="00066F60" w14:paraId="1CEE86AD" w14:textId="77777777" w:rsidTr="00CA27E3">
        <w:trPr>
          <w:jc w:val="center"/>
        </w:trPr>
        <w:tc>
          <w:tcPr>
            <w:tcW w:w="5266" w:type="dxa"/>
            <w:tcBorders>
              <w:top w:val="single" w:sz="4" w:space="0" w:color="auto"/>
              <w:left w:val="single" w:sz="4" w:space="0" w:color="auto"/>
              <w:bottom w:val="single" w:sz="4" w:space="0" w:color="auto"/>
            </w:tcBorders>
            <w:shd w:val="clear" w:color="auto" w:fill="FFFFFF"/>
            <w:vAlign w:val="center"/>
          </w:tcPr>
          <w:p w14:paraId="23653E2F" w14:textId="77777777" w:rsidR="00CA27E3" w:rsidRPr="00066F60" w:rsidRDefault="00CA27E3" w:rsidP="005503F1">
            <w:pPr>
              <w:pStyle w:val="Other0"/>
              <w:shd w:val="clear" w:color="auto" w:fill="auto"/>
              <w:spacing w:after="120"/>
              <w:ind w:right="82"/>
              <w:jc w:val="both"/>
              <w:rPr>
                <w:rFonts w:ascii="Sylfaen" w:hAnsi="Sylfaen"/>
                <w:sz w:val="20"/>
                <w:szCs w:val="20"/>
              </w:rPr>
            </w:pPr>
            <w:r w:rsidRPr="00066F60">
              <w:rPr>
                <w:rFonts w:ascii="Sylfaen" w:hAnsi="Sylfaen"/>
                <w:sz w:val="20"/>
                <w:szCs w:val="20"/>
              </w:rPr>
              <w:t>Բարձր հստակության ազդանշանների ապակոդավորման ֆունկցիայի առկայության դեպքում էներգասպառման ավելացում</w:t>
            </w:r>
          </w:p>
        </w:tc>
        <w:tc>
          <w:tcPr>
            <w:tcW w:w="2059" w:type="dxa"/>
            <w:tcBorders>
              <w:top w:val="single" w:sz="4" w:space="0" w:color="auto"/>
              <w:left w:val="single" w:sz="4" w:space="0" w:color="auto"/>
              <w:bottom w:val="single" w:sz="4" w:space="0" w:color="auto"/>
            </w:tcBorders>
            <w:shd w:val="clear" w:color="auto" w:fill="FFFFFF"/>
            <w:vAlign w:val="center"/>
          </w:tcPr>
          <w:p w14:paraId="7E0F4B71"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w:t>
            </w:r>
          </w:p>
        </w:tc>
        <w:tc>
          <w:tcPr>
            <w:tcW w:w="2170" w:type="dxa"/>
            <w:tcBorders>
              <w:top w:val="single" w:sz="4" w:space="0" w:color="auto"/>
              <w:left w:val="single" w:sz="4" w:space="0" w:color="auto"/>
              <w:bottom w:val="single" w:sz="4" w:space="0" w:color="auto"/>
              <w:right w:val="single" w:sz="4" w:space="0" w:color="auto"/>
            </w:tcBorders>
            <w:shd w:val="clear" w:color="auto" w:fill="FFFFFF"/>
            <w:vAlign w:val="center"/>
          </w:tcPr>
          <w:p w14:paraId="2BCE1B00" w14:textId="77777777" w:rsidR="00CA27E3" w:rsidRPr="00066F60" w:rsidRDefault="00CA27E3" w:rsidP="00066F60">
            <w:pPr>
              <w:pStyle w:val="Other0"/>
              <w:shd w:val="clear" w:color="auto" w:fill="auto"/>
              <w:spacing w:after="120"/>
              <w:rPr>
                <w:rFonts w:ascii="Sylfaen" w:hAnsi="Sylfaen"/>
                <w:sz w:val="20"/>
                <w:szCs w:val="20"/>
              </w:rPr>
            </w:pPr>
            <w:r w:rsidRPr="00066F60">
              <w:rPr>
                <w:rFonts w:ascii="Sylfaen" w:hAnsi="Sylfaen"/>
                <w:sz w:val="20"/>
                <w:szCs w:val="20"/>
              </w:rPr>
              <w:t>+ 1,00</w:t>
            </w:r>
          </w:p>
        </w:tc>
      </w:tr>
    </w:tbl>
    <w:p w14:paraId="05B14CC1" w14:textId="77777777" w:rsidR="00CA27E3" w:rsidRPr="00CA27E3" w:rsidRDefault="00CA27E3" w:rsidP="00250D3E">
      <w:pPr>
        <w:spacing w:after="160" w:line="341" w:lineRule="auto"/>
        <w:rPr>
          <w:rFonts w:ascii="Sylfaen" w:hAnsi="Sylfaen"/>
        </w:rPr>
      </w:pPr>
    </w:p>
    <w:p w14:paraId="7DDA3A89" w14:textId="77777777" w:rsidR="00CA27E3" w:rsidRPr="00CA27E3" w:rsidRDefault="00CA27E3" w:rsidP="00250D3E">
      <w:pPr>
        <w:pStyle w:val="1"/>
        <w:shd w:val="clear" w:color="auto" w:fill="auto"/>
        <w:tabs>
          <w:tab w:val="left" w:pos="1134"/>
        </w:tabs>
        <w:spacing w:after="160" w:line="341" w:lineRule="auto"/>
        <w:ind w:firstLine="567"/>
        <w:jc w:val="both"/>
        <w:rPr>
          <w:rFonts w:ascii="Sylfaen" w:hAnsi="Sylfaen"/>
          <w:sz w:val="24"/>
          <w:szCs w:val="24"/>
        </w:rPr>
      </w:pPr>
      <w:r w:rsidRPr="00CA27E3">
        <w:rPr>
          <w:rFonts w:ascii="Sylfaen" w:hAnsi="Sylfaen"/>
          <w:sz w:val="24"/>
          <w:szCs w:val="24"/>
        </w:rPr>
        <w:t>4.</w:t>
      </w:r>
      <w:r w:rsidR="005503F1" w:rsidRPr="005503F1">
        <w:rPr>
          <w:rFonts w:ascii="Sylfaen" w:hAnsi="Sylfaen"/>
          <w:sz w:val="24"/>
          <w:szCs w:val="24"/>
        </w:rPr>
        <w:tab/>
      </w:r>
      <w:r w:rsidRPr="00CA27E3">
        <w:rPr>
          <w:rFonts w:ascii="Sylfaen" w:hAnsi="Sylfaen"/>
          <w:sz w:val="24"/>
          <w:szCs w:val="24"/>
        </w:rPr>
        <w:t>Հեռուստացուցային կցուրդներում պետք է իրականացվի սպասման ռեժիմ:</w:t>
      </w:r>
    </w:p>
    <w:p w14:paraId="3804A357" w14:textId="77777777" w:rsidR="00CA27E3" w:rsidRPr="00CA27E3" w:rsidRDefault="00CA27E3" w:rsidP="00250D3E">
      <w:pPr>
        <w:pStyle w:val="1"/>
        <w:shd w:val="clear" w:color="auto" w:fill="auto"/>
        <w:tabs>
          <w:tab w:val="left" w:pos="1134"/>
        </w:tabs>
        <w:spacing w:after="160" w:line="341" w:lineRule="auto"/>
        <w:ind w:firstLine="567"/>
        <w:jc w:val="both"/>
        <w:rPr>
          <w:rFonts w:ascii="Sylfaen" w:hAnsi="Sylfaen"/>
          <w:sz w:val="24"/>
          <w:szCs w:val="24"/>
        </w:rPr>
      </w:pPr>
      <w:r w:rsidRPr="00CA27E3">
        <w:rPr>
          <w:rFonts w:ascii="Sylfaen" w:hAnsi="Sylfaen"/>
          <w:sz w:val="24"/>
          <w:szCs w:val="24"/>
        </w:rPr>
        <w:t>5.</w:t>
      </w:r>
      <w:r w:rsidR="005503F1" w:rsidRPr="005503F1">
        <w:rPr>
          <w:rFonts w:ascii="Sylfaen" w:hAnsi="Sylfaen"/>
          <w:sz w:val="24"/>
          <w:szCs w:val="24"/>
        </w:rPr>
        <w:tab/>
      </w:r>
      <w:r w:rsidRPr="00CA27E3">
        <w:rPr>
          <w:rFonts w:ascii="Sylfaen" w:hAnsi="Sylfaen"/>
          <w:sz w:val="24"/>
          <w:szCs w:val="24"/>
        </w:rPr>
        <w:t>Հեռուստացուցային կցուրդներում պետք է իրականացվեն էներգասպառման ավտոմատ նվազում կամ նույնանման ֆունկցիա՝ հաշվի առնելով հետ</w:t>
      </w:r>
      <w:r>
        <w:rPr>
          <w:rFonts w:ascii="Sylfaen" w:hAnsi="Sylfaen"/>
          <w:sz w:val="24"/>
          <w:szCs w:val="24"/>
        </w:rPr>
        <w:t>եւ</w:t>
      </w:r>
      <w:r w:rsidRPr="00CA27E3">
        <w:rPr>
          <w:rFonts w:ascii="Sylfaen" w:hAnsi="Sylfaen"/>
          <w:sz w:val="24"/>
          <w:szCs w:val="24"/>
        </w:rPr>
        <w:t xml:space="preserve">յալ պահանջները՝ </w:t>
      </w:r>
    </w:p>
    <w:p w14:paraId="24FB06F7" w14:textId="77777777" w:rsidR="00CA27E3" w:rsidRPr="00CA27E3" w:rsidRDefault="00CA27E3" w:rsidP="00250D3E">
      <w:pPr>
        <w:pStyle w:val="1"/>
        <w:shd w:val="clear" w:color="auto" w:fill="auto"/>
        <w:tabs>
          <w:tab w:val="left" w:pos="1134"/>
        </w:tabs>
        <w:spacing w:after="160" w:line="341" w:lineRule="auto"/>
        <w:ind w:firstLine="567"/>
        <w:jc w:val="both"/>
        <w:rPr>
          <w:rFonts w:ascii="Sylfaen" w:hAnsi="Sylfaen"/>
          <w:sz w:val="24"/>
          <w:szCs w:val="24"/>
        </w:rPr>
      </w:pPr>
      <w:r w:rsidRPr="00CA27E3">
        <w:rPr>
          <w:rFonts w:ascii="Sylfaen" w:hAnsi="Sylfaen"/>
          <w:sz w:val="24"/>
          <w:szCs w:val="24"/>
        </w:rPr>
        <w:t>ա)</w:t>
      </w:r>
      <w:r w:rsidR="005503F1" w:rsidRPr="005503F1">
        <w:rPr>
          <w:rFonts w:ascii="Sylfaen" w:hAnsi="Sylfaen"/>
          <w:sz w:val="24"/>
          <w:szCs w:val="24"/>
        </w:rPr>
        <w:tab/>
      </w:r>
      <w:r w:rsidRPr="00CA27E3">
        <w:rPr>
          <w:rFonts w:ascii="Sylfaen" w:hAnsi="Sylfaen"/>
          <w:sz w:val="24"/>
          <w:szCs w:val="24"/>
        </w:rPr>
        <w:t xml:space="preserve">հեռուստացուցային կցուրդը պետք է ավտոմատ կերպով անցնի ակտիվ ռեժիմից սպասման ռեժիմի՝ օգտագործողի հետ վերջին փոխազդեցության </w:t>
      </w:r>
      <w:r>
        <w:rPr>
          <w:rFonts w:ascii="Sylfaen" w:hAnsi="Sylfaen"/>
          <w:sz w:val="24"/>
          <w:szCs w:val="24"/>
        </w:rPr>
        <w:t>եւ</w:t>
      </w:r>
      <w:r w:rsidRPr="00CA27E3">
        <w:rPr>
          <w:rFonts w:ascii="Sylfaen" w:hAnsi="Sylfaen"/>
          <w:sz w:val="24"/>
          <w:szCs w:val="24"/>
        </w:rPr>
        <w:t xml:space="preserve"> (կամ) ալիքը փոխելու պահից ակտիվ ռեժիմում ոչ ավելի, քան 3 ժամ տ</w:t>
      </w:r>
      <w:r>
        <w:rPr>
          <w:rFonts w:ascii="Sylfaen" w:hAnsi="Sylfaen"/>
          <w:sz w:val="24"/>
          <w:szCs w:val="24"/>
        </w:rPr>
        <w:t>եւ</w:t>
      </w:r>
      <w:r w:rsidRPr="00CA27E3">
        <w:rPr>
          <w:rFonts w:ascii="Sylfaen" w:hAnsi="Sylfaen"/>
          <w:sz w:val="24"/>
          <w:szCs w:val="24"/>
        </w:rPr>
        <w:t>ողությամբ աշխատանքից հետո՝ մինչ սպասման ռեժիմի անցնելը 2 րոպեի ընթացքում նախազգուշական ազդանշանով.</w:t>
      </w:r>
    </w:p>
    <w:p w14:paraId="4D46FAB6"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lastRenderedPageBreak/>
        <w:t>բ)</w:t>
      </w:r>
      <w:r w:rsidR="005503F1" w:rsidRPr="005503F1">
        <w:rPr>
          <w:rFonts w:ascii="Sylfaen" w:hAnsi="Sylfaen"/>
          <w:sz w:val="24"/>
          <w:szCs w:val="24"/>
        </w:rPr>
        <w:tab/>
      </w:r>
      <w:r w:rsidRPr="00CA27E3">
        <w:rPr>
          <w:rFonts w:ascii="Sylfaen" w:hAnsi="Sylfaen"/>
          <w:sz w:val="24"/>
          <w:szCs w:val="24"/>
        </w:rPr>
        <w:t>էլեկտրասնուցման ավտոմատ նվազման ֆունկցիան պետք է լռելյայն միացված լինի:</w:t>
      </w:r>
    </w:p>
    <w:p w14:paraId="370CEECF"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6.</w:t>
      </w:r>
      <w:r w:rsidR="005503F1" w:rsidRPr="005503F1">
        <w:rPr>
          <w:rFonts w:ascii="Sylfaen" w:hAnsi="Sylfaen"/>
          <w:sz w:val="24"/>
          <w:szCs w:val="24"/>
        </w:rPr>
        <w:tab/>
      </w:r>
      <w:r w:rsidRPr="00CA27E3">
        <w:rPr>
          <w:rFonts w:ascii="Sylfaen" w:hAnsi="Sylfaen"/>
          <w:sz w:val="24"/>
          <w:szCs w:val="24"/>
        </w:rPr>
        <w:t>0,50 Վտ-ից ավելի կամ դրան հավասար օգտագործվող հզորության չափված արժեքների համար չափման առավելագույն թույլատրելի հարաբերական անորոշությունը պետք է լինի չափված հզորության արժեքի 2 %-ից պակաս կամ դրան հավասար՝ 95 % վստահության մակարդակի դեպքում:</w:t>
      </w:r>
    </w:p>
    <w:p w14:paraId="06325B1C" w14:textId="77777777" w:rsidR="00CA27E3" w:rsidRPr="00CA27E3" w:rsidRDefault="00CA27E3" w:rsidP="00250D3E">
      <w:pPr>
        <w:pStyle w:val="1"/>
        <w:shd w:val="clear" w:color="auto" w:fill="auto"/>
        <w:spacing w:after="160" w:line="348" w:lineRule="auto"/>
        <w:ind w:firstLine="567"/>
        <w:jc w:val="both"/>
        <w:rPr>
          <w:rFonts w:ascii="Sylfaen" w:hAnsi="Sylfaen"/>
          <w:sz w:val="24"/>
          <w:szCs w:val="24"/>
        </w:rPr>
      </w:pPr>
      <w:r w:rsidRPr="00CA27E3">
        <w:rPr>
          <w:rFonts w:ascii="Sylfaen" w:hAnsi="Sylfaen"/>
          <w:sz w:val="24"/>
          <w:szCs w:val="24"/>
        </w:rPr>
        <w:t>0,50 Վտ-ից պակաս օգտագործվող հզորության չափված արժեքների համար չափումների առավելագույն թույլատրելի անորոշությունը պետք է լինի 0,01 Վտ-ից պակաս կամ դրան հավասար՝ 95 % վստահության մակարդակի դեպքում:</w:t>
      </w:r>
    </w:p>
    <w:p w14:paraId="54DE07D4" w14:textId="77777777" w:rsidR="00CA27E3" w:rsidRPr="00CA27E3" w:rsidRDefault="00CA27E3" w:rsidP="00250D3E">
      <w:pPr>
        <w:pStyle w:val="1"/>
        <w:shd w:val="clear" w:color="auto" w:fill="auto"/>
        <w:tabs>
          <w:tab w:val="left" w:pos="1134"/>
          <w:tab w:val="left" w:pos="1701"/>
        </w:tabs>
        <w:spacing w:after="160" w:line="348" w:lineRule="auto"/>
        <w:ind w:firstLine="567"/>
        <w:jc w:val="both"/>
        <w:rPr>
          <w:rFonts w:ascii="Sylfaen" w:hAnsi="Sylfaen"/>
          <w:sz w:val="24"/>
          <w:szCs w:val="24"/>
        </w:rPr>
      </w:pPr>
      <w:r w:rsidRPr="00CA27E3">
        <w:rPr>
          <w:rFonts w:ascii="Sylfaen" w:hAnsi="Sylfaen"/>
          <w:sz w:val="24"/>
          <w:szCs w:val="24"/>
        </w:rPr>
        <w:t>7.</w:t>
      </w:r>
      <w:r w:rsidR="005503F1" w:rsidRPr="005503F1">
        <w:rPr>
          <w:rFonts w:ascii="Sylfaen" w:hAnsi="Sylfaen"/>
          <w:sz w:val="24"/>
          <w:szCs w:val="24"/>
        </w:rPr>
        <w:tab/>
      </w:r>
      <w:r w:rsidRPr="00CA27E3">
        <w:rPr>
          <w:rFonts w:ascii="Sylfaen" w:hAnsi="Sylfaen"/>
          <w:sz w:val="24"/>
          <w:szCs w:val="24"/>
        </w:rPr>
        <w:t>Հեռուստացուցային կցուրդներին կից ներկայացվող՝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7B461B" w:rsidRPr="007B461B">
        <w:rPr>
          <w:rFonts w:ascii="Sylfaen" w:hAnsi="Sylfaen"/>
          <w:sz w:val="24"/>
          <w:szCs w:val="24"/>
        </w:rPr>
        <w:tab/>
      </w:r>
      <w:r w:rsidRPr="00CA27E3">
        <w:rPr>
          <w:rFonts w:ascii="Sylfaen" w:hAnsi="Sylfaen"/>
          <w:sz w:val="24"/>
          <w:szCs w:val="24"/>
        </w:rPr>
        <w:t>/20</w:t>
      </w:r>
      <w:r w:rsidR="007B461B" w:rsidRPr="007B461B">
        <w:rPr>
          <w:rFonts w:ascii="Sylfaen" w:hAnsi="Sylfaen"/>
          <w:sz w:val="24"/>
          <w:szCs w:val="24"/>
        </w:rPr>
        <w:tab/>
      </w:r>
      <w:r w:rsidRPr="00CA27E3">
        <w:rPr>
          <w:rFonts w:ascii="Sylfaen" w:hAnsi="Sylfaen"/>
          <w:sz w:val="24"/>
          <w:szCs w:val="24"/>
        </w:rPr>
        <w:t xml:space="preserve">) (այսուհետ՝ տեխնիկական կանոնակարգ) 13-րդ կետով նախատեսված շահագործման փաստաթղթերը պետք է պարունակեն դրանց բնութագրերի </w:t>
      </w:r>
      <w:r>
        <w:rPr>
          <w:rFonts w:ascii="Sylfaen" w:hAnsi="Sylfaen"/>
          <w:sz w:val="24"/>
          <w:szCs w:val="24"/>
        </w:rPr>
        <w:t>եւ</w:t>
      </w:r>
      <w:r w:rsidRPr="00CA27E3">
        <w:rPr>
          <w:rFonts w:ascii="Sylfaen" w:hAnsi="Sylfaen"/>
          <w:sz w:val="24"/>
          <w:szCs w:val="24"/>
        </w:rPr>
        <w:t xml:space="preserve"> պարամետրերի մասին հետ</w:t>
      </w:r>
      <w:r>
        <w:rPr>
          <w:rFonts w:ascii="Sylfaen" w:hAnsi="Sylfaen"/>
          <w:sz w:val="24"/>
          <w:szCs w:val="24"/>
        </w:rPr>
        <w:t>եւ</w:t>
      </w:r>
      <w:r w:rsidRPr="00CA27E3">
        <w:rPr>
          <w:rFonts w:ascii="Sylfaen" w:hAnsi="Sylfaen"/>
          <w:sz w:val="24"/>
          <w:szCs w:val="24"/>
        </w:rPr>
        <w:t>յալ տեղեկությունները՝</w:t>
      </w:r>
    </w:p>
    <w:p w14:paraId="64DF34DE"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ա)</w:t>
      </w:r>
      <w:r w:rsidR="005503F1" w:rsidRPr="005503F1">
        <w:rPr>
          <w:rFonts w:ascii="Sylfaen" w:hAnsi="Sylfaen"/>
          <w:sz w:val="24"/>
          <w:szCs w:val="24"/>
        </w:rPr>
        <w:tab/>
      </w:r>
      <w:r w:rsidRPr="00CA27E3">
        <w:rPr>
          <w:rFonts w:ascii="Sylfaen" w:hAnsi="Sylfaen"/>
          <w:sz w:val="24"/>
          <w:szCs w:val="24"/>
        </w:rPr>
        <w:t xml:space="preserve">էներգասպառում ակտիվ ռեժիմում </w:t>
      </w:r>
      <w:r>
        <w:rPr>
          <w:rFonts w:ascii="Sylfaen" w:hAnsi="Sylfaen"/>
          <w:sz w:val="24"/>
          <w:szCs w:val="24"/>
        </w:rPr>
        <w:t>եւ</w:t>
      </w:r>
      <w:r w:rsidRPr="00CA27E3">
        <w:rPr>
          <w:rFonts w:ascii="Sylfaen" w:hAnsi="Sylfaen"/>
          <w:sz w:val="24"/>
          <w:szCs w:val="24"/>
        </w:rPr>
        <w:t xml:space="preserve"> սպասման ռեժիմում (Վտ-ով) մինչ</w:t>
      </w:r>
      <w:r>
        <w:rPr>
          <w:rFonts w:ascii="Sylfaen" w:hAnsi="Sylfaen"/>
          <w:sz w:val="24"/>
          <w:szCs w:val="24"/>
        </w:rPr>
        <w:t>եւ</w:t>
      </w:r>
      <w:r w:rsidRPr="00CA27E3">
        <w:rPr>
          <w:rFonts w:ascii="Sylfaen" w:hAnsi="Sylfaen"/>
          <w:sz w:val="24"/>
          <w:szCs w:val="24"/>
        </w:rPr>
        <w:t xml:space="preserve"> 2 տասնորդական նիշ կլորացմամբ՝ ներառյալ էներգասպառումը տարբեր լրացուցիչ ֆունկցիաների </w:t>
      </w:r>
      <w:r>
        <w:rPr>
          <w:rFonts w:ascii="Sylfaen" w:hAnsi="Sylfaen"/>
          <w:sz w:val="24"/>
          <w:szCs w:val="24"/>
        </w:rPr>
        <w:t>եւ</w:t>
      </w:r>
      <w:r w:rsidRPr="00CA27E3">
        <w:rPr>
          <w:rFonts w:ascii="Sylfaen" w:hAnsi="Sylfaen"/>
          <w:sz w:val="24"/>
          <w:szCs w:val="24"/>
        </w:rPr>
        <w:t xml:space="preserve"> (կամ) բաղադրիչների համար.</w:t>
      </w:r>
    </w:p>
    <w:p w14:paraId="61FC1538"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բ)</w:t>
      </w:r>
      <w:r w:rsidR="005503F1" w:rsidRPr="005503F1">
        <w:rPr>
          <w:rFonts w:ascii="Sylfaen" w:hAnsi="Sylfaen"/>
          <w:sz w:val="24"/>
          <w:szCs w:val="24"/>
        </w:rPr>
        <w:tab/>
      </w:r>
      <w:r w:rsidRPr="00CA27E3">
        <w:rPr>
          <w:rFonts w:ascii="Sylfaen" w:hAnsi="Sylfaen"/>
          <w:sz w:val="24"/>
          <w:szCs w:val="24"/>
        </w:rPr>
        <w:t>արտադրատեսակի աշխատանքի ռեժիմի ընտրության կամ ծրագրավորման նկարագրությունը.</w:t>
      </w:r>
    </w:p>
    <w:p w14:paraId="1EC6E6C1"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գ)</w:t>
      </w:r>
      <w:r w:rsidR="005503F1" w:rsidRPr="005503F1">
        <w:rPr>
          <w:rFonts w:ascii="Sylfaen" w:hAnsi="Sylfaen"/>
          <w:sz w:val="24"/>
          <w:szCs w:val="24"/>
        </w:rPr>
        <w:tab/>
      </w:r>
      <w:r w:rsidRPr="00CA27E3">
        <w:rPr>
          <w:rFonts w:ascii="Sylfaen" w:hAnsi="Sylfaen"/>
          <w:sz w:val="24"/>
          <w:szCs w:val="24"/>
        </w:rPr>
        <w:t>այն վիճակի ապահովման համար գործողությունների (դեպքերի) անհրաժեշտ հաջորդականությունը, որի դեպքում արտադրատեսակն ավտոմատ կերպով փոխում է աշխատանքի ռեժիմը.</w:t>
      </w:r>
    </w:p>
    <w:p w14:paraId="4F8F32AF"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դ)</w:t>
      </w:r>
      <w:r w:rsidR="005503F1" w:rsidRPr="005503F1">
        <w:rPr>
          <w:rFonts w:ascii="Sylfaen" w:hAnsi="Sylfaen"/>
          <w:sz w:val="24"/>
          <w:szCs w:val="24"/>
        </w:rPr>
        <w:tab/>
      </w:r>
      <w:r w:rsidRPr="00CA27E3">
        <w:rPr>
          <w:rFonts w:ascii="Sylfaen" w:hAnsi="Sylfaen"/>
          <w:sz w:val="24"/>
          <w:szCs w:val="24"/>
        </w:rPr>
        <w:t xml:space="preserve">ռադիոհաճախականային մուտքային ազդանշաններ (թվային վերգետնյա հեռարձակման համար) </w:t>
      </w:r>
      <w:r>
        <w:rPr>
          <w:rFonts w:ascii="Sylfaen" w:hAnsi="Sylfaen"/>
          <w:sz w:val="24"/>
          <w:szCs w:val="24"/>
        </w:rPr>
        <w:t>եւ</w:t>
      </w:r>
      <w:r w:rsidRPr="00CA27E3">
        <w:rPr>
          <w:rFonts w:ascii="Sylfaen" w:hAnsi="Sylfaen"/>
          <w:sz w:val="24"/>
          <w:szCs w:val="24"/>
        </w:rPr>
        <w:t xml:space="preserve"> միջանկյալ հաճախականության մուտքային ազդանշաններ (արբանյակային հեռարձակման համար).</w:t>
      </w:r>
    </w:p>
    <w:p w14:paraId="439842BC" w14:textId="77777777" w:rsidR="00CA27E3" w:rsidRPr="00CA27E3" w:rsidRDefault="00CA27E3" w:rsidP="00250D3E">
      <w:pPr>
        <w:pStyle w:val="1"/>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ե)</w:t>
      </w:r>
      <w:r w:rsidR="005503F1" w:rsidRPr="005503F1">
        <w:rPr>
          <w:rFonts w:ascii="Sylfaen" w:hAnsi="Sylfaen"/>
          <w:sz w:val="24"/>
          <w:szCs w:val="24"/>
        </w:rPr>
        <w:tab/>
      </w:r>
      <w:r w:rsidRPr="00CA27E3">
        <w:rPr>
          <w:rFonts w:ascii="Sylfaen" w:hAnsi="Sylfaen"/>
          <w:sz w:val="24"/>
          <w:szCs w:val="24"/>
        </w:rPr>
        <w:t>արտադրատեսակի աշխատանքը նկարագրող ցանկացած տեղեկություն:</w:t>
      </w:r>
    </w:p>
    <w:p w14:paraId="4344F3FF" w14:textId="77777777" w:rsidR="00CA27E3" w:rsidRPr="00CA27E3" w:rsidRDefault="00CA27E3" w:rsidP="005503F1">
      <w:pPr>
        <w:pStyle w:val="1"/>
        <w:shd w:val="clear" w:color="auto" w:fill="auto"/>
        <w:tabs>
          <w:tab w:val="left" w:pos="1134"/>
        </w:tabs>
        <w:spacing w:after="160" w:line="341" w:lineRule="auto"/>
        <w:ind w:firstLine="567"/>
        <w:jc w:val="both"/>
        <w:rPr>
          <w:rFonts w:ascii="Sylfaen" w:hAnsi="Sylfaen"/>
          <w:sz w:val="24"/>
          <w:szCs w:val="24"/>
        </w:rPr>
      </w:pPr>
      <w:r w:rsidRPr="00CA27E3">
        <w:rPr>
          <w:rFonts w:ascii="Sylfaen" w:hAnsi="Sylfaen"/>
          <w:sz w:val="24"/>
          <w:szCs w:val="24"/>
        </w:rPr>
        <w:lastRenderedPageBreak/>
        <w:t>8.</w:t>
      </w:r>
      <w:r w:rsidR="005503F1" w:rsidRPr="005503F1">
        <w:rPr>
          <w:rFonts w:ascii="Sylfaen" w:hAnsi="Sylfaen"/>
          <w:sz w:val="24"/>
          <w:szCs w:val="24"/>
        </w:rPr>
        <w:tab/>
      </w:r>
      <w:r w:rsidRPr="00CA27E3">
        <w:rPr>
          <w:rFonts w:ascii="Sylfaen" w:hAnsi="Sylfaen"/>
          <w:sz w:val="24"/>
          <w:szCs w:val="24"/>
        </w:rPr>
        <w:t>Տեխնիկական կանոնակարգի 25-րդ կետի «ա» ենթակետում նշված՝ հեռուսատացուցային կցուրդներին կից փաստաթղթերի լրակազմում հեռուստացուցային կցուրդների համար լրացուցիչ պետք է ներառվի հետ</w:t>
      </w:r>
      <w:r>
        <w:rPr>
          <w:rFonts w:ascii="Sylfaen" w:hAnsi="Sylfaen"/>
          <w:sz w:val="24"/>
          <w:szCs w:val="24"/>
        </w:rPr>
        <w:t>եւ</w:t>
      </w:r>
      <w:r w:rsidRPr="00CA27E3">
        <w:rPr>
          <w:rFonts w:ascii="Sylfaen" w:hAnsi="Sylfaen"/>
          <w:sz w:val="24"/>
          <w:szCs w:val="24"/>
        </w:rPr>
        <w:t>յալ տեղեկատվությունը՝</w:t>
      </w:r>
    </w:p>
    <w:p w14:paraId="4751655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էներգասպառման փորձարկումների (չափումների) համար օգտագործվող մեթոդները.</w:t>
      </w:r>
    </w:p>
    <w:p w14:paraId="18A97D12"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չափումների կատարման ամսաթվերը.</w:t>
      </w:r>
    </w:p>
    <w:p w14:paraId="392FD370"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փորձարկումներ (չափումներ) անցկացնելիս վերահսկվող պարամետրերը՝ </w:t>
      </w:r>
    </w:p>
    <w:p w14:paraId="7ACF367E"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շրջակա միջավայրի ջերմաստիճանը.</w:t>
      </w:r>
    </w:p>
    <w:p w14:paraId="7A6A728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փորձարկման լարումը (Վ-ով) </w:t>
      </w:r>
      <w:r>
        <w:rPr>
          <w:rFonts w:ascii="Sylfaen" w:hAnsi="Sylfaen"/>
          <w:sz w:val="24"/>
          <w:szCs w:val="24"/>
        </w:rPr>
        <w:t>եւ</w:t>
      </w:r>
      <w:r w:rsidRPr="00CA27E3">
        <w:rPr>
          <w:rFonts w:ascii="Sylfaen" w:hAnsi="Sylfaen"/>
          <w:sz w:val="24"/>
          <w:szCs w:val="24"/>
        </w:rPr>
        <w:t xml:space="preserve"> հաճախականությունը (Հց-ով).</w:t>
      </w:r>
    </w:p>
    <w:p w14:paraId="60B9E2A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էլեկտրասնուցման ցանցի ներդաշնակ բաղադրիչների գումարային գործակիցը.</w:t>
      </w:r>
    </w:p>
    <w:p w14:paraId="56388FCF" w14:textId="77777777" w:rsidR="00CA27E3" w:rsidRPr="00CA27E3" w:rsidRDefault="00CA27E3" w:rsidP="00250D3E">
      <w:pPr>
        <w:pStyle w:val="1"/>
        <w:shd w:val="clear" w:color="auto" w:fill="auto"/>
        <w:spacing w:after="160"/>
        <w:ind w:firstLine="567"/>
        <w:jc w:val="both"/>
        <w:rPr>
          <w:rFonts w:ascii="Sylfaen" w:hAnsi="Sylfaen"/>
          <w:sz w:val="24"/>
          <w:szCs w:val="24"/>
        </w:rPr>
      </w:pPr>
      <w:r w:rsidRPr="00CA27E3">
        <w:rPr>
          <w:rFonts w:ascii="Sylfaen" w:hAnsi="Sylfaen"/>
          <w:sz w:val="24"/>
          <w:szCs w:val="24"/>
        </w:rPr>
        <w:t>փորձարկումների (չափումների) ընթացքում սնուցման աղբյուրի լարման տատանումը.</w:t>
      </w:r>
    </w:p>
    <w:p w14:paraId="52F1D70F"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փորձարկումներ (չափումներ) կատարելիս օգտագործվող՝ չափումների, սարքաբերումների միջոցների </w:t>
      </w:r>
      <w:r>
        <w:rPr>
          <w:rFonts w:ascii="Sylfaen" w:hAnsi="Sylfaen"/>
          <w:sz w:val="24"/>
          <w:szCs w:val="24"/>
        </w:rPr>
        <w:t>եւ</w:t>
      </w:r>
      <w:r w:rsidRPr="00CA27E3">
        <w:rPr>
          <w:rFonts w:ascii="Sylfaen" w:hAnsi="Sylfaen"/>
          <w:sz w:val="24"/>
          <w:szCs w:val="24"/>
        </w:rPr>
        <w:t xml:space="preserve"> սխեմաների մասին տեղեկությունները.</w:t>
      </w:r>
    </w:p>
    <w:p w14:paraId="22D432A4"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MPEG-2 տրանսպորտային հոսքին համապատասխանող փորձարկային ձայնա- </w:t>
      </w:r>
      <w:r>
        <w:rPr>
          <w:rFonts w:ascii="Sylfaen" w:hAnsi="Sylfaen"/>
          <w:sz w:val="24"/>
          <w:szCs w:val="24"/>
        </w:rPr>
        <w:t>եւ</w:t>
      </w:r>
      <w:r w:rsidRPr="00CA27E3">
        <w:rPr>
          <w:rFonts w:ascii="Sylfaen" w:hAnsi="Sylfaen"/>
          <w:sz w:val="24"/>
          <w:szCs w:val="24"/>
        </w:rPr>
        <w:t xml:space="preserve"> տեսաազդանշանները.</w:t>
      </w:r>
    </w:p>
    <w:p w14:paraId="41A78F66"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կառավարման օրգանների դիրքը:</w:t>
      </w:r>
    </w:p>
    <w:p w14:paraId="54352361" w14:textId="77777777" w:rsidR="00CA27E3" w:rsidRPr="00CA27E3" w:rsidRDefault="00CA27E3" w:rsidP="00CA27E3">
      <w:pPr>
        <w:pStyle w:val="1"/>
        <w:shd w:val="clear" w:color="auto" w:fill="auto"/>
        <w:spacing w:after="160"/>
        <w:ind w:firstLine="567"/>
        <w:jc w:val="both"/>
        <w:rPr>
          <w:rFonts w:ascii="Sylfaen" w:hAnsi="Sylfaen"/>
          <w:sz w:val="24"/>
          <w:szCs w:val="24"/>
        </w:rPr>
      </w:pPr>
      <w:r w:rsidRPr="00CA27E3">
        <w:rPr>
          <w:rFonts w:ascii="Sylfaen" w:hAnsi="Sylfaen"/>
          <w:sz w:val="24"/>
          <w:szCs w:val="24"/>
        </w:rPr>
        <w:t>Փաստաթղթերի տվյալ լրակազմում</w:t>
      </w:r>
      <w:r w:rsidR="005503F1">
        <w:rPr>
          <w:rFonts w:ascii="Sylfaen" w:hAnsi="Sylfaen"/>
          <w:sz w:val="24"/>
          <w:szCs w:val="24"/>
        </w:rPr>
        <w:t xml:space="preserve"> չի պահանջվում ներառել հեռուստա</w:t>
      </w:r>
      <w:r w:rsidR="005503F1" w:rsidRPr="005503F1">
        <w:rPr>
          <w:rFonts w:ascii="Sylfaen" w:hAnsi="Sylfaen"/>
          <w:sz w:val="24"/>
          <w:szCs w:val="24"/>
        </w:rPr>
        <w:t>-</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(կամ) ռադիոհեռարձակման համար հեռուստացուցային կցուրդին միացվող այնպիսի ծայրամասային սարքվածքներով օգտագործվող հզորության նկատմամբ պահանջները, ինչպես օրինակ՝ վերգետնյա հեռարձակման ընդունման համար ակտիվ ալեհավաք, արբանյակային սակավաղմուկ փոխարկիչ-միաբլոկ, ցանկացած մալուխ կամ հեռահաղորդակցման մոդեմ:</w:t>
      </w:r>
    </w:p>
    <w:p w14:paraId="159B2C96" w14:textId="77777777" w:rsidR="00250D3E" w:rsidRPr="003D2C38" w:rsidRDefault="00250D3E" w:rsidP="005503F1">
      <w:pPr>
        <w:pStyle w:val="1"/>
        <w:shd w:val="clear" w:color="auto" w:fill="auto"/>
        <w:spacing w:after="160"/>
        <w:ind w:left="567" w:right="566" w:firstLine="0"/>
        <w:jc w:val="center"/>
        <w:rPr>
          <w:rFonts w:ascii="Sylfaen" w:hAnsi="Sylfaen"/>
          <w:sz w:val="24"/>
          <w:szCs w:val="24"/>
        </w:rPr>
      </w:pPr>
    </w:p>
    <w:p w14:paraId="7D0A42FE" w14:textId="77777777" w:rsidR="00CA27E3" w:rsidRPr="00CA27E3" w:rsidRDefault="00CA27E3" w:rsidP="00250D3E">
      <w:pPr>
        <w:pStyle w:val="1"/>
        <w:shd w:val="clear" w:color="auto" w:fill="auto"/>
        <w:spacing w:after="160"/>
        <w:ind w:left="567" w:right="566" w:firstLine="0"/>
        <w:jc w:val="center"/>
        <w:rPr>
          <w:rFonts w:ascii="Sylfaen" w:hAnsi="Sylfaen"/>
          <w:sz w:val="24"/>
          <w:szCs w:val="24"/>
        </w:rPr>
      </w:pPr>
      <w:r w:rsidRPr="00CA27E3">
        <w:rPr>
          <w:rFonts w:ascii="Sylfaen" w:hAnsi="Sylfaen"/>
          <w:sz w:val="24"/>
          <w:szCs w:val="24"/>
        </w:rPr>
        <w:lastRenderedPageBreak/>
        <w:t>IV. Հեռուստացուցային կցուրդների էներգետիկ արդյունավետության պարամետրերի թույլատրելի շեղումները՝ դրանք շրջանառության մեջ դրվելուց հետո փորձարկումներ (չափումներ) կատարելիս</w:t>
      </w:r>
    </w:p>
    <w:p w14:paraId="0DB8F593" w14:textId="77777777" w:rsidR="00CA27E3" w:rsidRPr="00CA27E3" w:rsidRDefault="00CA27E3" w:rsidP="00250D3E">
      <w:pPr>
        <w:pStyle w:val="1"/>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9.</w:t>
      </w:r>
      <w:r w:rsidR="005503F1" w:rsidRPr="005503F1">
        <w:rPr>
          <w:rFonts w:ascii="Sylfaen" w:hAnsi="Sylfaen"/>
          <w:sz w:val="24"/>
          <w:szCs w:val="24"/>
        </w:rPr>
        <w:tab/>
      </w:r>
      <w:r w:rsidRPr="00CA27E3">
        <w:rPr>
          <w:rFonts w:ascii="Sylfaen" w:hAnsi="Sylfaen"/>
          <w:sz w:val="24"/>
          <w:szCs w:val="24"/>
        </w:rPr>
        <w:t>Հեռուստացուցային կցուրդները շրջանառության մեջ դրվելուց հետո դրանց փորձարկումները (չափումները) կատարելիս պետք է փորձարկվի հեռուստացուցային կցուրդի յուրաքանչյուր մոդելի 1 տիպային օրինակ։</w:t>
      </w:r>
    </w:p>
    <w:p w14:paraId="0BB1C014" w14:textId="77777777" w:rsidR="00CA27E3" w:rsidRPr="00CA27E3" w:rsidRDefault="00CA27E3" w:rsidP="00250D3E">
      <w:pPr>
        <w:pStyle w:val="1"/>
        <w:shd w:val="clear" w:color="auto" w:fill="auto"/>
        <w:spacing w:after="160"/>
        <w:ind w:firstLine="567"/>
        <w:jc w:val="both"/>
        <w:rPr>
          <w:rFonts w:ascii="Sylfaen" w:hAnsi="Sylfaen"/>
          <w:sz w:val="24"/>
          <w:szCs w:val="24"/>
        </w:rPr>
      </w:pPr>
      <w:r w:rsidRPr="00CA27E3">
        <w:rPr>
          <w:rFonts w:ascii="Sylfaen" w:hAnsi="Sylfaen"/>
          <w:sz w:val="24"/>
          <w:szCs w:val="24"/>
        </w:rPr>
        <w:t>Հեռուստացուցային կցուրդի մոդելը համարվում է սույն պահանջներին համապատասխանող, եթե չափումների արդյունքներն ավելի քան 10 %-ով կամ 0,10 Վտ-ով չեն գերազանցում սահմանային արժեքները՝ այն օգտագործվող հզորության վերահսկման համար, որի մեծությունը համապատասխանաբար գերազանցում կամ չի գերազանցում 1,00 Վտ-ը:</w:t>
      </w:r>
    </w:p>
    <w:p w14:paraId="3D22712B" w14:textId="77777777" w:rsidR="00CA27E3" w:rsidRPr="00CA27E3" w:rsidRDefault="00CA27E3" w:rsidP="00250D3E">
      <w:pPr>
        <w:pStyle w:val="1"/>
        <w:shd w:val="clear" w:color="auto" w:fill="auto"/>
        <w:spacing w:after="160"/>
        <w:ind w:firstLine="567"/>
        <w:jc w:val="both"/>
        <w:rPr>
          <w:rFonts w:ascii="Sylfaen" w:hAnsi="Sylfaen"/>
          <w:sz w:val="24"/>
          <w:szCs w:val="24"/>
        </w:rPr>
      </w:pPr>
      <w:r w:rsidRPr="00CA27E3">
        <w:rPr>
          <w:rFonts w:ascii="Sylfaen" w:hAnsi="Sylfaen"/>
          <w:sz w:val="24"/>
          <w:szCs w:val="24"/>
        </w:rPr>
        <w:t xml:space="preserve">Այլապես ստուգվում է հեռուստացուցային կցուրդի մոդելի </w:t>
      </w:r>
      <w:r>
        <w:rPr>
          <w:rFonts w:ascii="Sylfaen" w:hAnsi="Sylfaen"/>
          <w:sz w:val="24"/>
          <w:szCs w:val="24"/>
        </w:rPr>
        <w:t>եւ</w:t>
      </w:r>
      <w:r w:rsidRPr="00CA27E3">
        <w:rPr>
          <w:rFonts w:ascii="Sylfaen" w:hAnsi="Sylfaen"/>
          <w:sz w:val="24"/>
          <w:szCs w:val="24"/>
        </w:rPr>
        <w:t>ս 3 տիպային օրինակ: Հեռուստացուցային կցուրդի մոդելը համարվում է սույն պահանջներին համապատասխանող, եթե հեռուստացուցային կցուրդի այդ 3 տիպային օրինակների չափումների արդյունքների միջին արժեքը չի գերազանցում սահմանային արժեքներն ավելի քան այն մեծության չափով, որը նշված է սույն կետի երկրորդ պարբերությունում:</w:t>
      </w:r>
    </w:p>
    <w:p w14:paraId="6D5C5769" w14:textId="77777777" w:rsidR="00CA27E3" w:rsidRPr="00DC5495" w:rsidRDefault="00CA27E3" w:rsidP="00250D3E">
      <w:pPr>
        <w:pStyle w:val="1"/>
        <w:shd w:val="clear" w:color="auto" w:fill="auto"/>
        <w:spacing w:after="160"/>
        <w:ind w:firstLine="567"/>
        <w:jc w:val="both"/>
        <w:rPr>
          <w:rFonts w:ascii="Sylfaen" w:hAnsi="Sylfaen"/>
          <w:sz w:val="24"/>
          <w:szCs w:val="24"/>
        </w:rPr>
      </w:pPr>
      <w:r w:rsidRPr="00CA27E3">
        <w:rPr>
          <w:rFonts w:ascii="Sylfaen" w:hAnsi="Sylfaen"/>
          <w:sz w:val="24"/>
          <w:szCs w:val="24"/>
        </w:rPr>
        <w:t>Այլ դեպքերում հեռուստացուցային կցուրդի տվյալ մոդելը հարկ է դիտարկել որպես տեխնիկական կանոնակարգի պահանջներին չհամապատասխանող։</w:t>
      </w:r>
    </w:p>
    <w:p w14:paraId="0A923A5A" w14:textId="77777777" w:rsidR="005503F1" w:rsidRPr="00DC5495" w:rsidRDefault="005503F1" w:rsidP="005503F1">
      <w:pPr>
        <w:pStyle w:val="1"/>
        <w:shd w:val="clear" w:color="auto" w:fill="auto"/>
        <w:spacing w:after="160"/>
        <w:ind w:firstLine="0"/>
        <w:jc w:val="center"/>
        <w:rPr>
          <w:rFonts w:ascii="Sylfaen" w:hAnsi="Sylfaen"/>
          <w:sz w:val="24"/>
          <w:szCs w:val="24"/>
        </w:rPr>
      </w:pPr>
      <w:r w:rsidRPr="00DC5495">
        <w:rPr>
          <w:rFonts w:ascii="Sylfaen" w:hAnsi="Sylfaen"/>
          <w:sz w:val="24"/>
          <w:szCs w:val="24"/>
        </w:rPr>
        <w:t>__________</w:t>
      </w:r>
    </w:p>
    <w:p w14:paraId="26D5550E" w14:textId="77777777" w:rsidR="00066F60" w:rsidRPr="00CA27E3" w:rsidRDefault="00066F60" w:rsidP="00CA27E3">
      <w:pPr>
        <w:pStyle w:val="1"/>
        <w:shd w:val="clear" w:color="auto" w:fill="auto"/>
        <w:spacing w:after="160"/>
        <w:ind w:firstLine="567"/>
        <w:jc w:val="both"/>
        <w:rPr>
          <w:rFonts w:ascii="Sylfaen" w:hAnsi="Sylfaen"/>
          <w:sz w:val="24"/>
          <w:szCs w:val="24"/>
        </w:rPr>
      </w:pPr>
    </w:p>
    <w:p w14:paraId="612CC310" w14:textId="77777777" w:rsidR="00066F60" w:rsidRDefault="00066F60" w:rsidP="00CA27E3">
      <w:pPr>
        <w:spacing w:after="160" w:line="360" w:lineRule="auto"/>
        <w:rPr>
          <w:rFonts w:ascii="Sylfaen" w:hAnsi="Sylfaen"/>
        </w:rPr>
        <w:sectPr w:rsidR="00066F60" w:rsidSect="0027701C">
          <w:pgSz w:w="11907" w:h="16840" w:code="9"/>
          <w:pgMar w:top="1418" w:right="1418" w:bottom="1418" w:left="1418" w:header="0" w:footer="538" w:gutter="0"/>
          <w:pgNumType w:start="1"/>
          <w:cols w:space="720"/>
          <w:noEndnote/>
          <w:titlePg/>
          <w:docGrid w:linePitch="360"/>
        </w:sectPr>
      </w:pPr>
    </w:p>
    <w:p w14:paraId="0D4439DF" w14:textId="77777777" w:rsidR="00CA27E3" w:rsidRPr="00CA27E3" w:rsidRDefault="00CA27E3" w:rsidP="007B461B">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9</w:t>
      </w:r>
    </w:p>
    <w:p w14:paraId="0D6CD98F" w14:textId="77777777" w:rsidR="00CA27E3" w:rsidRPr="00CA27E3" w:rsidRDefault="00CA27E3" w:rsidP="007B461B">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t xml:space="preserve">Եվրասիական տնտեսական </w:t>
      </w:r>
      <w:r w:rsidR="007B461B" w:rsidRPr="007B461B">
        <w:rPr>
          <w:rFonts w:ascii="Sylfaen" w:hAnsi="Sylfaen"/>
          <w:sz w:val="24"/>
          <w:szCs w:val="24"/>
        </w:rPr>
        <w:br/>
      </w:r>
      <w:r w:rsidRPr="00CA27E3">
        <w:rPr>
          <w:rFonts w:ascii="Sylfaen" w:hAnsi="Sylfaen"/>
          <w:sz w:val="24"/>
          <w:szCs w:val="24"/>
        </w:rPr>
        <w:t>միության տեխնիկական կանոնակարգի</w:t>
      </w:r>
      <w:r w:rsidR="005503F1" w:rsidRPr="005503F1">
        <w:rPr>
          <w:rFonts w:ascii="Sylfaen" w:hAnsi="Sylfaen"/>
          <w:sz w:val="24"/>
          <w:szCs w:val="24"/>
        </w:rPr>
        <w:t xml:space="preserve"> </w:t>
      </w:r>
      <w:r w:rsidRPr="00CA27E3">
        <w:rPr>
          <w:rFonts w:ascii="Sylfaen" w:hAnsi="Sylfaen"/>
          <w:sz w:val="24"/>
          <w:szCs w:val="24"/>
        </w:rPr>
        <w:t>«Էներգասպառող սարքվածքների էներգետիկ արդյունավետությանը ներկայացվող պահանջների մասին» (ԵԱՏՄ</w:t>
      </w:r>
      <w:r>
        <w:rPr>
          <w:rFonts w:ascii="Sylfaen" w:hAnsi="Sylfaen"/>
          <w:sz w:val="24"/>
          <w:szCs w:val="24"/>
        </w:rPr>
        <w:t xml:space="preserve"> </w:t>
      </w:r>
      <w:r w:rsidRPr="00CA27E3">
        <w:rPr>
          <w:rFonts w:ascii="Sylfaen" w:hAnsi="Sylfaen"/>
          <w:sz w:val="24"/>
          <w:szCs w:val="24"/>
        </w:rPr>
        <w:t>ՏԿ</w:t>
      </w:r>
      <w:r w:rsidR="005503F1" w:rsidRPr="005503F1">
        <w:rPr>
          <w:rFonts w:ascii="Sylfaen" w:hAnsi="Sylfaen"/>
          <w:sz w:val="24"/>
          <w:szCs w:val="24"/>
        </w:rPr>
        <w:tab/>
      </w:r>
      <w:r w:rsidRPr="00CA27E3">
        <w:rPr>
          <w:rFonts w:ascii="Sylfaen" w:hAnsi="Sylfaen"/>
          <w:sz w:val="24"/>
          <w:szCs w:val="24"/>
        </w:rPr>
        <w:t>/20.</w:t>
      </w:r>
      <w:r w:rsidR="005503F1" w:rsidRPr="005503F1">
        <w:rPr>
          <w:rFonts w:ascii="Sylfaen" w:hAnsi="Sylfaen"/>
          <w:sz w:val="24"/>
          <w:szCs w:val="24"/>
        </w:rPr>
        <w:tab/>
      </w:r>
      <w:r w:rsidRPr="00CA27E3">
        <w:rPr>
          <w:rFonts w:ascii="Sylfaen" w:hAnsi="Sylfaen"/>
          <w:sz w:val="24"/>
          <w:szCs w:val="24"/>
        </w:rPr>
        <w:t>)</w:t>
      </w:r>
    </w:p>
    <w:p w14:paraId="23E3099C" w14:textId="77777777" w:rsidR="00CA27E3" w:rsidRPr="00CA27E3" w:rsidRDefault="00CA27E3" w:rsidP="007B461B">
      <w:pPr>
        <w:pStyle w:val="11"/>
        <w:shd w:val="clear" w:color="auto" w:fill="auto"/>
        <w:spacing w:after="160" w:line="343" w:lineRule="auto"/>
        <w:outlineLvl w:val="9"/>
        <w:rPr>
          <w:rFonts w:ascii="Sylfaen" w:hAnsi="Sylfaen" w:cs="Sylfaen"/>
          <w:sz w:val="24"/>
          <w:szCs w:val="24"/>
        </w:rPr>
      </w:pPr>
    </w:p>
    <w:p w14:paraId="57F46429" w14:textId="77777777" w:rsidR="00CA27E3" w:rsidRPr="00CA27E3" w:rsidRDefault="00CA27E3" w:rsidP="007B461B">
      <w:pPr>
        <w:pStyle w:val="11"/>
        <w:shd w:val="clear" w:color="auto" w:fill="auto"/>
        <w:spacing w:after="160" w:line="343" w:lineRule="auto"/>
        <w:outlineLvl w:val="9"/>
        <w:rPr>
          <w:rFonts w:ascii="Sylfaen" w:hAnsi="Sylfaen" w:cs="Sylfaen"/>
          <w:sz w:val="24"/>
          <w:szCs w:val="24"/>
        </w:rPr>
      </w:pPr>
      <w:r w:rsidRPr="00CA27E3">
        <w:rPr>
          <w:rFonts w:ascii="Sylfaen" w:hAnsi="Sylfaen"/>
          <w:sz w:val="24"/>
          <w:szCs w:val="24"/>
        </w:rPr>
        <w:t>ՊԱՀԱՆՋՆԵՐ</w:t>
      </w:r>
    </w:p>
    <w:p w14:paraId="55B36577" w14:textId="77777777" w:rsidR="00CA27E3" w:rsidRPr="00CA27E3" w:rsidRDefault="00CA27E3" w:rsidP="007B461B">
      <w:pPr>
        <w:pStyle w:val="11"/>
        <w:shd w:val="clear" w:color="auto" w:fill="auto"/>
        <w:spacing w:after="160" w:line="343" w:lineRule="auto"/>
        <w:outlineLvl w:val="9"/>
        <w:rPr>
          <w:rFonts w:ascii="Sylfaen" w:hAnsi="Sylfaen" w:cs="Sylfaen"/>
          <w:sz w:val="24"/>
          <w:szCs w:val="24"/>
        </w:rPr>
      </w:pPr>
      <w:r w:rsidRPr="00CA27E3">
        <w:rPr>
          <w:rFonts w:ascii="Sylfaen" w:hAnsi="Sylfaen"/>
          <w:sz w:val="24"/>
          <w:szCs w:val="24"/>
        </w:rPr>
        <w:t xml:space="preserve">Էլեկտրական լամպերի </w:t>
      </w:r>
      <w:r w:rsidR="005503F1" w:rsidRPr="005503F1">
        <w:rPr>
          <w:rFonts w:ascii="Sylfaen" w:hAnsi="Sylfaen"/>
          <w:sz w:val="24"/>
          <w:szCs w:val="24"/>
        </w:rPr>
        <w:br/>
      </w:r>
      <w:r w:rsidRPr="00CA27E3">
        <w:rPr>
          <w:rFonts w:ascii="Sylfaen" w:hAnsi="Sylfaen"/>
          <w:sz w:val="24"/>
          <w:szCs w:val="24"/>
        </w:rPr>
        <w:t>էներգետիկ արդյունավետությանը ներկայացվող</w:t>
      </w:r>
    </w:p>
    <w:p w14:paraId="5E4867A3" w14:textId="77777777" w:rsidR="00CA27E3" w:rsidRPr="00CA27E3" w:rsidRDefault="00CA27E3" w:rsidP="007B461B">
      <w:pPr>
        <w:pStyle w:val="a0"/>
        <w:shd w:val="clear" w:color="auto" w:fill="auto"/>
        <w:spacing w:after="160" w:line="343" w:lineRule="auto"/>
        <w:ind w:firstLine="0"/>
        <w:jc w:val="center"/>
        <w:rPr>
          <w:rFonts w:ascii="Sylfaen" w:hAnsi="Sylfaen" w:cs="Sylfaen"/>
          <w:sz w:val="24"/>
          <w:szCs w:val="24"/>
        </w:rPr>
      </w:pPr>
    </w:p>
    <w:p w14:paraId="1ABCB727" w14:textId="77777777" w:rsidR="00CA27E3" w:rsidRPr="00CA27E3" w:rsidRDefault="00CA27E3" w:rsidP="007B461B">
      <w:pPr>
        <w:pStyle w:val="a0"/>
        <w:shd w:val="clear" w:color="auto" w:fill="auto"/>
        <w:spacing w:after="160" w:line="343" w:lineRule="auto"/>
        <w:ind w:firstLine="0"/>
        <w:jc w:val="center"/>
        <w:rPr>
          <w:rFonts w:ascii="Sylfaen" w:hAnsi="Sylfaen" w:cs="Sylfaen"/>
          <w:sz w:val="24"/>
          <w:szCs w:val="24"/>
        </w:rPr>
      </w:pPr>
      <w:r w:rsidRPr="00CA27E3">
        <w:rPr>
          <w:rFonts w:ascii="Sylfaen" w:hAnsi="Sylfaen"/>
          <w:sz w:val="24"/>
          <w:szCs w:val="24"/>
        </w:rPr>
        <w:t>I. Կիրառության ոլորտը</w:t>
      </w:r>
    </w:p>
    <w:p w14:paraId="54CB0BF6" w14:textId="77777777" w:rsidR="00CA27E3" w:rsidRPr="00CA27E3" w:rsidRDefault="00CA27E3" w:rsidP="007B461B">
      <w:pPr>
        <w:pStyle w:val="a0"/>
        <w:shd w:val="clear" w:color="auto" w:fill="auto"/>
        <w:tabs>
          <w:tab w:val="left" w:pos="1134"/>
        </w:tabs>
        <w:spacing w:after="160" w:line="343" w:lineRule="auto"/>
        <w:ind w:firstLine="567"/>
        <w:jc w:val="both"/>
        <w:rPr>
          <w:rFonts w:ascii="Sylfaen" w:hAnsi="Sylfaen" w:cs="Sylfaen"/>
          <w:sz w:val="24"/>
          <w:szCs w:val="24"/>
        </w:rPr>
      </w:pPr>
      <w:r w:rsidRPr="00CA27E3">
        <w:rPr>
          <w:rFonts w:ascii="Sylfaen" w:hAnsi="Sylfaen"/>
          <w:sz w:val="24"/>
          <w:szCs w:val="24"/>
        </w:rPr>
        <w:t>1.</w:t>
      </w:r>
      <w:r w:rsidR="005503F1" w:rsidRPr="005503F1">
        <w:rPr>
          <w:rFonts w:ascii="Sylfaen" w:hAnsi="Sylfaen"/>
          <w:sz w:val="24"/>
          <w:szCs w:val="24"/>
        </w:rPr>
        <w:tab/>
      </w:r>
      <w:r w:rsidRPr="00CA27E3">
        <w:rPr>
          <w:rFonts w:ascii="Sylfaen" w:hAnsi="Sylfaen"/>
          <w:sz w:val="24"/>
          <w:szCs w:val="24"/>
        </w:rPr>
        <w:t xml:space="preserve">Սույն պահանջները տարածվում են կենցաղային </w:t>
      </w:r>
      <w:r>
        <w:rPr>
          <w:rFonts w:ascii="Sylfaen" w:hAnsi="Sylfaen"/>
          <w:sz w:val="24"/>
          <w:szCs w:val="24"/>
        </w:rPr>
        <w:t>եւ</w:t>
      </w:r>
      <w:r w:rsidRPr="00CA27E3">
        <w:rPr>
          <w:rFonts w:ascii="Sylfaen" w:hAnsi="Sylfaen"/>
          <w:sz w:val="24"/>
          <w:szCs w:val="24"/>
        </w:rPr>
        <w:t xml:space="preserve"> համանման նշանակության չուղղորդված լույսով էլեկտրական լամպերի վրա, որոնք</w:t>
      </w:r>
      <w:r>
        <w:rPr>
          <w:rFonts w:ascii="Sylfaen" w:hAnsi="Sylfaen"/>
          <w:sz w:val="24"/>
          <w:szCs w:val="24"/>
        </w:rPr>
        <w:t xml:space="preserve"> </w:t>
      </w:r>
      <w:r w:rsidRPr="00CA27E3">
        <w:rPr>
          <w:rFonts w:ascii="Sylfaen" w:hAnsi="Sylfaen"/>
          <w:sz w:val="24"/>
          <w:szCs w:val="24"/>
        </w:rPr>
        <w:t>կարող են կիրառվել նա</w:t>
      </w:r>
      <w:r>
        <w:rPr>
          <w:rFonts w:ascii="Sylfaen" w:hAnsi="Sylfaen"/>
          <w:sz w:val="24"/>
          <w:szCs w:val="24"/>
        </w:rPr>
        <w:t>եւ</w:t>
      </w:r>
      <w:r w:rsidRPr="00CA27E3">
        <w:rPr>
          <w:rFonts w:ascii="Sylfaen" w:hAnsi="Sylfaen"/>
          <w:sz w:val="24"/>
          <w:szCs w:val="24"/>
        </w:rPr>
        <w:t xml:space="preserve"> լուսավորումից բացի այլ նպատակներով կամ ներկառուցվել այլ էներգասպառող</w:t>
      </w:r>
      <w:r>
        <w:rPr>
          <w:rFonts w:ascii="Sylfaen" w:hAnsi="Sylfaen"/>
          <w:sz w:val="24"/>
          <w:szCs w:val="24"/>
        </w:rPr>
        <w:t xml:space="preserve"> </w:t>
      </w:r>
      <w:r w:rsidRPr="00CA27E3">
        <w:rPr>
          <w:rFonts w:ascii="Sylfaen" w:hAnsi="Sylfaen"/>
          <w:sz w:val="24"/>
          <w:szCs w:val="24"/>
        </w:rPr>
        <w:t xml:space="preserve"> էլեկտրական սարքվածքների մեջ (այսուհետ՝ էլեկտրական լամպեր)՝ բացառությամբ </w:t>
      </w:r>
    </w:p>
    <w:p w14:paraId="0C96D06F" w14:textId="77777777" w:rsidR="00CA27E3" w:rsidRPr="005503F1" w:rsidRDefault="00CA27E3" w:rsidP="007B461B">
      <w:pPr>
        <w:pStyle w:val="a0"/>
        <w:shd w:val="clear" w:color="auto" w:fill="auto"/>
        <w:tabs>
          <w:tab w:val="left" w:pos="1134"/>
        </w:tabs>
        <w:spacing w:after="160" w:line="343" w:lineRule="auto"/>
        <w:ind w:firstLine="567"/>
        <w:jc w:val="both"/>
        <w:rPr>
          <w:rFonts w:ascii="Sylfaen" w:hAnsi="Sylfaen" w:cs="Sylfaen"/>
          <w:sz w:val="24"/>
          <w:szCs w:val="24"/>
        </w:rPr>
      </w:pPr>
      <w:r w:rsidRPr="00CA27E3">
        <w:rPr>
          <w:rFonts w:ascii="Sylfaen" w:hAnsi="Sylfaen"/>
          <w:sz w:val="24"/>
          <w:szCs w:val="24"/>
        </w:rPr>
        <w:t>ա)</w:t>
      </w:r>
      <w:r w:rsidR="005503F1" w:rsidRPr="005503F1">
        <w:rPr>
          <w:rFonts w:ascii="Sylfaen" w:hAnsi="Sylfaen"/>
          <w:sz w:val="24"/>
          <w:szCs w:val="24"/>
        </w:rPr>
        <w:tab/>
      </w:r>
      <w:r w:rsidRPr="005503F1">
        <w:rPr>
          <w:rFonts w:ascii="Sylfaen" w:hAnsi="Sylfaen"/>
          <w:sz w:val="24"/>
          <w:szCs w:val="24"/>
        </w:rPr>
        <w:t>x եւ у գունավորության հետեւյալ կոորդինատներով լամպերի՝</w:t>
      </w:r>
    </w:p>
    <w:p w14:paraId="10C6F3AA" w14:textId="77777777" w:rsidR="00CA27E3" w:rsidRPr="00CA27E3" w:rsidRDefault="00CA27E3" w:rsidP="007B461B">
      <w:pPr>
        <w:pStyle w:val="a0"/>
        <w:shd w:val="clear" w:color="auto" w:fill="auto"/>
        <w:spacing w:after="160" w:line="343" w:lineRule="auto"/>
        <w:ind w:firstLine="567"/>
        <w:jc w:val="both"/>
        <w:rPr>
          <w:rFonts w:ascii="Sylfaen" w:hAnsi="Sylfaen" w:cs="Sylfaen"/>
          <w:sz w:val="24"/>
          <w:szCs w:val="24"/>
        </w:rPr>
      </w:pPr>
      <w:r w:rsidRPr="00CA27E3">
        <w:rPr>
          <w:rFonts w:ascii="Sylfaen" w:hAnsi="Sylfaen"/>
          <w:sz w:val="24"/>
          <w:szCs w:val="24"/>
        </w:rPr>
        <w:t>х&lt; 0,200 կամ х&gt; 0,600,</w:t>
      </w:r>
    </w:p>
    <w:p w14:paraId="3B7E8338" w14:textId="77777777" w:rsidR="00CA27E3" w:rsidRPr="00CA27E3" w:rsidRDefault="00CA27E3" w:rsidP="007B461B">
      <w:pPr>
        <w:pStyle w:val="a0"/>
        <w:shd w:val="clear" w:color="auto" w:fill="auto"/>
        <w:spacing w:after="160" w:line="343" w:lineRule="auto"/>
        <w:ind w:firstLine="567"/>
        <w:jc w:val="both"/>
        <w:rPr>
          <w:rFonts w:ascii="Sylfaen" w:hAnsi="Sylfaen" w:cs="Sylfaen"/>
          <w:sz w:val="24"/>
          <w:szCs w:val="24"/>
        </w:rPr>
      </w:pPr>
      <w:r w:rsidRPr="00CA27E3">
        <w:rPr>
          <w:rFonts w:ascii="Sylfaen" w:hAnsi="Sylfaen"/>
          <w:sz w:val="24"/>
          <w:szCs w:val="24"/>
        </w:rPr>
        <w:t>у&lt; - 2,3172 х</w:t>
      </w:r>
      <w:r w:rsidRPr="00CA27E3">
        <w:rPr>
          <w:rFonts w:ascii="Sylfaen" w:hAnsi="Sylfaen"/>
          <w:sz w:val="24"/>
          <w:szCs w:val="24"/>
          <w:vertAlign w:val="superscript"/>
        </w:rPr>
        <w:t>2</w:t>
      </w:r>
      <w:r w:rsidRPr="00CA27E3">
        <w:rPr>
          <w:rFonts w:ascii="Sylfaen" w:hAnsi="Sylfaen"/>
          <w:sz w:val="24"/>
          <w:szCs w:val="24"/>
        </w:rPr>
        <w:t xml:space="preserve"> + 2,3653 х - 0,2800 կամ у&gt; - 2,3172 х</w:t>
      </w:r>
      <w:r w:rsidRPr="00CA27E3">
        <w:rPr>
          <w:rFonts w:ascii="Sylfaen" w:hAnsi="Sylfaen"/>
          <w:sz w:val="24"/>
          <w:szCs w:val="24"/>
          <w:vertAlign w:val="superscript"/>
        </w:rPr>
        <w:t>2</w:t>
      </w:r>
      <w:r w:rsidRPr="00CA27E3">
        <w:rPr>
          <w:rFonts w:ascii="Sylfaen" w:hAnsi="Sylfaen"/>
          <w:sz w:val="24"/>
          <w:szCs w:val="24"/>
        </w:rPr>
        <w:t xml:space="preserve"> + 2,3653 х - 0,1000,</w:t>
      </w:r>
    </w:p>
    <w:p w14:paraId="7F7CD99A" w14:textId="77777777" w:rsidR="00CA27E3" w:rsidRPr="00CA27E3" w:rsidRDefault="00CA27E3" w:rsidP="007B461B">
      <w:pPr>
        <w:pStyle w:val="a0"/>
        <w:shd w:val="clear" w:color="auto" w:fill="auto"/>
        <w:tabs>
          <w:tab w:val="left" w:pos="1134"/>
        </w:tabs>
        <w:spacing w:after="160" w:line="343" w:lineRule="auto"/>
        <w:ind w:firstLine="567"/>
        <w:jc w:val="both"/>
        <w:rPr>
          <w:rFonts w:ascii="Sylfaen" w:hAnsi="Sylfaen" w:cs="Sylfaen"/>
          <w:sz w:val="24"/>
          <w:szCs w:val="24"/>
        </w:rPr>
      </w:pPr>
      <w:r w:rsidRPr="00CA27E3">
        <w:rPr>
          <w:rFonts w:ascii="Sylfaen" w:hAnsi="Sylfaen"/>
          <w:sz w:val="24"/>
          <w:szCs w:val="24"/>
        </w:rPr>
        <w:t>բ)</w:t>
      </w:r>
      <w:r w:rsidR="005503F1" w:rsidRPr="005503F1">
        <w:rPr>
          <w:rFonts w:ascii="Sylfaen" w:hAnsi="Sylfaen"/>
          <w:sz w:val="24"/>
          <w:szCs w:val="24"/>
        </w:rPr>
        <w:tab/>
      </w:r>
      <w:r w:rsidRPr="00CA27E3">
        <w:rPr>
          <w:rFonts w:ascii="Sylfaen" w:hAnsi="Sylfaen"/>
          <w:sz w:val="24"/>
          <w:szCs w:val="24"/>
        </w:rPr>
        <w:t xml:space="preserve">ուղղորդված լուսաճառագայթմամբ լամպերի, </w:t>
      </w:r>
    </w:p>
    <w:p w14:paraId="73B4D61D" w14:textId="77777777" w:rsidR="00CA27E3" w:rsidRPr="00CA27E3" w:rsidRDefault="00CA27E3" w:rsidP="007B461B">
      <w:pPr>
        <w:pStyle w:val="a0"/>
        <w:shd w:val="clear" w:color="auto" w:fill="auto"/>
        <w:tabs>
          <w:tab w:val="left" w:pos="1134"/>
        </w:tabs>
        <w:spacing w:after="160" w:line="343" w:lineRule="auto"/>
        <w:ind w:firstLine="567"/>
        <w:jc w:val="both"/>
        <w:rPr>
          <w:rFonts w:ascii="Sylfaen" w:hAnsi="Sylfaen" w:cs="Sylfaen"/>
          <w:sz w:val="24"/>
          <w:szCs w:val="24"/>
        </w:rPr>
      </w:pPr>
      <w:r w:rsidRPr="00CA27E3">
        <w:rPr>
          <w:rFonts w:ascii="Sylfaen" w:hAnsi="Sylfaen"/>
          <w:sz w:val="24"/>
          <w:szCs w:val="24"/>
        </w:rPr>
        <w:t>գ)</w:t>
      </w:r>
      <w:r w:rsidR="005503F1" w:rsidRPr="005503F1">
        <w:rPr>
          <w:rFonts w:ascii="Sylfaen" w:hAnsi="Sylfaen"/>
          <w:sz w:val="24"/>
          <w:szCs w:val="24"/>
        </w:rPr>
        <w:tab/>
      </w:r>
      <w:r w:rsidRPr="00CA27E3">
        <w:rPr>
          <w:rFonts w:ascii="Sylfaen" w:hAnsi="Sylfaen"/>
          <w:sz w:val="24"/>
          <w:szCs w:val="24"/>
        </w:rPr>
        <w:t>60 լյումենից ցածր կամ 12 000 լյումենից բարձր լուսային հոսքով լամպերի,</w:t>
      </w:r>
    </w:p>
    <w:p w14:paraId="7B870966" w14:textId="77777777" w:rsidR="00CA27E3" w:rsidRPr="00CA27E3" w:rsidRDefault="00CA27E3" w:rsidP="007B461B">
      <w:pPr>
        <w:pStyle w:val="a0"/>
        <w:shd w:val="clear" w:color="auto" w:fill="auto"/>
        <w:tabs>
          <w:tab w:val="left" w:pos="1134"/>
        </w:tabs>
        <w:spacing w:after="160" w:line="343" w:lineRule="auto"/>
        <w:ind w:firstLine="567"/>
        <w:jc w:val="both"/>
        <w:rPr>
          <w:rFonts w:ascii="Sylfaen" w:hAnsi="Sylfaen" w:cs="Sylfaen"/>
          <w:sz w:val="24"/>
          <w:szCs w:val="24"/>
        </w:rPr>
      </w:pPr>
      <w:r w:rsidRPr="00CA27E3">
        <w:rPr>
          <w:rFonts w:ascii="Sylfaen" w:hAnsi="Sylfaen"/>
          <w:sz w:val="24"/>
          <w:szCs w:val="24"/>
        </w:rPr>
        <w:t>դ)</w:t>
      </w:r>
      <w:r w:rsidR="005503F1" w:rsidRPr="00DC5495">
        <w:rPr>
          <w:rFonts w:ascii="Sylfaen" w:hAnsi="Sylfaen"/>
          <w:sz w:val="24"/>
          <w:szCs w:val="24"/>
        </w:rPr>
        <w:tab/>
      </w:r>
      <w:r w:rsidRPr="00CA27E3">
        <w:rPr>
          <w:rFonts w:ascii="Sylfaen" w:hAnsi="Sylfaen"/>
          <w:sz w:val="24"/>
          <w:szCs w:val="24"/>
        </w:rPr>
        <w:t>այն լամպերի, որոնց՝</w:t>
      </w:r>
    </w:p>
    <w:p w14:paraId="0680796E" w14:textId="77777777" w:rsidR="00CA27E3" w:rsidRPr="00CA27E3" w:rsidRDefault="00CA27E3" w:rsidP="007B461B">
      <w:pPr>
        <w:pStyle w:val="a0"/>
        <w:shd w:val="clear" w:color="auto" w:fill="auto"/>
        <w:spacing w:after="160" w:line="343" w:lineRule="auto"/>
        <w:ind w:firstLine="567"/>
        <w:jc w:val="both"/>
        <w:rPr>
          <w:rFonts w:ascii="Sylfaen" w:hAnsi="Sylfaen" w:cs="Sylfaen"/>
          <w:sz w:val="24"/>
          <w:szCs w:val="24"/>
        </w:rPr>
      </w:pPr>
      <w:r w:rsidRPr="00CA27E3">
        <w:rPr>
          <w:rFonts w:ascii="Sylfaen" w:hAnsi="Sylfaen"/>
          <w:sz w:val="24"/>
          <w:szCs w:val="24"/>
        </w:rPr>
        <w:t>250-780 նմ տիրույթում ընդհանուր ճառագայթման առնվազն 6%-ը գտնվում է 250-400 նմ-ի սահմաններում.</w:t>
      </w:r>
    </w:p>
    <w:p w14:paraId="09BF2FA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7B461B">
        <w:rPr>
          <w:rFonts w:ascii="Sylfaen" w:hAnsi="Sylfaen"/>
          <w:spacing w:val="-6"/>
          <w:sz w:val="24"/>
          <w:szCs w:val="24"/>
        </w:rPr>
        <w:lastRenderedPageBreak/>
        <w:t>ճառագայթման գագաթնակետը գտնվում է 315-400 նմ-ի (UVA) կամ 280-315 նմ-ի (UVB) սահմաններում</w:t>
      </w:r>
      <w:r w:rsidRPr="00CA27E3">
        <w:rPr>
          <w:rFonts w:ascii="Sylfaen" w:hAnsi="Sylfaen"/>
          <w:sz w:val="24"/>
          <w:szCs w:val="24"/>
        </w:rPr>
        <w:t xml:space="preserve">. </w:t>
      </w:r>
    </w:p>
    <w:p w14:paraId="0694DAF7" w14:textId="77777777" w:rsidR="00CA27E3" w:rsidRPr="00CA27E3" w:rsidRDefault="00CA27E3" w:rsidP="005503F1">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5503F1" w:rsidRPr="005503F1">
        <w:rPr>
          <w:rFonts w:ascii="Sylfaen" w:hAnsi="Sylfaen"/>
          <w:sz w:val="24"/>
          <w:szCs w:val="24"/>
        </w:rPr>
        <w:tab/>
      </w:r>
      <w:r w:rsidRPr="00CA27E3">
        <w:rPr>
          <w:rFonts w:ascii="Sylfaen" w:hAnsi="Sylfaen"/>
          <w:sz w:val="24"/>
          <w:szCs w:val="24"/>
        </w:rPr>
        <w:t xml:space="preserve">առանց ներկառուցված ԳԿԱ-ի (գործարկումը կարգավորող ապարատների) լյումինեսցենտային լամպերի, </w:t>
      </w:r>
    </w:p>
    <w:p w14:paraId="17A0E46A" w14:textId="77777777" w:rsidR="00CA27E3" w:rsidRPr="00CA27E3" w:rsidRDefault="00CA27E3" w:rsidP="005503F1">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5503F1" w:rsidRPr="005503F1">
        <w:rPr>
          <w:rFonts w:ascii="Sylfaen" w:hAnsi="Sylfaen"/>
          <w:sz w:val="24"/>
          <w:szCs w:val="24"/>
        </w:rPr>
        <w:tab/>
      </w:r>
      <w:r w:rsidRPr="00CA27E3">
        <w:rPr>
          <w:rFonts w:ascii="Sylfaen" w:hAnsi="Sylfaen"/>
          <w:sz w:val="24"/>
          <w:szCs w:val="24"/>
        </w:rPr>
        <w:t>բարձր ճնշման գազապարպումային լամպերի,</w:t>
      </w:r>
    </w:p>
    <w:p w14:paraId="12677035" w14:textId="77777777" w:rsidR="00CA27E3" w:rsidRPr="00CA27E3" w:rsidRDefault="00CA27E3" w:rsidP="005503F1">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է)</w:t>
      </w:r>
      <w:r w:rsidR="005503F1" w:rsidRPr="005503F1">
        <w:rPr>
          <w:rFonts w:ascii="Sylfaen" w:hAnsi="Sylfaen"/>
          <w:sz w:val="24"/>
          <w:szCs w:val="24"/>
        </w:rPr>
        <w:tab/>
      </w:r>
      <w:r w:rsidRPr="00CA27E3">
        <w:rPr>
          <w:rFonts w:ascii="Sylfaen" w:hAnsi="Sylfaen"/>
          <w:sz w:val="24"/>
          <w:szCs w:val="24"/>
        </w:rPr>
        <w:t>60 Վ կամ պակաս աշխատանքային լարման համար E14/E27/B22/B15 լամպակոթով՝ առանց ներկառուցված տրանսֆորմատորի շիկացման լամպերի.</w:t>
      </w:r>
    </w:p>
    <w:p w14:paraId="25484F7D" w14:textId="77777777" w:rsidR="00CA27E3" w:rsidRPr="005503F1" w:rsidRDefault="00CA27E3" w:rsidP="005503F1">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ը)</w:t>
      </w:r>
      <w:r w:rsidR="005503F1" w:rsidRPr="005503F1">
        <w:rPr>
          <w:rFonts w:ascii="Sylfaen" w:hAnsi="Sylfaen"/>
          <w:sz w:val="24"/>
          <w:szCs w:val="24"/>
        </w:rPr>
        <w:tab/>
      </w:r>
      <w:r w:rsidRPr="00CA27E3">
        <w:rPr>
          <w:rFonts w:ascii="Sylfaen" w:hAnsi="Sylfaen"/>
          <w:sz w:val="24"/>
          <w:szCs w:val="24"/>
        </w:rPr>
        <w:t>հատուկ նշանակության, առանց լամպակոթի լամպերի, լամպաշարերի, մեխանիկապես ամուր լամպերի, կիզակետող լամպակոթով լամպերի, հաջորդական միացման լամպերի, դեկորատիվ լամպերի, լուսուղղորդ լամպերի, գերմանրաչափ լամպերի, մանրաչափ լամպերի, փոքր գաբարիտի լամպերի, միջին գաբարիտի լամպերի, խոշոր գաբարիտի լամպերի, երկլամպակոթ մանրաչափ լամպերի, հայելային անդրադարձիչով՝ պրոյեկտորի լամպերի, իմպուլսային լամպերի, խառը լույսի լամպերի, ցերեկային լույսի լամպերի, Մուրի լամպերի, մանրէասպան լամպերի, կետային լամպերի, ուլտրամանուշակագույն լամպերի, ժապավենային լամպերի, էլեկտրալյումինեսցենտային լամպերի, ինֆրակարմիր լամպերի, սպեկտրային լամպերի, կենցաղային սարքերի</w:t>
      </w:r>
      <w:r>
        <w:rPr>
          <w:rFonts w:ascii="Sylfaen" w:hAnsi="Sylfaen"/>
          <w:sz w:val="24"/>
          <w:szCs w:val="24"/>
        </w:rPr>
        <w:t xml:space="preserve"> </w:t>
      </w:r>
      <w:r w:rsidRPr="00CA27E3">
        <w:rPr>
          <w:rFonts w:ascii="Sylfaen" w:hAnsi="Sylfaen"/>
          <w:sz w:val="24"/>
          <w:szCs w:val="24"/>
        </w:rPr>
        <w:t xml:space="preserve">(սառնարանների, վառարանների </w:t>
      </w:r>
      <w:r>
        <w:rPr>
          <w:rFonts w:ascii="Sylfaen" w:hAnsi="Sylfaen"/>
          <w:sz w:val="24"/>
          <w:szCs w:val="24"/>
        </w:rPr>
        <w:t>եւ</w:t>
      </w:r>
      <w:r w:rsidRPr="00CA27E3">
        <w:rPr>
          <w:rFonts w:ascii="Sylfaen" w:hAnsi="Sylfaen"/>
          <w:sz w:val="24"/>
          <w:szCs w:val="24"/>
        </w:rPr>
        <w:t xml:space="preserve"> այլն) համար լամպերի։</w:t>
      </w:r>
    </w:p>
    <w:p w14:paraId="621E24A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էլեկտրական լամպերի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էլեկտրական լամպերը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39712E5A" w14:textId="77777777" w:rsidR="007B461B" w:rsidRDefault="007B461B">
      <w:pPr>
        <w:rPr>
          <w:rFonts w:ascii="Sylfaen" w:eastAsia="Times New Roman" w:hAnsi="Sylfaen" w:cs="Sylfaen"/>
          <w:color w:val="auto"/>
        </w:rPr>
      </w:pPr>
      <w:r>
        <w:rPr>
          <w:rFonts w:ascii="Sylfaen" w:hAnsi="Sylfaen" w:cs="Sylfaen"/>
        </w:rPr>
        <w:br w:type="page"/>
      </w:r>
    </w:p>
    <w:p w14:paraId="460C0D0F"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lastRenderedPageBreak/>
        <w:t>II. Հիմնական հասկացությունները</w:t>
      </w:r>
    </w:p>
    <w:p w14:paraId="575DD489" w14:textId="77777777" w:rsidR="00CA27E3" w:rsidRPr="00CA27E3" w:rsidRDefault="00CA27E3" w:rsidP="005503F1">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5503F1" w:rsidRPr="005503F1">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45AF6EAD"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սնուցման բլոկ</w:t>
      </w:r>
      <w:r w:rsidR="00CA27E3" w:rsidRPr="005503F1">
        <w:rPr>
          <w:rFonts w:ascii="Sylfaen" w:hAnsi="Sylfaen"/>
          <w:b/>
          <w:sz w:val="24"/>
          <w:szCs w:val="24"/>
        </w:rPr>
        <w:t>՝</w:t>
      </w:r>
      <w:r w:rsidR="00CA27E3" w:rsidRPr="00CA27E3">
        <w:rPr>
          <w:rFonts w:ascii="Sylfaen" w:hAnsi="Sylfaen"/>
          <w:sz w:val="24"/>
          <w:szCs w:val="24"/>
        </w:rPr>
        <w:t xml:space="preserve"> սարքվածք, որը նախատեսված է փոփոխական հոսանքի սնուցող ցանցի լարումը հաստատուն հոսանքի լարման կամ փոփոխական հոսանքի այլ լարման կերպափոխելու համար.</w:t>
      </w:r>
      <w:r w:rsidR="00CA27E3">
        <w:rPr>
          <w:rFonts w:ascii="Sylfaen" w:hAnsi="Sylfaen"/>
          <w:sz w:val="24"/>
          <w:szCs w:val="24"/>
        </w:rPr>
        <w:t xml:space="preserve"> </w:t>
      </w:r>
    </w:p>
    <w:p w14:paraId="7635B3B1"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կենցաղային նշանակության լամպ</w:t>
      </w:r>
      <w:r w:rsidR="00CA27E3" w:rsidRPr="005503F1">
        <w:rPr>
          <w:rFonts w:ascii="Sylfaen" w:hAnsi="Sylfaen"/>
          <w:b/>
          <w:sz w:val="24"/>
          <w:szCs w:val="24"/>
        </w:rPr>
        <w:t>՝</w:t>
      </w:r>
      <w:r w:rsidR="00CA27E3" w:rsidRPr="00CA27E3">
        <w:rPr>
          <w:rFonts w:ascii="Sylfaen" w:hAnsi="Sylfaen"/>
          <w:sz w:val="24"/>
          <w:szCs w:val="24"/>
        </w:rPr>
        <w:t xml:space="preserve"> լամպ, որը նախատեսված է կենցաղում տարածքի լուսավորման համար </w:t>
      </w:r>
      <w:r w:rsidR="00CA27E3">
        <w:rPr>
          <w:rFonts w:ascii="Sylfaen" w:hAnsi="Sylfaen"/>
          <w:sz w:val="24"/>
          <w:szCs w:val="24"/>
        </w:rPr>
        <w:t>եւ</w:t>
      </w:r>
      <w:r w:rsidR="00CA27E3" w:rsidRPr="00CA27E3">
        <w:rPr>
          <w:rFonts w:ascii="Sylfaen" w:hAnsi="Sylfaen"/>
          <w:sz w:val="24"/>
          <w:szCs w:val="24"/>
        </w:rPr>
        <w:t xml:space="preserve"> հատուկ նշանակության լամպ չէ. </w:t>
      </w:r>
    </w:p>
    <w:p w14:paraId="053B8D22"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լամպի արտաքին թաղանթ</w:t>
      </w:r>
      <w:r w:rsidR="00CA27E3" w:rsidRPr="005503F1">
        <w:rPr>
          <w:rFonts w:ascii="Sylfaen" w:hAnsi="Sylfaen"/>
          <w:b/>
          <w:sz w:val="24"/>
          <w:szCs w:val="24"/>
        </w:rPr>
        <w:t>՝</w:t>
      </w:r>
      <w:r w:rsidR="00CA27E3" w:rsidRPr="00CA27E3">
        <w:rPr>
          <w:rFonts w:ascii="Sylfaen" w:hAnsi="Sylfaen"/>
          <w:sz w:val="24"/>
          <w:szCs w:val="24"/>
        </w:rPr>
        <w:t xml:space="preserve"> լամպի երկրորդ (արտաքին) թաղանթը, որը անհրաժեշտ չէ լույսի առաջացման համար (օրինակ՝ արտաքին լամպանոթը, որը պետք է ապահովի այրիչի աշխատանքի օպտիմալ պայմանները, խոչընդոտի ուլտրամանուշակագույն ճառագայթման ելքը) </w:t>
      </w:r>
      <w:r w:rsidR="00CA27E3">
        <w:rPr>
          <w:rFonts w:ascii="Sylfaen" w:hAnsi="Sylfaen"/>
          <w:sz w:val="24"/>
          <w:szCs w:val="24"/>
        </w:rPr>
        <w:t>եւ</w:t>
      </w:r>
      <w:r w:rsidR="00CA27E3" w:rsidRPr="00CA27E3">
        <w:rPr>
          <w:rFonts w:ascii="Sylfaen" w:hAnsi="Sylfaen"/>
          <w:sz w:val="24"/>
          <w:szCs w:val="24"/>
        </w:rPr>
        <w:t xml:space="preserve"> (կամ) ցրի լույսը </w:t>
      </w:r>
      <w:r w:rsidR="00CA27E3">
        <w:rPr>
          <w:rFonts w:ascii="Sylfaen" w:hAnsi="Sylfaen"/>
          <w:sz w:val="24"/>
          <w:szCs w:val="24"/>
        </w:rPr>
        <w:t>եւ</w:t>
      </w:r>
      <w:r w:rsidR="00CA27E3" w:rsidRPr="00CA27E3">
        <w:rPr>
          <w:rFonts w:ascii="Sylfaen" w:hAnsi="Sylfaen"/>
          <w:sz w:val="24"/>
          <w:szCs w:val="24"/>
        </w:rPr>
        <w:t xml:space="preserve"> կանխի այրիչի կոտրվելու դեպքում սնդիկի </w:t>
      </w:r>
      <w:r w:rsidR="00CA27E3">
        <w:rPr>
          <w:rFonts w:ascii="Sylfaen" w:hAnsi="Sylfaen"/>
          <w:sz w:val="24"/>
          <w:szCs w:val="24"/>
        </w:rPr>
        <w:t>եւ</w:t>
      </w:r>
      <w:r w:rsidR="00CA27E3" w:rsidRPr="00CA27E3">
        <w:rPr>
          <w:rFonts w:ascii="Sylfaen" w:hAnsi="Sylfaen"/>
          <w:sz w:val="24"/>
          <w:szCs w:val="24"/>
        </w:rPr>
        <w:t xml:space="preserve"> ապակու հայտնվելը շրջակա միջավայր). </w:t>
      </w:r>
    </w:p>
    <w:p w14:paraId="58A2005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վո</w:t>
      </w:r>
      <w:r w:rsidR="005503F1" w:rsidRPr="005503F1">
        <w:rPr>
          <w:rFonts w:ascii="Sylfaen" w:hAnsi="Sylfaen"/>
          <w:b/>
          <w:sz w:val="24"/>
          <w:szCs w:val="24"/>
        </w:rPr>
        <w:t>լֆրամային հալոգեն շիկացման լամպ</w:t>
      </w:r>
      <w:r w:rsidRPr="005503F1">
        <w:rPr>
          <w:rFonts w:ascii="Sylfaen" w:hAnsi="Sylfaen"/>
          <w:b/>
          <w:sz w:val="24"/>
          <w:szCs w:val="24"/>
        </w:rPr>
        <w:t>՝</w:t>
      </w:r>
      <w:r w:rsidRPr="00CA27E3">
        <w:rPr>
          <w:rFonts w:ascii="Sylfaen" w:hAnsi="Sylfaen"/>
          <w:sz w:val="24"/>
          <w:szCs w:val="24"/>
        </w:rPr>
        <w:t xml:space="preserve"> շիկացման լամպ, որի շիկացման թելը կազմված է վոլֆրամից </w:t>
      </w:r>
      <w:r>
        <w:rPr>
          <w:rFonts w:ascii="Sylfaen" w:hAnsi="Sylfaen"/>
          <w:sz w:val="24"/>
          <w:szCs w:val="24"/>
        </w:rPr>
        <w:t>եւ</w:t>
      </w:r>
      <w:r w:rsidRPr="00CA27E3">
        <w:rPr>
          <w:rFonts w:ascii="Sylfaen" w:hAnsi="Sylfaen"/>
          <w:sz w:val="24"/>
          <w:szCs w:val="24"/>
        </w:rPr>
        <w:t xml:space="preserve"> շրջապատված է հալոգեններով կամ հալոգենային միացություններով լցված թաղանթով.</w:t>
      </w:r>
      <w:r>
        <w:rPr>
          <w:rFonts w:ascii="Sylfaen" w:hAnsi="Sylfaen"/>
          <w:sz w:val="24"/>
          <w:szCs w:val="24"/>
        </w:rPr>
        <w:t xml:space="preserve"> </w:t>
      </w:r>
    </w:p>
    <w:p w14:paraId="59F39272"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վառքի ժամանակահատված</w:t>
      </w:r>
      <w:r w:rsidR="00CA27E3" w:rsidRPr="005503F1">
        <w:rPr>
          <w:rFonts w:ascii="Sylfaen" w:hAnsi="Sylfaen"/>
          <w:b/>
          <w:sz w:val="24"/>
          <w:szCs w:val="24"/>
        </w:rPr>
        <w:t>՝</w:t>
      </w:r>
      <w:r w:rsidR="00CA27E3" w:rsidRPr="00CA27E3">
        <w:rPr>
          <w:rFonts w:ascii="Sylfaen" w:hAnsi="Sylfaen"/>
          <w:sz w:val="24"/>
          <w:szCs w:val="24"/>
        </w:rPr>
        <w:t xml:space="preserve"> լամպը ցանցին միացնելուց հետո դրա լրիվ վառման </w:t>
      </w:r>
      <w:r w:rsidR="00CA27E3">
        <w:rPr>
          <w:rFonts w:ascii="Sylfaen" w:hAnsi="Sylfaen"/>
          <w:sz w:val="24"/>
          <w:szCs w:val="24"/>
        </w:rPr>
        <w:t xml:space="preserve">եւ </w:t>
      </w:r>
      <w:r w:rsidR="00CA27E3" w:rsidRPr="00CA27E3">
        <w:rPr>
          <w:rFonts w:ascii="Sylfaen" w:hAnsi="Sylfaen"/>
          <w:sz w:val="24"/>
          <w:szCs w:val="24"/>
        </w:rPr>
        <w:t xml:space="preserve">վառված մնալու համար անհրաժեշտ ժամանակահատվածը. </w:t>
      </w:r>
    </w:p>
    <w:p w14:paraId="704609E2" w14:textId="77777777" w:rsidR="00CA27E3" w:rsidRPr="005503F1"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բռնկման ժամանակահատված</w:t>
      </w:r>
      <w:r w:rsidR="00CA27E3" w:rsidRPr="005503F1">
        <w:rPr>
          <w:rFonts w:ascii="Sylfaen" w:hAnsi="Sylfaen"/>
          <w:b/>
          <w:sz w:val="24"/>
          <w:szCs w:val="24"/>
        </w:rPr>
        <w:t>՝</w:t>
      </w:r>
      <w:r w:rsidR="00CA27E3" w:rsidRPr="00CA27E3">
        <w:rPr>
          <w:rFonts w:ascii="Sylfaen" w:hAnsi="Sylfaen"/>
          <w:sz w:val="24"/>
          <w:szCs w:val="24"/>
        </w:rPr>
        <w:t xml:space="preserve"> ժամանակահատված, որի ընթացքում լամպը ցանցին միացնելուց հետո անվանական լուսային հոսքը հասնում է 60%-ի.</w:t>
      </w:r>
      <w:r w:rsidR="00CA27E3">
        <w:rPr>
          <w:rFonts w:ascii="Sylfaen" w:hAnsi="Sylfaen"/>
          <w:sz w:val="24"/>
          <w:szCs w:val="24"/>
        </w:rPr>
        <w:t xml:space="preserve"> </w:t>
      </w:r>
    </w:p>
    <w:p w14:paraId="49F62793"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գազապարպումային լամպ</w:t>
      </w:r>
      <w:r w:rsidR="00CA27E3" w:rsidRPr="005503F1">
        <w:rPr>
          <w:rFonts w:ascii="Sylfaen" w:hAnsi="Sylfaen"/>
          <w:b/>
          <w:sz w:val="24"/>
          <w:szCs w:val="24"/>
        </w:rPr>
        <w:t>՝</w:t>
      </w:r>
      <w:r w:rsidR="00CA27E3" w:rsidRPr="00CA27E3">
        <w:rPr>
          <w:rFonts w:ascii="Sylfaen" w:hAnsi="Sylfaen"/>
          <w:sz w:val="24"/>
          <w:szCs w:val="24"/>
        </w:rPr>
        <w:t xml:space="preserve"> պարպումային լամպ, որում օպտիկական ճառագայթումն առաջանում է գազի մեջ էլեկտրական պարպման արդյունքում.</w:t>
      </w:r>
    </w:p>
    <w:p w14:paraId="035911A4" w14:textId="77777777" w:rsidR="00CA27E3" w:rsidRPr="005503F1" w:rsidRDefault="00CA27E3"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բա</w:t>
      </w:r>
      <w:r w:rsidR="005503F1" w:rsidRPr="005503F1">
        <w:rPr>
          <w:rFonts w:ascii="Sylfaen" w:hAnsi="Sylfaen"/>
          <w:b/>
          <w:sz w:val="24"/>
          <w:szCs w:val="24"/>
        </w:rPr>
        <w:t>րձր ճնշման գազապարպումային լամպ</w:t>
      </w:r>
      <w:r w:rsidRPr="005503F1">
        <w:rPr>
          <w:rFonts w:ascii="Sylfaen" w:hAnsi="Sylfaen"/>
          <w:b/>
          <w:sz w:val="24"/>
          <w:szCs w:val="24"/>
        </w:rPr>
        <w:t>՝</w:t>
      </w:r>
      <w:r w:rsidRPr="00CA27E3">
        <w:rPr>
          <w:rFonts w:ascii="Sylfaen" w:hAnsi="Sylfaen"/>
          <w:sz w:val="24"/>
          <w:szCs w:val="24"/>
        </w:rPr>
        <w:t xml:space="preserve"> գազապարպումային լամպ, որում լուսաճառագայթող էլեկտրական աղեղը կայունացվում է այրիչի պատերի ջերմաստիճանով </w:t>
      </w:r>
      <w:r>
        <w:rPr>
          <w:rFonts w:ascii="Sylfaen" w:hAnsi="Sylfaen"/>
          <w:sz w:val="24"/>
          <w:szCs w:val="24"/>
        </w:rPr>
        <w:t>եւ</w:t>
      </w:r>
      <w:r w:rsidRPr="00CA27E3">
        <w:rPr>
          <w:rFonts w:ascii="Sylfaen" w:hAnsi="Sylfaen"/>
          <w:sz w:val="24"/>
          <w:szCs w:val="24"/>
        </w:rPr>
        <w:t xml:space="preserve"> լամպանոթի պատերի վրա ջերմային բեռնվածքը գերազանցում է 3 Վտ/սմ</w:t>
      </w:r>
      <w:r w:rsidRPr="00CA27E3">
        <w:rPr>
          <w:rFonts w:ascii="Sylfaen" w:hAnsi="Sylfaen"/>
          <w:sz w:val="24"/>
          <w:szCs w:val="24"/>
          <w:vertAlign w:val="superscript"/>
        </w:rPr>
        <w:t>2</w:t>
      </w:r>
      <w:r w:rsidRPr="00CA27E3">
        <w:rPr>
          <w:rFonts w:ascii="Sylfaen" w:hAnsi="Sylfaen"/>
          <w:sz w:val="24"/>
          <w:szCs w:val="24"/>
        </w:rPr>
        <w:t>-ին.</w:t>
      </w:r>
      <w:r>
        <w:rPr>
          <w:rFonts w:ascii="Sylfaen" w:hAnsi="Sylfaen"/>
          <w:sz w:val="24"/>
          <w:szCs w:val="24"/>
        </w:rPr>
        <w:t xml:space="preserve"> </w:t>
      </w:r>
    </w:p>
    <w:p w14:paraId="0B066EE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lastRenderedPageBreak/>
        <w:t>գ</w:t>
      </w:r>
      <w:r w:rsidR="005503F1" w:rsidRPr="005503F1">
        <w:rPr>
          <w:rFonts w:ascii="Sylfaen" w:hAnsi="Sylfaen"/>
          <w:b/>
          <w:sz w:val="24"/>
          <w:szCs w:val="24"/>
        </w:rPr>
        <w:t>ունահաղորդման ցուցիչ (Ra)</w:t>
      </w:r>
      <w:r w:rsidRPr="005503F1">
        <w:rPr>
          <w:rFonts w:ascii="Sylfaen" w:hAnsi="Sylfaen"/>
          <w:b/>
          <w:sz w:val="24"/>
          <w:szCs w:val="24"/>
        </w:rPr>
        <w:t>՝</w:t>
      </w:r>
      <w:r w:rsidRPr="00CA27E3">
        <w:rPr>
          <w:rFonts w:ascii="Sylfaen" w:hAnsi="Sylfaen"/>
          <w:sz w:val="24"/>
          <w:szCs w:val="24"/>
        </w:rPr>
        <w:t xml:space="preserve"> դիտարկման որոշակի պայմաններում լույսի հետազննվող </w:t>
      </w:r>
      <w:r>
        <w:rPr>
          <w:rFonts w:ascii="Sylfaen" w:hAnsi="Sylfaen"/>
          <w:sz w:val="24"/>
          <w:szCs w:val="24"/>
        </w:rPr>
        <w:t>եւ</w:t>
      </w:r>
      <w:r w:rsidRPr="00CA27E3">
        <w:rPr>
          <w:rFonts w:ascii="Sylfaen" w:hAnsi="Sylfaen"/>
          <w:sz w:val="24"/>
          <w:szCs w:val="24"/>
        </w:rPr>
        <w:t xml:space="preserve"> ստանդարտ աղբյուրներով լուսավորված գունավոր օբյեկտի տեսողական ընկալումների համապատասխանության չափը. </w:t>
      </w:r>
    </w:p>
    <w:p w14:paraId="10D8B7AF"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կոմպակտ լյումինեսցենտային լամպ</w:t>
      </w:r>
      <w:r w:rsidR="00CA27E3" w:rsidRPr="005503F1">
        <w:rPr>
          <w:rFonts w:ascii="Sylfaen" w:hAnsi="Sylfaen"/>
          <w:b/>
          <w:sz w:val="24"/>
          <w:szCs w:val="24"/>
        </w:rPr>
        <w:t>՝</w:t>
      </w:r>
      <w:r w:rsidR="00CA27E3" w:rsidRPr="00CA27E3">
        <w:rPr>
          <w:rFonts w:ascii="Sylfaen" w:hAnsi="Sylfaen"/>
          <w:sz w:val="24"/>
          <w:szCs w:val="24"/>
        </w:rPr>
        <w:t xml:space="preserve"> լյումինեսցենտային լամպ, որում դրա վառքը </w:t>
      </w:r>
      <w:r w:rsidR="00CA27E3">
        <w:rPr>
          <w:rFonts w:ascii="Sylfaen" w:hAnsi="Sylfaen"/>
          <w:sz w:val="24"/>
          <w:szCs w:val="24"/>
        </w:rPr>
        <w:t>եւ</w:t>
      </w:r>
      <w:r w:rsidR="00CA27E3" w:rsidRPr="00CA27E3">
        <w:rPr>
          <w:rFonts w:ascii="Sylfaen" w:hAnsi="Sylfaen"/>
          <w:sz w:val="24"/>
          <w:szCs w:val="24"/>
        </w:rPr>
        <w:t xml:space="preserve"> կայուն աշխատանքն ապահովվում է լամպակոթի մեջ ներկառուցված՝ գործարկումը կարգավորող ապարատով </w:t>
      </w:r>
      <w:r w:rsidR="00CA27E3">
        <w:rPr>
          <w:rFonts w:ascii="Sylfaen" w:hAnsi="Sylfaen"/>
          <w:sz w:val="24"/>
          <w:szCs w:val="24"/>
        </w:rPr>
        <w:t>եւ</w:t>
      </w:r>
      <w:r w:rsidR="00CA27E3" w:rsidRPr="00CA27E3">
        <w:rPr>
          <w:rFonts w:ascii="Sylfaen" w:hAnsi="Sylfaen"/>
          <w:sz w:val="24"/>
          <w:szCs w:val="24"/>
        </w:rPr>
        <w:t xml:space="preserve"> այլ լրացուցիչ տարրերով.</w:t>
      </w:r>
      <w:r w:rsidR="00CA27E3">
        <w:rPr>
          <w:rFonts w:ascii="Sylfaen" w:hAnsi="Sylfaen"/>
          <w:sz w:val="24"/>
          <w:szCs w:val="24"/>
        </w:rPr>
        <w:t xml:space="preserve"> </w:t>
      </w:r>
    </w:p>
    <w:p w14:paraId="650B7769" w14:textId="77777777" w:rsidR="00CA27E3" w:rsidRPr="005503F1" w:rsidRDefault="00CA27E3"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կորելացվա</w:t>
      </w:r>
      <w:r w:rsidR="005503F1" w:rsidRPr="005503F1">
        <w:rPr>
          <w:rFonts w:ascii="Sylfaen" w:hAnsi="Sylfaen"/>
          <w:b/>
          <w:sz w:val="24"/>
          <w:szCs w:val="24"/>
        </w:rPr>
        <w:t>ծ գունային ջերմաստիճան (Тс [К])</w:t>
      </w:r>
      <w:r w:rsidRPr="005503F1">
        <w:rPr>
          <w:rFonts w:ascii="Sylfaen" w:hAnsi="Sylfaen"/>
          <w:b/>
          <w:sz w:val="24"/>
          <w:szCs w:val="24"/>
        </w:rPr>
        <w:t>՝</w:t>
      </w:r>
      <w:r w:rsidRPr="00CA27E3">
        <w:rPr>
          <w:rFonts w:ascii="Sylfaen" w:hAnsi="Sylfaen"/>
          <w:sz w:val="24"/>
          <w:szCs w:val="24"/>
        </w:rPr>
        <w:t xml:space="preserve"> Պլանկի ճառագայթիչի (ս</w:t>
      </w:r>
      <w:r>
        <w:rPr>
          <w:rFonts w:ascii="Sylfaen" w:hAnsi="Sylfaen"/>
          <w:sz w:val="24"/>
          <w:szCs w:val="24"/>
        </w:rPr>
        <w:t>եւ</w:t>
      </w:r>
      <w:r w:rsidR="005503F1" w:rsidRPr="005503F1">
        <w:rPr>
          <w:rFonts w:ascii="Sylfaen" w:hAnsi="Sylfaen"/>
          <w:sz w:val="24"/>
          <w:szCs w:val="24"/>
        </w:rPr>
        <w:t> </w:t>
      </w:r>
      <w:r w:rsidRPr="00CA27E3">
        <w:rPr>
          <w:rFonts w:ascii="Sylfaen" w:hAnsi="Sylfaen"/>
          <w:sz w:val="24"/>
          <w:szCs w:val="24"/>
        </w:rPr>
        <w:t xml:space="preserve">մարմնի) ջերմաստիճան, որի ընկալվող գույնը ամենամոտն է հիշեցնում այն գույնը, որն ունի տվյալ գրգռիչը նույն պայծառության դեպքում </w:t>
      </w:r>
      <w:r>
        <w:rPr>
          <w:rFonts w:ascii="Sylfaen" w:hAnsi="Sylfaen"/>
          <w:sz w:val="24"/>
          <w:szCs w:val="24"/>
        </w:rPr>
        <w:t>եւ</w:t>
      </w:r>
      <w:r w:rsidRPr="00CA27E3">
        <w:rPr>
          <w:rFonts w:ascii="Sylfaen" w:hAnsi="Sylfaen"/>
          <w:sz w:val="24"/>
          <w:szCs w:val="24"/>
        </w:rPr>
        <w:t xml:space="preserve"> դիտման որոշակի պայմաններում.</w:t>
      </w:r>
      <w:r w:rsidR="005503F1">
        <w:rPr>
          <w:rFonts w:ascii="Sylfaen" w:hAnsi="Sylfaen"/>
          <w:sz w:val="24"/>
          <w:szCs w:val="24"/>
        </w:rPr>
        <w:t xml:space="preserve"> </w:t>
      </w:r>
    </w:p>
    <w:p w14:paraId="03F0D1E3"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հզորության գործակից</w:t>
      </w:r>
      <w:r w:rsidR="00CA27E3" w:rsidRPr="005503F1">
        <w:rPr>
          <w:rFonts w:ascii="Sylfaen" w:hAnsi="Sylfaen"/>
          <w:b/>
          <w:sz w:val="24"/>
          <w:szCs w:val="24"/>
        </w:rPr>
        <w:t xml:space="preserve">՝ </w:t>
      </w:r>
      <w:r w:rsidR="00CA27E3" w:rsidRPr="00CA27E3">
        <w:rPr>
          <w:rFonts w:ascii="Sylfaen" w:hAnsi="Sylfaen"/>
          <w:sz w:val="24"/>
          <w:szCs w:val="24"/>
        </w:rPr>
        <w:t xml:space="preserve">ակտիվ (օգտակար) հզորության </w:t>
      </w:r>
      <w:r w:rsidR="00CA27E3">
        <w:rPr>
          <w:rFonts w:ascii="Sylfaen" w:hAnsi="Sylfaen"/>
          <w:sz w:val="24"/>
          <w:szCs w:val="24"/>
        </w:rPr>
        <w:t>եւ</w:t>
      </w:r>
      <w:r w:rsidR="00CA27E3" w:rsidRPr="00CA27E3">
        <w:rPr>
          <w:rFonts w:ascii="Sylfaen" w:hAnsi="Sylfaen"/>
          <w:sz w:val="24"/>
          <w:szCs w:val="24"/>
        </w:rPr>
        <w:t xml:space="preserve"> լրիվ հզորության հարաբերությունը փոփոխական հոսանքով աշխատանքի պայմաններում. </w:t>
      </w:r>
    </w:p>
    <w:p w14:paraId="48B0A3AB" w14:textId="77777777" w:rsidR="00CA27E3" w:rsidRPr="005503F1" w:rsidRDefault="00CA27E3"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լամպի լուսային հոսքի պահպանման գոր</w:t>
      </w:r>
      <w:r w:rsidR="005503F1" w:rsidRPr="005503F1">
        <w:rPr>
          <w:rFonts w:ascii="Sylfaen" w:hAnsi="Sylfaen"/>
          <w:b/>
          <w:sz w:val="24"/>
          <w:szCs w:val="24"/>
        </w:rPr>
        <w:t>ծակից (LLMF)</w:t>
      </w:r>
      <w:r w:rsidRPr="005503F1">
        <w:rPr>
          <w:rFonts w:ascii="Sylfaen" w:hAnsi="Sylfaen"/>
          <w:b/>
          <w:sz w:val="24"/>
          <w:szCs w:val="24"/>
        </w:rPr>
        <w:t>՝</w:t>
      </w:r>
      <w:r w:rsidRPr="00CA27E3">
        <w:rPr>
          <w:rFonts w:ascii="Sylfaen" w:hAnsi="Sylfaen"/>
          <w:sz w:val="24"/>
          <w:szCs w:val="24"/>
        </w:rPr>
        <w:t xml:space="preserve"> լամպի ծառայության ժամկետի (կենսական ցիկլի) սահմանված պահի դրությամբ այդ լամպի լուսային հոսքի </w:t>
      </w:r>
      <w:r>
        <w:rPr>
          <w:rFonts w:ascii="Sylfaen" w:hAnsi="Sylfaen"/>
          <w:sz w:val="24"/>
          <w:szCs w:val="24"/>
        </w:rPr>
        <w:t>եւ</w:t>
      </w:r>
      <w:r w:rsidRPr="00CA27E3">
        <w:rPr>
          <w:rFonts w:ascii="Sylfaen" w:hAnsi="Sylfaen"/>
          <w:sz w:val="24"/>
          <w:szCs w:val="24"/>
        </w:rPr>
        <w:t xml:space="preserve"> դրա սկզբնական լուսային հոսքի (100 ժամ շահագործումից հետո չափված) հարաբերությունը.</w:t>
      </w:r>
      <w:r>
        <w:rPr>
          <w:rFonts w:ascii="Sylfaen" w:hAnsi="Sylfaen"/>
          <w:sz w:val="24"/>
          <w:szCs w:val="24"/>
        </w:rPr>
        <w:t xml:space="preserve"> </w:t>
      </w:r>
    </w:p>
    <w:p w14:paraId="3B83A56C" w14:textId="77777777" w:rsidR="00CA27E3" w:rsidRPr="005503F1" w:rsidRDefault="00CA27E3"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լամպի ծառ</w:t>
      </w:r>
      <w:r w:rsidR="005503F1" w:rsidRPr="005503F1">
        <w:rPr>
          <w:rFonts w:ascii="Sylfaen" w:hAnsi="Sylfaen"/>
          <w:b/>
          <w:sz w:val="24"/>
          <w:szCs w:val="24"/>
        </w:rPr>
        <w:t>այության ժամկետի գործակից (LSF)</w:t>
      </w:r>
      <w:r w:rsidRPr="005503F1">
        <w:rPr>
          <w:rFonts w:ascii="Sylfaen" w:hAnsi="Sylfaen"/>
          <w:b/>
          <w:sz w:val="24"/>
          <w:szCs w:val="24"/>
        </w:rPr>
        <w:t>`</w:t>
      </w:r>
      <w:r w:rsidRPr="00CA27E3">
        <w:rPr>
          <w:rFonts w:ascii="Sylfaen" w:hAnsi="Sylfaen"/>
          <w:sz w:val="24"/>
          <w:szCs w:val="24"/>
        </w:rPr>
        <w:t xml:space="preserve"> լամպերի ընդհանուր քանակի մեջ՝ որոշակի պայմաններում </w:t>
      </w:r>
      <w:r>
        <w:rPr>
          <w:rFonts w:ascii="Sylfaen" w:hAnsi="Sylfaen"/>
          <w:sz w:val="24"/>
          <w:szCs w:val="24"/>
        </w:rPr>
        <w:t>եւ</w:t>
      </w:r>
      <w:r w:rsidRPr="00CA27E3">
        <w:rPr>
          <w:rFonts w:ascii="Sylfaen" w:hAnsi="Sylfaen"/>
          <w:sz w:val="24"/>
          <w:szCs w:val="24"/>
        </w:rPr>
        <w:t xml:space="preserve"> միացումների (փոխարկումների) որոշակի հաճախության դեպքում տվյալ պահին դեռ աշխատող լամպերի բաժինը.</w:t>
      </w:r>
      <w:r>
        <w:rPr>
          <w:rFonts w:ascii="Sylfaen" w:hAnsi="Sylfaen"/>
          <w:sz w:val="24"/>
          <w:szCs w:val="24"/>
        </w:rPr>
        <w:t xml:space="preserve"> </w:t>
      </w:r>
    </w:p>
    <w:p w14:paraId="446DF2F5"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լամպ</w:t>
      </w:r>
      <w:r w:rsidR="00CA27E3" w:rsidRPr="005503F1">
        <w:rPr>
          <w:rFonts w:ascii="Sylfaen" w:hAnsi="Sylfaen"/>
          <w:b/>
          <w:sz w:val="24"/>
          <w:szCs w:val="24"/>
        </w:rPr>
        <w:t>՝</w:t>
      </w:r>
      <w:r w:rsidR="00CA27E3" w:rsidRPr="00CA27E3">
        <w:rPr>
          <w:rFonts w:ascii="Sylfaen" w:hAnsi="Sylfaen"/>
          <w:sz w:val="24"/>
          <w:szCs w:val="24"/>
        </w:rPr>
        <w:t xml:space="preserve"> օպտիկական ճառագայթման աղբյուր, որն ստեղծվում է էլեկտրական էներգիայի կերպափոխման արդյունքում. </w:t>
      </w:r>
    </w:p>
    <w:p w14:paraId="490E68DC" w14:textId="77777777" w:rsidR="00CA27E3" w:rsidRPr="005503F1"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շիկացման լամպ</w:t>
      </w:r>
      <w:r w:rsidR="00CA27E3" w:rsidRPr="005503F1">
        <w:rPr>
          <w:rFonts w:ascii="Sylfaen" w:hAnsi="Sylfaen"/>
          <w:b/>
          <w:sz w:val="24"/>
          <w:szCs w:val="24"/>
        </w:rPr>
        <w:t>՝</w:t>
      </w:r>
      <w:r w:rsidR="00CA27E3" w:rsidRPr="00CA27E3">
        <w:rPr>
          <w:rFonts w:ascii="Sylfaen" w:hAnsi="Sylfaen"/>
          <w:sz w:val="24"/>
          <w:szCs w:val="24"/>
        </w:rPr>
        <w:t xml:space="preserve"> հերմետիկ լամպանոթով լամպ, որում լույսն արձակվում է շիկացման մարմնի (թելի) միջոցով` դրա միջով վակուումում կամ իներտ գազի միջավայրում էլեկտրական հոսանքի անցման դեպքում.</w:t>
      </w:r>
      <w:r>
        <w:rPr>
          <w:rFonts w:ascii="Sylfaen" w:hAnsi="Sylfaen"/>
          <w:sz w:val="24"/>
          <w:szCs w:val="24"/>
        </w:rPr>
        <w:t xml:space="preserve"> </w:t>
      </w:r>
    </w:p>
    <w:p w14:paraId="48D9A12E"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ուղղորդված լույսի լամպ</w:t>
      </w:r>
      <w:r w:rsidR="00CA27E3" w:rsidRPr="005503F1">
        <w:rPr>
          <w:rFonts w:ascii="Sylfaen" w:hAnsi="Sylfaen"/>
          <w:b/>
          <w:sz w:val="24"/>
          <w:szCs w:val="24"/>
        </w:rPr>
        <w:t>՝</w:t>
      </w:r>
      <w:r w:rsidR="00CA27E3" w:rsidRPr="00CA27E3">
        <w:rPr>
          <w:rFonts w:ascii="Sylfaen" w:hAnsi="Sylfaen"/>
          <w:sz w:val="24"/>
          <w:szCs w:val="24"/>
        </w:rPr>
        <w:t xml:space="preserve"> լամպ, որն իր լուսային հոսքի առնվազն 80%-ը ճառագայթում է</w:t>
      </w:r>
      <w:r w:rsidR="00CA27E3">
        <w:rPr>
          <w:rFonts w:ascii="Sylfaen" w:hAnsi="Sylfaen"/>
          <w:sz w:val="24"/>
          <w:szCs w:val="24"/>
        </w:rPr>
        <w:t xml:space="preserve"> </w:t>
      </w:r>
      <w:r w:rsidR="00CA27E3" w:rsidRPr="00CA27E3">
        <w:rPr>
          <w:rFonts w:ascii="Sylfaen" w:hAnsi="Sylfaen"/>
          <w:sz w:val="24"/>
          <w:szCs w:val="24"/>
        </w:rPr>
        <w:t xml:space="preserve">3.14 ստեռադիան մարմնային անկյան սահմաններում (համապատասխանում է 120º գագաթի դեպքում անկյան կոնին). </w:t>
      </w:r>
    </w:p>
    <w:p w14:paraId="600932B5"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lastRenderedPageBreak/>
        <w:t>չուղղորդված լույսի լամպ</w:t>
      </w:r>
      <w:r w:rsidR="00CA27E3" w:rsidRPr="005503F1">
        <w:rPr>
          <w:rFonts w:ascii="Sylfaen" w:hAnsi="Sylfaen"/>
          <w:b/>
          <w:sz w:val="24"/>
          <w:szCs w:val="24"/>
        </w:rPr>
        <w:t>՝</w:t>
      </w:r>
      <w:r w:rsidR="00CA27E3" w:rsidRPr="00CA27E3">
        <w:rPr>
          <w:rFonts w:ascii="Sylfaen" w:hAnsi="Sylfaen"/>
          <w:sz w:val="24"/>
          <w:szCs w:val="24"/>
        </w:rPr>
        <w:t xml:space="preserve"> լամպ, որն ուղղորդված լույսի լամպ չէ.</w:t>
      </w:r>
    </w:p>
    <w:p w14:paraId="5BEB3127" w14:textId="77777777" w:rsidR="00CA27E3" w:rsidRPr="00CA27E3"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անթափանց լամպանոթով լամպ</w:t>
      </w:r>
      <w:r w:rsidR="00CA27E3" w:rsidRPr="005503F1">
        <w:rPr>
          <w:rFonts w:ascii="Sylfaen" w:hAnsi="Sylfaen"/>
          <w:b/>
          <w:sz w:val="24"/>
          <w:szCs w:val="24"/>
        </w:rPr>
        <w:t>՝</w:t>
      </w:r>
      <w:r w:rsidR="00CA27E3">
        <w:rPr>
          <w:rFonts w:ascii="Sylfaen" w:hAnsi="Sylfaen"/>
          <w:sz w:val="24"/>
          <w:szCs w:val="24"/>
        </w:rPr>
        <w:t xml:space="preserve"> </w:t>
      </w:r>
      <w:r w:rsidR="00CA27E3" w:rsidRPr="00CA27E3">
        <w:rPr>
          <w:rFonts w:ascii="Sylfaen" w:hAnsi="Sylfaen"/>
          <w:sz w:val="24"/>
          <w:szCs w:val="24"/>
        </w:rPr>
        <w:t xml:space="preserve">թափանցիկ լամպանոթով լամպերի, այդ թվում՝ կոմպակտ լյումինեսցենտային լամպերի չափորոշիչներին չհամապատասխանող լամպ». </w:t>
      </w:r>
    </w:p>
    <w:p w14:paraId="68C9987B" w14:textId="77777777" w:rsidR="00CA27E3" w:rsidRPr="009049EF" w:rsidRDefault="005503F1" w:rsidP="00CA27E3">
      <w:pPr>
        <w:pStyle w:val="a0"/>
        <w:shd w:val="clear" w:color="auto" w:fill="auto"/>
        <w:spacing w:after="160"/>
        <w:ind w:firstLine="567"/>
        <w:jc w:val="both"/>
        <w:rPr>
          <w:rFonts w:ascii="Sylfaen" w:hAnsi="Sylfaen" w:cs="Sylfaen"/>
          <w:sz w:val="24"/>
          <w:szCs w:val="24"/>
        </w:rPr>
      </w:pPr>
      <w:r w:rsidRPr="005503F1">
        <w:rPr>
          <w:rFonts w:ascii="Sylfaen" w:hAnsi="Sylfaen"/>
          <w:b/>
          <w:sz w:val="24"/>
          <w:szCs w:val="24"/>
        </w:rPr>
        <w:t>թափանցիկ լամպանոթով լամպ</w:t>
      </w:r>
      <w:r w:rsidR="00CA27E3" w:rsidRPr="005503F1">
        <w:rPr>
          <w:rFonts w:ascii="Sylfaen" w:hAnsi="Sylfaen"/>
          <w:b/>
          <w:sz w:val="24"/>
          <w:szCs w:val="24"/>
        </w:rPr>
        <w:t>՝</w:t>
      </w:r>
      <w:r w:rsidR="00CA27E3" w:rsidRPr="00CA27E3">
        <w:rPr>
          <w:rFonts w:ascii="Sylfaen" w:hAnsi="Sylfaen"/>
          <w:sz w:val="24"/>
          <w:szCs w:val="24"/>
        </w:rPr>
        <w:t xml:space="preserve"> լամպ (բացառությամբ կոմպակտ լյումինեսցենտային լամպերի), որի պայծառությունը 2 000 լմ-ից պակաս լուսային հոսքի դեպքում գերազանցում է 25 000 կդ/մ</w:t>
      </w:r>
      <w:r w:rsidR="00CA27E3" w:rsidRPr="00CA27E3">
        <w:rPr>
          <w:rFonts w:ascii="Sylfaen" w:hAnsi="Sylfaen"/>
          <w:sz w:val="24"/>
          <w:szCs w:val="24"/>
          <w:vertAlign w:val="superscript"/>
        </w:rPr>
        <w:t>2</w:t>
      </w:r>
      <w:r w:rsidR="00CA27E3" w:rsidRPr="00CA27E3">
        <w:rPr>
          <w:rFonts w:ascii="Sylfaen" w:hAnsi="Sylfaen"/>
          <w:sz w:val="24"/>
          <w:szCs w:val="24"/>
        </w:rPr>
        <w:t>-ը, իսկ ավելի բարձր լուսային հոսքի դեպքում գերազանցում է 100 000 կդ/մ</w:t>
      </w:r>
      <w:r w:rsidR="00CA27E3" w:rsidRPr="00CA27E3">
        <w:rPr>
          <w:rFonts w:ascii="Sylfaen" w:hAnsi="Sylfaen"/>
          <w:sz w:val="24"/>
          <w:szCs w:val="24"/>
          <w:vertAlign w:val="superscript"/>
        </w:rPr>
        <w:t>2</w:t>
      </w:r>
      <w:r w:rsidR="00CA27E3" w:rsidRPr="00CA27E3">
        <w:rPr>
          <w:rFonts w:ascii="Sylfaen" w:hAnsi="Sylfaen"/>
          <w:sz w:val="24"/>
          <w:szCs w:val="24"/>
        </w:rPr>
        <w:t>-ը, որի լամպանոթը թափանցիկ է, իսկ շիկացման թելը, լուսարձակող դիոդը կամ գազապարպման խողովակը հստակ տեսանելի են.</w:t>
      </w:r>
      <w:r w:rsidR="00CA27E3">
        <w:rPr>
          <w:rFonts w:ascii="Sylfaen" w:hAnsi="Sylfaen"/>
          <w:sz w:val="24"/>
          <w:szCs w:val="24"/>
        </w:rPr>
        <w:t xml:space="preserve"> </w:t>
      </w:r>
    </w:p>
    <w:p w14:paraId="18EB956E"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լյումինեսցենտային լամպ</w:t>
      </w:r>
      <w:r w:rsidR="00CA27E3" w:rsidRPr="009049EF">
        <w:rPr>
          <w:rFonts w:ascii="Sylfaen" w:hAnsi="Sylfaen"/>
          <w:b/>
          <w:sz w:val="24"/>
          <w:szCs w:val="24"/>
        </w:rPr>
        <w:t>՝</w:t>
      </w:r>
      <w:r w:rsidR="00CA27E3" w:rsidRPr="00CA27E3">
        <w:rPr>
          <w:rFonts w:ascii="Sylfaen" w:hAnsi="Sylfaen"/>
          <w:sz w:val="24"/>
          <w:szCs w:val="24"/>
        </w:rPr>
        <w:t xml:space="preserve"> ցածր ճնշման սնդիկային լամպ, որում լույս են ճառագայթում էլեկտրական պարպումով ուլտրամանուշակագույն ճառագայթումով գրգռվող լուսակրի մեկ կամ մի քանի շերտեր։</w:t>
      </w:r>
      <w:r w:rsidR="00CA27E3">
        <w:rPr>
          <w:rFonts w:ascii="Sylfaen" w:hAnsi="Sylfaen"/>
          <w:sz w:val="24"/>
          <w:szCs w:val="24"/>
        </w:rPr>
        <w:t xml:space="preserve"> </w:t>
      </w:r>
      <w:r w:rsidR="00CA27E3" w:rsidRPr="00CA27E3">
        <w:rPr>
          <w:rFonts w:ascii="Sylfaen" w:hAnsi="Sylfaen"/>
          <w:sz w:val="24"/>
          <w:szCs w:val="24"/>
        </w:rPr>
        <w:t>Լյումինեսցենտային լամպերը մատակարարվում են գործարկումը կարգավորող ներկառուցված ապարատով կամ առանց դրա.</w:t>
      </w:r>
      <w:r w:rsidR="00CA27E3">
        <w:rPr>
          <w:rFonts w:ascii="Sylfaen" w:hAnsi="Sylfaen"/>
          <w:sz w:val="24"/>
          <w:szCs w:val="24"/>
        </w:rPr>
        <w:t xml:space="preserve"> </w:t>
      </w:r>
    </w:p>
    <w:p w14:paraId="20D06246"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մոդել</w:t>
      </w:r>
      <w:r w:rsidR="00CA27E3" w:rsidRPr="009049EF">
        <w:rPr>
          <w:rFonts w:ascii="Sylfaen" w:hAnsi="Sylfaen"/>
          <w:b/>
          <w:sz w:val="24"/>
          <w:szCs w:val="24"/>
        </w:rPr>
        <w:t>՝</w:t>
      </w:r>
      <w:r w:rsidR="00CA27E3" w:rsidRPr="00CA27E3">
        <w:rPr>
          <w:rFonts w:ascii="Sylfaen" w:hAnsi="Sylfaen"/>
          <w:sz w:val="24"/>
          <w:szCs w:val="24"/>
        </w:rPr>
        <w:t xml:space="preserve"> մեկ տիպի </w:t>
      </w:r>
      <w:r w:rsidR="00CA27E3">
        <w:rPr>
          <w:rFonts w:ascii="Sylfaen" w:hAnsi="Sylfaen"/>
          <w:sz w:val="24"/>
          <w:szCs w:val="24"/>
        </w:rPr>
        <w:t>եւ</w:t>
      </w:r>
      <w:r w:rsidR="00CA27E3" w:rsidRPr="00CA27E3">
        <w:rPr>
          <w:rFonts w:ascii="Sylfaen" w:hAnsi="Sylfaen"/>
          <w:sz w:val="24"/>
          <w:szCs w:val="24"/>
        </w:rPr>
        <w:t xml:space="preserve"> մեկ արտադրողի կողմից արտադրված արտադրատեսակներ.</w:t>
      </w:r>
    </w:p>
    <w:p w14:paraId="7556CB94"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անվանական արժեք</w:t>
      </w:r>
      <w:r w:rsidR="00CA27E3" w:rsidRPr="009049EF">
        <w:rPr>
          <w:rFonts w:ascii="Sylfaen" w:hAnsi="Sylfaen"/>
          <w:b/>
          <w:sz w:val="24"/>
          <w:szCs w:val="24"/>
        </w:rPr>
        <w:t>՝</w:t>
      </w:r>
      <w:r w:rsidR="00CA27E3" w:rsidRPr="00CA27E3">
        <w:rPr>
          <w:rFonts w:ascii="Sylfaen" w:hAnsi="Sylfaen"/>
          <w:sz w:val="24"/>
          <w:szCs w:val="24"/>
        </w:rPr>
        <w:t xml:space="preserve"> տրված աշխատանքային պայմաններում պարամետրի քանակական արժեքը, որն օգտագործվում է արտադրատեսակի նշագրման կամ նույնականացման համար </w:t>
      </w:r>
      <w:r w:rsidR="00CA27E3">
        <w:rPr>
          <w:rFonts w:ascii="Sylfaen" w:hAnsi="Sylfaen"/>
          <w:sz w:val="24"/>
          <w:szCs w:val="24"/>
        </w:rPr>
        <w:t>եւ</w:t>
      </w:r>
      <w:r w:rsidR="00CA27E3" w:rsidRPr="00CA27E3">
        <w:rPr>
          <w:rFonts w:ascii="Sylfaen" w:hAnsi="Sylfaen"/>
          <w:sz w:val="24"/>
          <w:szCs w:val="24"/>
        </w:rPr>
        <w:t xml:space="preserve"> որը նշվում է արտադրողի կողմից շահագործման փաստաթղթերում.</w:t>
      </w:r>
    </w:p>
    <w:p w14:paraId="1DCCD6CB"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կոթառ</w:t>
      </w:r>
      <w:r w:rsidR="00CA27E3" w:rsidRPr="00CA27E3">
        <w:rPr>
          <w:rFonts w:ascii="Sylfaen" w:hAnsi="Sylfaen"/>
          <w:sz w:val="24"/>
          <w:szCs w:val="24"/>
        </w:rPr>
        <w:t xml:space="preserve">՝ սարքվածք, որում, ելնելով նշանակությունից, տեղադրվում է լամպակոթը կամ դրանց՝ էլեկտրական ցանցին ամրակելու </w:t>
      </w:r>
      <w:r w:rsidR="00CA27E3">
        <w:rPr>
          <w:rFonts w:ascii="Sylfaen" w:hAnsi="Sylfaen"/>
          <w:sz w:val="24"/>
          <w:szCs w:val="24"/>
        </w:rPr>
        <w:t>եւ</w:t>
      </w:r>
      <w:r w:rsidR="00CA27E3" w:rsidRPr="00CA27E3">
        <w:rPr>
          <w:rFonts w:ascii="Sylfaen" w:hAnsi="Sylfaen"/>
          <w:sz w:val="24"/>
          <w:szCs w:val="24"/>
        </w:rPr>
        <w:t xml:space="preserve"> միացնելու համար մեկնարկիչը.</w:t>
      </w:r>
      <w:r w:rsidR="00CA27E3">
        <w:rPr>
          <w:rFonts w:ascii="Sylfaen" w:hAnsi="Sylfaen"/>
          <w:sz w:val="24"/>
          <w:szCs w:val="24"/>
        </w:rPr>
        <w:t xml:space="preserve"> </w:t>
      </w:r>
    </w:p>
    <w:p w14:paraId="5658DE1F" w14:textId="77777777" w:rsidR="009049EF" w:rsidRDefault="009049EF" w:rsidP="00CA27E3">
      <w:pPr>
        <w:pStyle w:val="a0"/>
        <w:shd w:val="clear" w:color="auto" w:fill="auto"/>
        <w:spacing w:after="160"/>
        <w:ind w:firstLine="567"/>
        <w:jc w:val="both"/>
        <w:rPr>
          <w:rFonts w:ascii="Sylfaen" w:hAnsi="Sylfaen"/>
          <w:sz w:val="24"/>
          <w:szCs w:val="24"/>
        </w:rPr>
      </w:pPr>
      <w:r w:rsidRPr="009049EF">
        <w:rPr>
          <w:rFonts w:ascii="Sylfaen" w:hAnsi="Sylfaen"/>
          <w:b/>
          <w:sz w:val="24"/>
          <w:szCs w:val="24"/>
        </w:rPr>
        <w:t>վաղաժամ խափանում</w:t>
      </w:r>
      <w:r w:rsidR="00CA27E3" w:rsidRPr="009049EF">
        <w:rPr>
          <w:rFonts w:ascii="Sylfaen" w:hAnsi="Sylfaen"/>
          <w:b/>
          <w:sz w:val="24"/>
          <w:szCs w:val="24"/>
        </w:rPr>
        <w:t>՝</w:t>
      </w:r>
      <w:r w:rsidR="00CA27E3" w:rsidRPr="00CA27E3">
        <w:rPr>
          <w:rFonts w:ascii="Sylfaen" w:hAnsi="Sylfaen"/>
          <w:sz w:val="24"/>
          <w:szCs w:val="24"/>
        </w:rPr>
        <w:t xml:space="preserve"> լամպի՝ շարքից դուրս գալը՝ նախքան լամպի շահագործման փաստաթղթերով սահմանված՝ ծառայության ժամկետը լրանալը. </w:t>
      </w:r>
    </w:p>
    <w:p w14:paraId="2A4E23D4" w14:textId="77777777" w:rsidR="009049EF" w:rsidRDefault="009049EF">
      <w:pPr>
        <w:rPr>
          <w:rFonts w:ascii="Sylfaen" w:eastAsia="Times New Roman" w:hAnsi="Sylfaen" w:cs="Times New Roman"/>
          <w:color w:val="auto"/>
        </w:rPr>
      </w:pPr>
      <w:r>
        <w:rPr>
          <w:rFonts w:ascii="Sylfaen" w:hAnsi="Sylfaen"/>
        </w:rPr>
        <w:br w:type="page"/>
      </w:r>
    </w:p>
    <w:p w14:paraId="12C14A5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lastRenderedPageBreak/>
        <w:t>գործ</w:t>
      </w:r>
      <w:r w:rsidR="009049EF" w:rsidRPr="009049EF">
        <w:rPr>
          <w:rFonts w:ascii="Sylfaen" w:hAnsi="Sylfaen"/>
          <w:b/>
          <w:sz w:val="24"/>
          <w:szCs w:val="24"/>
        </w:rPr>
        <w:t>արկումը կարգավորող ապարատ (ԳԿԱ)</w:t>
      </w:r>
      <w:r w:rsidRPr="009049EF">
        <w:rPr>
          <w:rFonts w:ascii="Sylfaen" w:hAnsi="Sylfaen"/>
          <w:b/>
          <w:sz w:val="24"/>
          <w:szCs w:val="24"/>
        </w:rPr>
        <w:t>՝</w:t>
      </w:r>
      <w:r w:rsidRPr="00CA27E3">
        <w:rPr>
          <w:rFonts w:ascii="Sylfaen" w:hAnsi="Sylfaen"/>
          <w:sz w:val="24"/>
          <w:szCs w:val="24"/>
        </w:rPr>
        <w:t xml:space="preserve"> սարքվածք, որը միացվում է ցանցի </w:t>
      </w:r>
      <w:r>
        <w:rPr>
          <w:rFonts w:ascii="Sylfaen" w:hAnsi="Sylfaen"/>
          <w:sz w:val="24"/>
          <w:szCs w:val="24"/>
        </w:rPr>
        <w:t>եւ</w:t>
      </w:r>
      <w:r w:rsidRPr="00CA27E3">
        <w:rPr>
          <w:rFonts w:ascii="Sylfaen" w:hAnsi="Sylfaen"/>
          <w:sz w:val="24"/>
          <w:szCs w:val="24"/>
        </w:rPr>
        <w:t xml:space="preserve"> մեկ կամ մի քանի պարպումային լամպերի միջ</w:t>
      </w:r>
      <w:r>
        <w:rPr>
          <w:rFonts w:ascii="Sylfaen" w:hAnsi="Sylfaen"/>
          <w:sz w:val="24"/>
          <w:szCs w:val="24"/>
        </w:rPr>
        <w:t>եւ</w:t>
      </w:r>
      <w:r w:rsidRPr="00CA27E3">
        <w:rPr>
          <w:rFonts w:ascii="Sylfaen" w:hAnsi="Sylfaen"/>
          <w:sz w:val="24"/>
          <w:szCs w:val="24"/>
        </w:rPr>
        <w:t>, որը ինդուկտիվության, ունակության կամ դրանց համակցության միջոցով գլխավորապես ապահովում է լամպի հոսանքի սահմանափակումը պահանջվող արժեքի մակարդակով։</w:t>
      </w:r>
      <w:r w:rsidR="009049EF">
        <w:rPr>
          <w:rFonts w:ascii="Sylfaen" w:hAnsi="Sylfaen"/>
          <w:sz w:val="24"/>
          <w:szCs w:val="24"/>
        </w:rPr>
        <w:t xml:space="preserve"> </w:t>
      </w:r>
      <w:r w:rsidRPr="00CA27E3">
        <w:rPr>
          <w:rFonts w:ascii="Sylfaen" w:hAnsi="Sylfaen"/>
          <w:sz w:val="24"/>
          <w:szCs w:val="24"/>
        </w:rPr>
        <w:t>Գործարկումը կարգավորող ապարատները (այսուհետ՝ ԳԿԱ) կարող են բաղկացած լինել մեկ կամ մի քանի բլոկներից։ ԳԿԱ-ն նա</w:t>
      </w:r>
      <w:r>
        <w:rPr>
          <w:rFonts w:ascii="Sylfaen" w:hAnsi="Sylfaen"/>
          <w:sz w:val="24"/>
          <w:szCs w:val="24"/>
        </w:rPr>
        <w:t>եւ</w:t>
      </w:r>
      <w:r w:rsidRPr="00CA27E3">
        <w:rPr>
          <w:rFonts w:ascii="Sylfaen" w:hAnsi="Sylfaen"/>
          <w:sz w:val="24"/>
          <w:szCs w:val="24"/>
        </w:rPr>
        <w:t xml:space="preserve"> կարող է պարունակել </w:t>
      </w:r>
      <w:r w:rsidRPr="009049EF">
        <w:rPr>
          <w:rFonts w:ascii="Sylfaen" w:hAnsi="Sylfaen"/>
          <w:spacing w:val="-4"/>
          <w:sz w:val="24"/>
          <w:szCs w:val="24"/>
        </w:rPr>
        <w:t>ցանցի լարումը կերպափոխելու համար միջոցներ եւ սարքվածքներ, որոնք օգնում են ապահովել լամպի վառքի համար լարումը, սառը վառքի կանխումը,</w:t>
      </w:r>
      <w:r w:rsidRPr="00CA27E3">
        <w:rPr>
          <w:rFonts w:ascii="Sylfaen" w:hAnsi="Sylfaen"/>
          <w:sz w:val="24"/>
          <w:szCs w:val="24"/>
        </w:rPr>
        <w:t xml:space="preserve"> ստրոբոսկոպային էֆեկտի նվազեցումը, հզորության գործակցի ճշգրտումը </w:t>
      </w:r>
      <w:r>
        <w:rPr>
          <w:rFonts w:ascii="Sylfaen" w:hAnsi="Sylfaen"/>
          <w:sz w:val="24"/>
          <w:szCs w:val="24"/>
        </w:rPr>
        <w:t>եւ</w:t>
      </w:r>
      <w:r w:rsidRPr="00CA27E3">
        <w:rPr>
          <w:rFonts w:ascii="Sylfaen" w:hAnsi="Sylfaen"/>
          <w:sz w:val="24"/>
          <w:szCs w:val="24"/>
        </w:rPr>
        <w:t xml:space="preserve"> (կամ) ցանցային ռադիոխանգարումների ճնշումը։</w:t>
      </w:r>
      <w:r>
        <w:rPr>
          <w:rFonts w:ascii="Sylfaen" w:hAnsi="Sylfaen"/>
          <w:sz w:val="24"/>
          <w:szCs w:val="24"/>
        </w:rPr>
        <w:t xml:space="preserve">  </w:t>
      </w:r>
      <w:r w:rsidRPr="00CA27E3">
        <w:rPr>
          <w:rFonts w:ascii="Sylfaen" w:hAnsi="Sylfaen"/>
          <w:sz w:val="24"/>
          <w:szCs w:val="24"/>
        </w:rPr>
        <w:t xml:space="preserve">ԳԿԱ-ն կարող է ներկառուցված լինել լամպի մեջ կամ գտնվել դրանից առանձին. </w:t>
      </w:r>
    </w:p>
    <w:p w14:paraId="1C4CD826"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պարպումային լամպ</w:t>
      </w:r>
      <w:r w:rsidR="00CA27E3" w:rsidRPr="009049EF">
        <w:rPr>
          <w:rFonts w:ascii="Sylfaen" w:hAnsi="Sylfaen"/>
          <w:b/>
          <w:sz w:val="24"/>
          <w:szCs w:val="24"/>
        </w:rPr>
        <w:t>՝</w:t>
      </w:r>
      <w:r w:rsidR="00CA27E3" w:rsidRPr="00CA27E3">
        <w:rPr>
          <w:rFonts w:ascii="Sylfaen" w:hAnsi="Sylfaen"/>
          <w:sz w:val="24"/>
          <w:szCs w:val="24"/>
        </w:rPr>
        <w:t xml:space="preserve"> լամպ, որում օպտիկական ճառագայթումն </w:t>
      </w:r>
      <w:r w:rsidR="00CA27E3" w:rsidRPr="00C27E22">
        <w:rPr>
          <w:rFonts w:ascii="Sylfaen" w:hAnsi="Sylfaen"/>
          <w:sz w:val="24"/>
          <w:szCs w:val="24"/>
        </w:rPr>
        <w:t>էլեկտրական պարպման արդյունքում առաջանում</w:t>
      </w:r>
      <w:r w:rsidR="00CA27E3" w:rsidRPr="00CA27E3">
        <w:rPr>
          <w:rFonts w:ascii="Sylfaen" w:hAnsi="Sylfaen"/>
          <w:sz w:val="24"/>
          <w:szCs w:val="24"/>
        </w:rPr>
        <w:t xml:space="preserve"> է գազերում, մետաղների գոլորշիներում, հալոգենիդներում կամ դրանց խառնուրդներում:</w:t>
      </w:r>
      <w:r w:rsidR="00CA27E3">
        <w:rPr>
          <w:rFonts w:ascii="Sylfaen" w:hAnsi="Sylfaen"/>
          <w:sz w:val="24"/>
          <w:szCs w:val="24"/>
        </w:rPr>
        <w:t xml:space="preserve"> </w:t>
      </w:r>
    </w:p>
    <w:p w14:paraId="4B0CF1A9"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հաշվարկային արժեք</w:t>
      </w:r>
      <w:r w:rsidR="00CA27E3" w:rsidRPr="009049EF">
        <w:rPr>
          <w:rFonts w:ascii="Sylfaen" w:hAnsi="Sylfaen"/>
          <w:b/>
          <w:sz w:val="24"/>
          <w:szCs w:val="24"/>
        </w:rPr>
        <w:t>՝</w:t>
      </w:r>
      <w:r w:rsidR="00CA27E3" w:rsidRPr="00CA27E3">
        <w:rPr>
          <w:rFonts w:ascii="Sylfaen" w:hAnsi="Sylfaen"/>
          <w:sz w:val="24"/>
          <w:szCs w:val="24"/>
        </w:rPr>
        <w:t xml:space="preserve"> պարամետրի քանակական արժեքը աշխատանքային պայմաններում։ Արժեքները </w:t>
      </w:r>
      <w:r w:rsidR="00CA27E3">
        <w:rPr>
          <w:rFonts w:ascii="Sylfaen" w:hAnsi="Sylfaen"/>
          <w:sz w:val="24"/>
          <w:szCs w:val="24"/>
        </w:rPr>
        <w:t>եւ</w:t>
      </w:r>
      <w:r w:rsidR="00CA27E3" w:rsidRPr="00CA27E3">
        <w:rPr>
          <w:rFonts w:ascii="Sylfaen" w:hAnsi="Sylfaen"/>
          <w:sz w:val="24"/>
          <w:szCs w:val="24"/>
        </w:rPr>
        <w:t xml:space="preserve"> պայմանները բերվում են համապատասխան ստանդարտներով կամ հաղորդվում են արտադրողի (մատակարարի) կողմից։ Եթե</w:t>
      </w:r>
      <w:r w:rsidR="005F2963" w:rsidRPr="005F2963">
        <w:rPr>
          <w:rFonts w:ascii="Sylfaen" w:hAnsi="Sylfaen"/>
          <w:sz w:val="24"/>
          <w:szCs w:val="24"/>
        </w:rPr>
        <w:t> </w:t>
      </w:r>
      <w:r w:rsidR="00CA27E3" w:rsidRPr="00CA27E3">
        <w:rPr>
          <w:rFonts w:ascii="Sylfaen" w:hAnsi="Sylfaen"/>
          <w:sz w:val="24"/>
          <w:szCs w:val="24"/>
        </w:rPr>
        <w:t>այլ բան նշված չէ, ապա բոլոր պահանջներն արտահայտված են որպես հաշվարկային արժեքներ։</w:t>
      </w:r>
      <w:r w:rsidR="00CA27E3">
        <w:rPr>
          <w:rFonts w:ascii="Sylfaen" w:hAnsi="Sylfaen"/>
          <w:sz w:val="24"/>
          <w:szCs w:val="24"/>
        </w:rPr>
        <w:t xml:space="preserve"> </w:t>
      </w:r>
      <w:r w:rsidR="00CA27E3" w:rsidRPr="00CA27E3">
        <w:rPr>
          <w:rFonts w:ascii="Sylfaen" w:hAnsi="Sylfaen"/>
          <w:sz w:val="24"/>
          <w:szCs w:val="24"/>
        </w:rPr>
        <w:t>Հաշվարկային արժեքն ստացվում է հաշվարկային, այսինքն՝ ոչ փորձարարական եղանակով.</w:t>
      </w:r>
    </w:p>
    <w:p w14:paraId="4A9FC1A7"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լուսատացք</w:t>
      </w:r>
      <w:r w:rsidR="00CA27E3" w:rsidRPr="009049EF">
        <w:rPr>
          <w:rFonts w:ascii="Sylfaen" w:hAnsi="Sylfaen"/>
          <w:b/>
          <w:sz w:val="24"/>
          <w:szCs w:val="24"/>
        </w:rPr>
        <w:t xml:space="preserve"> (ηл)`</w:t>
      </w:r>
      <w:r w:rsidR="00CA27E3" w:rsidRPr="00CA27E3">
        <w:rPr>
          <w:rFonts w:ascii="Sylfaen" w:hAnsi="Sylfaen"/>
          <w:sz w:val="24"/>
          <w:szCs w:val="24"/>
        </w:rPr>
        <w:t xml:space="preserve"> լույսի աղբյուրից ճառագայթվող լուսային հոսքի </w:t>
      </w:r>
      <w:r w:rsidR="00CA27E3">
        <w:rPr>
          <w:rFonts w:ascii="Sylfaen" w:hAnsi="Sylfaen"/>
          <w:sz w:val="24"/>
          <w:szCs w:val="24"/>
        </w:rPr>
        <w:t>եւ</w:t>
      </w:r>
      <w:r w:rsidR="00CA27E3" w:rsidRPr="00CA27E3">
        <w:rPr>
          <w:rFonts w:ascii="Sylfaen" w:hAnsi="Sylfaen"/>
          <w:sz w:val="24"/>
          <w:szCs w:val="24"/>
        </w:rPr>
        <w:t xml:space="preserve"> դրա կողմից սպառվող հզորության հարաբերությունը, որն արտահայտված է լյումեն/վատտով (լմ/Վտ)։</w:t>
      </w:r>
      <w:r w:rsidR="00CA27E3">
        <w:rPr>
          <w:rFonts w:ascii="Sylfaen" w:hAnsi="Sylfaen"/>
          <w:sz w:val="24"/>
          <w:szCs w:val="24"/>
        </w:rPr>
        <w:t xml:space="preserve"> </w:t>
      </w:r>
      <w:r w:rsidR="00CA27E3" w:rsidRPr="00CA27E3">
        <w:rPr>
          <w:rFonts w:ascii="Sylfaen" w:hAnsi="Sylfaen"/>
          <w:sz w:val="24"/>
          <w:szCs w:val="24"/>
        </w:rPr>
        <w:t xml:space="preserve"> Լուսատացքը լույսի աղբյուրների արդյունավետության </w:t>
      </w:r>
      <w:r w:rsidR="00CA27E3">
        <w:rPr>
          <w:rFonts w:ascii="Sylfaen" w:hAnsi="Sylfaen"/>
          <w:sz w:val="24"/>
          <w:szCs w:val="24"/>
        </w:rPr>
        <w:t>եւ</w:t>
      </w:r>
      <w:r w:rsidR="00CA27E3" w:rsidRPr="00CA27E3">
        <w:rPr>
          <w:rFonts w:ascii="Sylfaen" w:hAnsi="Sylfaen"/>
          <w:sz w:val="24"/>
          <w:szCs w:val="24"/>
        </w:rPr>
        <w:t xml:space="preserve"> խնայողականության ցուցանիշն է </w:t>
      </w:r>
      <w:r w:rsidR="00CA27E3">
        <w:rPr>
          <w:rFonts w:ascii="Sylfaen" w:hAnsi="Sylfaen"/>
          <w:sz w:val="24"/>
          <w:szCs w:val="24"/>
        </w:rPr>
        <w:t>եւ</w:t>
      </w:r>
      <w:r w:rsidR="00CA27E3" w:rsidRPr="00CA27E3">
        <w:rPr>
          <w:rFonts w:ascii="Sylfaen" w:hAnsi="Sylfaen"/>
          <w:sz w:val="24"/>
          <w:szCs w:val="24"/>
        </w:rPr>
        <w:t xml:space="preserve"> հաշվարկվում է հետ</w:t>
      </w:r>
      <w:r w:rsidR="00CA27E3">
        <w:rPr>
          <w:rFonts w:ascii="Sylfaen" w:hAnsi="Sylfaen"/>
          <w:sz w:val="24"/>
          <w:szCs w:val="24"/>
        </w:rPr>
        <w:t>եւ</w:t>
      </w:r>
      <w:r w:rsidR="00CA27E3" w:rsidRPr="00CA27E3">
        <w:rPr>
          <w:rFonts w:ascii="Sylfaen" w:hAnsi="Sylfaen"/>
          <w:sz w:val="24"/>
          <w:szCs w:val="24"/>
        </w:rPr>
        <w:t>յալ բանաձ</w:t>
      </w:r>
      <w:r w:rsidR="00CA27E3">
        <w:rPr>
          <w:rFonts w:ascii="Sylfaen" w:hAnsi="Sylfaen"/>
          <w:sz w:val="24"/>
          <w:szCs w:val="24"/>
        </w:rPr>
        <w:t>եւ</w:t>
      </w:r>
      <w:r w:rsidR="00CA27E3" w:rsidRPr="00CA27E3">
        <w:rPr>
          <w:rFonts w:ascii="Sylfaen" w:hAnsi="Sylfaen"/>
          <w:sz w:val="24"/>
          <w:szCs w:val="24"/>
        </w:rPr>
        <w:t xml:space="preserve">ով՝ </w:t>
      </w:r>
    </w:p>
    <w:p w14:paraId="6DD4F4AA" w14:textId="77777777" w:rsidR="00CA27E3" w:rsidRPr="00CA27E3" w:rsidRDefault="00CA27E3" w:rsidP="00CA27E3">
      <w:pPr>
        <w:pStyle w:val="a0"/>
        <w:shd w:val="clear" w:color="auto" w:fill="auto"/>
        <w:spacing w:after="160"/>
        <w:ind w:firstLine="720"/>
        <w:jc w:val="both"/>
        <w:rPr>
          <w:rFonts w:ascii="Sylfaen" w:hAnsi="Sylfaen" w:cs="Sylfaen"/>
          <w:sz w:val="24"/>
          <w:szCs w:val="24"/>
        </w:rPr>
      </w:pPr>
      <m:oMathPara>
        <m:oMath>
          <m:r>
            <m:rPr>
              <m:sty m:val="p"/>
            </m:rPr>
            <w:rPr>
              <w:rFonts w:ascii="Sylfaen" w:hAnsi="Sylfaen" w:cs="Sylfaen"/>
              <w:sz w:val="24"/>
              <w:szCs w:val="24"/>
            </w:rPr>
            <m:t>η</m:t>
          </m:r>
          <m:r>
            <m:rPr>
              <m:sty m:val="p"/>
            </m:rPr>
            <w:rPr>
              <w:rFonts w:ascii="Cambria Math" w:hAnsi="Sylfaen" w:cs="Sylfaen"/>
              <w:sz w:val="24"/>
              <w:szCs w:val="24"/>
            </w:rPr>
            <m:t>=</m:t>
          </m:r>
          <m:f>
            <m:fPr>
              <m:type m:val="lin"/>
              <m:ctrlPr>
                <w:rPr>
                  <w:rFonts w:ascii="Cambria Math" w:hAnsi="Sylfaen" w:cs="Sylfaen"/>
                  <w:sz w:val="24"/>
                  <w:szCs w:val="24"/>
                </w:rPr>
              </m:ctrlPr>
            </m:fPr>
            <m:num>
              <m:r>
                <m:rPr>
                  <m:sty m:val="p"/>
                </m:rPr>
                <w:rPr>
                  <w:rFonts w:ascii="Sylfaen" w:hAnsi="Sylfaen" w:cs="Sylfaen"/>
                  <w:sz w:val="24"/>
                  <w:szCs w:val="24"/>
                </w:rPr>
                <m:t>Φ</m:t>
              </m:r>
            </m:num>
            <m:den>
              <m:r>
                <m:rPr>
                  <m:sty m:val="p"/>
                </m:rPr>
                <w:rPr>
                  <w:rFonts w:ascii="Cambria Math" w:hAnsi="Sylfaen" w:cs="Sylfaen"/>
                  <w:sz w:val="24"/>
                  <w:szCs w:val="24"/>
                </w:rPr>
                <m:t>P</m:t>
              </m:r>
            </m:den>
          </m:f>
        </m:oMath>
      </m:oMathPara>
    </w:p>
    <w:p w14:paraId="1DBB0529" w14:textId="77777777" w:rsidR="00066F60" w:rsidRDefault="00066F60" w:rsidP="00CA27E3">
      <w:pPr>
        <w:pStyle w:val="a0"/>
        <w:shd w:val="clear" w:color="auto" w:fill="auto"/>
        <w:spacing w:after="160"/>
        <w:ind w:firstLine="567"/>
        <w:jc w:val="both"/>
        <w:rPr>
          <w:rFonts w:ascii="Sylfaen" w:hAnsi="Sylfaen"/>
          <w:sz w:val="24"/>
          <w:szCs w:val="24"/>
          <w:lang w:val="en-US"/>
        </w:rPr>
      </w:pPr>
    </w:p>
    <w:p w14:paraId="2AC1C2D9" w14:textId="77777777" w:rsidR="009049EF" w:rsidRPr="009049EF" w:rsidRDefault="009049EF" w:rsidP="00CA27E3">
      <w:pPr>
        <w:pStyle w:val="a0"/>
        <w:shd w:val="clear" w:color="auto" w:fill="auto"/>
        <w:spacing w:after="160"/>
        <w:ind w:firstLine="567"/>
        <w:jc w:val="both"/>
        <w:rPr>
          <w:rFonts w:ascii="Sylfaen" w:hAnsi="Sylfaen"/>
          <w:sz w:val="24"/>
          <w:szCs w:val="24"/>
          <w:lang w:val="en-US"/>
        </w:rPr>
      </w:pPr>
    </w:p>
    <w:p w14:paraId="665CC73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որտեղ՝</w:t>
      </w:r>
    </w:p>
    <w:p w14:paraId="10534E4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Φ-ն՝ լույսի աղբյուրից ճառագայթվող լուսային հոսքն է,</w:t>
      </w:r>
    </w:p>
    <w:p w14:paraId="66EF476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Р-ն՝ դրա կողմից սպառվող հզորությունը։</w:t>
      </w:r>
    </w:p>
    <w:p w14:paraId="0492D7B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Լրացուցիչ այնպիսի սարքվածքներ, ինչպիսիք են օրինակ՝ ԳԿԱ-ն,</w:t>
      </w:r>
    </w:p>
    <w:p w14:paraId="106A6226" w14:textId="77777777" w:rsidR="00CA27E3" w:rsidRPr="00CA27E3" w:rsidRDefault="00CA27E3" w:rsidP="009049EF">
      <w:pPr>
        <w:pStyle w:val="a0"/>
        <w:shd w:val="clear" w:color="auto" w:fill="auto"/>
        <w:spacing w:after="160" w:line="343" w:lineRule="auto"/>
        <w:ind w:firstLine="567"/>
        <w:jc w:val="both"/>
        <w:rPr>
          <w:rFonts w:ascii="Sylfaen" w:hAnsi="Sylfaen" w:cs="Sylfaen"/>
          <w:sz w:val="24"/>
          <w:szCs w:val="24"/>
        </w:rPr>
      </w:pPr>
      <w:r w:rsidRPr="00CA27E3">
        <w:rPr>
          <w:rFonts w:ascii="Sylfaen" w:hAnsi="Sylfaen"/>
          <w:sz w:val="24"/>
          <w:szCs w:val="24"/>
        </w:rPr>
        <w:t xml:space="preserve">տրանսֆորմատորները </w:t>
      </w:r>
      <w:r>
        <w:rPr>
          <w:rFonts w:ascii="Sylfaen" w:hAnsi="Sylfaen"/>
          <w:sz w:val="24"/>
          <w:szCs w:val="24"/>
        </w:rPr>
        <w:t>եւ</w:t>
      </w:r>
      <w:r w:rsidRPr="00CA27E3">
        <w:rPr>
          <w:rFonts w:ascii="Sylfaen" w:hAnsi="Sylfaen"/>
          <w:sz w:val="24"/>
          <w:szCs w:val="24"/>
        </w:rPr>
        <w:t xml:space="preserve"> սնուցման բլոկները, հաշվի չեն առնվում լամպի սպառվող հզորության (Р) մեջ։ </w:t>
      </w:r>
    </w:p>
    <w:p w14:paraId="5C43F709" w14:textId="77777777" w:rsidR="00CA27E3" w:rsidRPr="00CA27E3" w:rsidRDefault="00CA27E3"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լուսային հոսք (Ф)՝</w:t>
      </w:r>
      <w:r w:rsidRPr="00CA27E3">
        <w:rPr>
          <w:rFonts w:ascii="Sylfaen" w:hAnsi="Sylfaen"/>
          <w:sz w:val="24"/>
          <w:szCs w:val="24"/>
        </w:rPr>
        <w:t xml:space="preserve"> մեծություն, որը բնութագրում է տեսանելի ճառագայթման հզորությունը՝ մարդու աչքի վրա դրա ունեցած ներգործության հիման վրա (լմ-ով), չափվում է լամպը 100 ժամ շահագործելուց հետո. </w:t>
      </w:r>
    </w:p>
    <w:p w14:paraId="36690D0E" w14:textId="77777777" w:rsidR="00CA27E3" w:rsidRPr="009049EF" w:rsidRDefault="009049EF"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լուսադիոդ (LED)</w:t>
      </w:r>
      <w:r w:rsidR="00CA27E3" w:rsidRPr="009049EF">
        <w:rPr>
          <w:rFonts w:ascii="Sylfaen" w:hAnsi="Sylfaen"/>
          <w:b/>
          <w:sz w:val="24"/>
          <w:szCs w:val="24"/>
        </w:rPr>
        <w:t>՝</w:t>
      </w:r>
      <w:r w:rsidR="00CA27E3" w:rsidRPr="00CA27E3">
        <w:rPr>
          <w:rFonts w:ascii="Sylfaen" w:hAnsi="Sylfaen"/>
          <w:sz w:val="24"/>
          <w:szCs w:val="24"/>
        </w:rPr>
        <w:t xml:space="preserve"> կիսահաղորդչային սարք, p-n անցումով, որն արձակում է ոչ կոհերենտ տեսանելի ճառագայթում՝ դրա վրա էլեկտրական լարում մատուցելու ժամանակ.</w:t>
      </w:r>
      <w:r w:rsidR="00CA27E3">
        <w:rPr>
          <w:rFonts w:ascii="Sylfaen" w:hAnsi="Sylfaen"/>
          <w:sz w:val="24"/>
          <w:szCs w:val="24"/>
        </w:rPr>
        <w:t xml:space="preserve"> </w:t>
      </w:r>
    </w:p>
    <w:p w14:paraId="7726A46E" w14:textId="77777777" w:rsidR="00CA27E3" w:rsidRPr="00CA27E3" w:rsidRDefault="009049EF"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լուսադիոդային լամպ</w:t>
      </w:r>
      <w:r w:rsidR="00CA27E3" w:rsidRPr="009049EF">
        <w:rPr>
          <w:rFonts w:ascii="Sylfaen" w:hAnsi="Sylfaen"/>
          <w:b/>
          <w:sz w:val="24"/>
          <w:szCs w:val="24"/>
        </w:rPr>
        <w:t>՝</w:t>
      </w:r>
      <w:r w:rsidR="00CA27E3" w:rsidRPr="00CA27E3">
        <w:rPr>
          <w:rFonts w:ascii="Sylfaen" w:hAnsi="Sylfaen"/>
          <w:sz w:val="24"/>
          <w:szCs w:val="24"/>
        </w:rPr>
        <w:t xml:space="preserve"> լամպ, որը պարունակում է 1 կամ մի քանի լուսադիոդային հավաքվածք։ Լուսադիոդային լամպը կարող է ապահովված լինել լամպակոթով.</w:t>
      </w:r>
    </w:p>
    <w:p w14:paraId="207F01B4" w14:textId="77777777" w:rsidR="00CA27E3" w:rsidRPr="00CA27E3" w:rsidRDefault="009049EF"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հատուկ նշանակության լամպ</w:t>
      </w:r>
      <w:r w:rsidR="00CA27E3" w:rsidRPr="009049EF">
        <w:rPr>
          <w:rFonts w:ascii="Sylfaen" w:hAnsi="Sylfaen"/>
          <w:b/>
          <w:sz w:val="24"/>
          <w:szCs w:val="24"/>
        </w:rPr>
        <w:t>՝</w:t>
      </w:r>
      <w:r w:rsidR="00CA27E3" w:rsidRPr="00CA27E3">
        <w:rPr>
          <w:rFonts w:ascii="Sylfaen" w:hAnsi="Sylfaen"/>
          <w:sz w:val="24"/>
          <w:szCs w:val="24"/>
        </w:rPr>
        <w:t xml:space="preserve"> լամպ, որը, ըստ իր տեխնիկական բնութագրերի կամ դրան կցված շահագործման փաստաթղթերի համաձայն, պիտանի չէ կենցաղում տարածքը լուսավորելու համար.</w:t>
      </w:r>
    </w:p>
    <w:p w14:paraId="4371260A" w14:textId="77777777" w:rsidR="00CA27E3" w:rsidRPr="00CA27E3" w:rsidRDefault="009049EF"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լամպի ծառայության ժամկետ</w:t>
      </w:r>
      <w:r w:rsidR="00CA27E3" w:rsidRPr="009049EF">
        <w:rPr>
          <w:rFonts w:ascii="Sylfaen" w:hAnsi="Sylfaen"/>
          <w:b/>
          <w:sz w:val="24"/>
          <w:szCs w:val="24"/>
        </w:rPr>
        <w:t>՝</w:t>
      </w:r>
      <w:r w:rsidR="00CA27E3" w:rsidRPr="00CA27E3">
        <w:rPr>
          <w:rFonts w:ascii="Sylfaen" w:hAnsi="Sylfaen"/>
          <w:sz w:val="24"/>
          <w:szCs w:val="24"/>
        </w:rPr>
        <w:t xml:space="preserve"> շահագործման ժամանակը, որից հետո որոշակի պայմաններում </w:t>
      </w:r>
      <w:r w:rsidR="00CA27E3">
        <w:rPr>
          <w:rFonts w:ascii="Sylfaen" w:hAnsi="Sylfaen"/>
          <w:sz w:val="24"/>
          <w:szCs w:val="24"/>
        </w:rPr>
        <w:t>եւ</w:t>
      </w:r>
      <w:r w:rsidR="00CA27E3" w:rsidRPr="00CA27E3">
        <w:rPr>
          <w:rFonts w:ascii="Sylfaen" w:hAnsi="Sylfaen"/>
          <w:sz w:val="24"/>
          <w:szCs w:val="24"/>
        </w:rPr>
        <w:t xml:space="preserve"> միացումների (փոխարկումների) որոշակի հաճախության դեպքում լամպերի ընդհանուր քանակի մեջ աշխատող լամպերի մասը համապատասխանում է լամպի ծառայության ժամկետի գործակցին. </w:t>
      </w:r>
    </w:p>
    <w:p w14:paraId="66CD2AB1" w14:textId="77777777" w:rsidR="00CA27E3" w:rsidRPr="00CA27E3" w:rsidRDefault="009049EF"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գունավորություն</w:t>
      </w:r>
      <w:r w:rsidR="00CA27E3" w:rsidRPr="009049EF">
        <w:rPr>
          <w:rFonts w:ascii="Sylfaen" w:hAnsi="Sylfaen"/>
          <w:b/>
          <w:sz w:val="24"/>
          <w:szCs w:val="24"/>
        </w:rPr>
        <w:t>՝</w:t>
      </w:r>
      <w:r w:rsidR="00CA27E3" w:rsidRPr="00CA27E3">
        <w:rPr>
          <w:rFonts w:ascii="Sylfaen" w:hAnsi="Sylfaen"/>
          <w:sz w:val="24"/>
          <w:szCs w:val="24"/>
        </w:rPr>
        <w:t xml:space="preserve"> լամպի գույնի որակի բնութագիրն է, որը որոշվում է դրա գունավորության կոորդինատներով.</w:t>
      </w:r>
    </w:p>
    <w:p w14:paraId="67EBB911" w14:textId="77777777" w:rsidR="00CA27E3" w:rsidRPr="00CA27E3" w:rsidRDefault="009049EF" w:rsidP="009049EF">
      <w:pPr>
        <w:pStyle w:val="a0"/>
        <w:shd w:val="clear" w:color="auto" w:fill="auto"/>
        <w:spacing w:after="160" w:line="343" w:lineRule="auto"/>
        <w:ind w:firstLine="567"/>
        <w:jc w:val="both"/>
        <w:rPr>
          <w:rFonts w:ascii="Sylfaen" w:hAnsi="Sylfaen" w:cs="Sylfaen"/>
          <w:sz w:val="24"/>
          <w:szCs w:val="24"/>
        </w:rPr>
      </w:pPr>
      <w:r w:rsidRPr="009049EF">
        <w:rPr>
          <w:rFonts w:ascii="Sylfaen" w:hAnsi="Sylfaen"/>
          <w:b/>
          <w:sz w:val="24"/>
          <w:szCs w:val="24"/>
        </w:rPr>
        <w:t>գունահաղորդում</w:t>
      </w:r>
      <w:r w:rsidR="00CA27E3" w:rsidRPr="009049EF">
        <w:rPr>
          <w:rFonts w:ascii="Sylfaen" w:hAnsi="Sylfaen"/>
          <w:b/>
          <w:sz w:val="24"/>
          <w:szCs w:val="24"/>
        </w:rPr>
        <w:t>՝</w:t>
      </w:r>
      <w:r w:rsidR="00CA27E3" w:rsidRPr="00CA27E3">
        <w:rPr>
          <w:rFonts w:ascii="Sylfaen" w:hAnsi="Sylfaen"/>
          <w:sz w:val="24"/>
          <w:szCs w:val="24"/>
        </w:rPr>
        <w:t xml:space="preserve"> լամպի ճառագայթման սպեկտրային կազմի ազդեցությունը դրա կողմից լուսավորվող օբյեկտների տեսողական ընկալման վրա, որը բնութագրվում է գունահաղորդման ցուցիչով. </w:t>
      </w:r>
    </w:p>
    <w:p w14:paraId="5927A92D"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lastRenderedPageBreak/>
        <w:t>փոխարկման ցիկլ</w:t>
      </w:r>
      <w:r w:rsidR="00CA27E3" w:rsidRPr="009049EF">
        <w:rPr>
          <w:rFonts w:ascii="Sylfaen" w:hAnsi="Sylfaen"/>
          <w:b/>
          <w:sz w:val="24"/>
          <w:szCs w:val="24"/>
        </w:rPr>
        <w:t>՝</w:t>
      </w:r>
      <w:r w:rsidR="00CA27E3" w:rsidRPr="00CA27E3">
        <w:rPr>
          <w:rFonts w:ascii="Sylfaen" w:hAnsi="Sylfaen"/>
          <w:sz w:val="24"/>
          <w:szCs w:val="24"/>
        </w:rPr>
        <w:t xml:space="preserve"> որոշակի ժամանակահատվածը մեկ լամպի միացման </w:t>
      </w:r>
      <w:r w:rsidR="00CA27E3">
        <w:rPr>
          <w:rFonts w:ascii="Sylfaen" w:hAnsi="Sylfaen"/>
          <w:sz w:val="24"/>
          <w:szCs w:val="24"/>
        </w:rPr>
        <w:t>եւ</w:t>
      </w:r>
      <w:r w:rsidR="00CA27E3" w:rsidRPr="00CA27E3">
        <w:rPr>
          <w:rFonts w:ascii="Sylfaen" w:hAnsi="Sylfaen"/>
          <w:sz w:val="24"/>
          <w:szCs w:val="24"/>
        </w:rPr>
        <w:t xml:space="preserve"> անջատման հաջորդականությունը. </w:t>
      </w:r>
    </w:p>
    <w:p w14:paraId="619201AE" w14:textId="77777777" w:rsidR="00CA27E3" w:rsidRPr="00CA27E3" w:rsidRDefault="009049EF" w:rsidP="00CA27E3">
      <w:pPr>
        <w:pStyle w:val="a0"/>
        <w:shd w:val="clear" w:color="auto" w:fill="auto"/>
        <w:spacing w:after="160"/>
        <w:ind w:firstLine="567"/>
        <w:jc w:val="both"/>
        <w:rPr>
          <w:rFonts w:ascii="Sylfaen" w:hAnsi="Sylfaen" w:cs="Sylfaen"/>
          <w:sz w:val="24"/>
          <w:szCs w:val="24"/>
        </w:rPr>
      </w:pPr>
      <w:r w:rsidRPr="009049EF">
        <w:rPr>
          <w:rFonts w:ascii="Sylfaen" w:hAnsi="Sylfaen"/>
          <w:b/>
          <w:sz w:val="24"/>
          <w:szCs w:val="24"/>
        </w:rPr>
        <w:t>լամպակոթ</w:t>
      </w:r>
      <w:r w:rsidR="00CA27E3" w:rsidRPr="009049EF">
        <w:rPr>
          <w:rFonts w:ascii="Sylfaen" w:hAnsi="Sylfaen"/>
          <w:b/>
          <w:sz w:val="24"/>
          <w:szCs w:val="24"/>
        </w:rPr>
        <w:t>՝</w:t>
      </w:r>
      <w:r w:rsidR="00CA27E3" w:rsidRPr="00CA27E3">
        <w:rPr>
          <w:rFonts w:ascii="Sylfaen" w:hAnsi="Sylfaen"/>
          <w:sz w:val="24"/>
          <w:szCs w:val="24"/>
        </w:rPr>
        <w:t xml:space="preserve"> էլեկտրական լամպի դետալ, որը ծառայում է կոթառին դրա ամրակման համար </w:t>
      </w:r>
      <w:r w:rsidR="00CA27E3">
        <w:rPr>
          <w:rFonts w:ascii="Sylfaen" w:hAnsi="Sylfaen"/>
          <w:sz w:val="24"/>
          <w:szCs w:val="24"/>
        </w:rPr>
        <w:t>եւ</w:t>
      </w:r>
      <w:r w:rsidR="00CA27E3" w:rsidRPr="00CA27E3">
        <w:rPr>
          <w:rFonts w:ascii="Sylfaen" w:hAnsi="Sylfaen"/>
          <w:sz w:val="24"/>
          <w:szCs w:val="24"/>
        </w:rPr>
        <w:t xml:space="preserve"> ապահովում է միացումը սնուցման ցանցին.</w:t>
      </w:r>
    </w:p>
    <w:p w14:paraId="3957645A" w14:textId="77777777" w:rsidR="00CA27E3" w:rsidRPr="005F2963" w:rsidRDefault="009049EF" w:rsidP="00CA27E3">
      <w:pPr>
        <w:pStyle w:val="a0"/>
        <w:shd w:val="clear" w:color="auto" w:fill="auto"/>
        <w:spacing w:after="160"/>
        <w:ind w:firstLine="567"/>
        <w:jc w:val="both"/>
        <w:rPr>
          <w:rFonts w:ascii="Sylfaen" w:hAnsi="Sylfaen" w:cs="Sylfaen"/>
          <w:spacing w:val="-6"/>
          <w:sz w:val="24"/>
          <w:szCs w:val="24"/>
        </w:rPr>
      </w:pPr>
      <w:r w:rsidRPr="005F2963">
        <w:rPr>
          <w:rFonts w:ascii="Sylfaen" w:hAnsi="Sylfaen"/>
          <w:b/>
          <w:spacing w:val="-6"/>
          <w:sz w:val="24"/>
          <w:szCs w:val="24"/>
        </w:rPr>
        <w:t>պայծառություն</w:t>
      </w:r>
      <w:r w:rsidR="00CA27E3" w:rsidRPr="005F2963">
        <w:rPr>
          <w:rFonts w:ascii="Sylfaen" w:hAnsi="Sylfaen"/>
          <w:b/>
          <w:spacing w:val="-6"/>
          <w:sz w:val="24"/>
          <w:szCs w:val="24"/>
        </w:rPr>
        <w:t>՝</w:t>
      </w:r>
      <w:r w:rsidR="00CA27E3" w:rsidRPr="005F2963">
        <w:rPr>
          <w:rFonts w:ascii="Sylfaen" w:hAnsi="Sylfaen"/>
          <w:spacing w:val="-6"/>
          <w:sz w:val="24"/>
          <w:szCs w:val="24"/>
        </w:rPr>
        <w:t xml:space="preserve"> որոշակի տարածական անկյան ներսում միավոր տեսանելի մակերեսի վրա մակերեւույթից արտացոլվող կամ ճառագայթվող լույսի քանակ (կդ/մ</w:t>
      </w:r>
      <w:r w:rsidR="00CA27E3" w:rsidRPr="005F2963">
        <w:rPr>
          <w:rFonts w:ascii="Sylfaen" w:hAnsi="Sylfaen"/>
          <w:spacing w:val="-6"/>
          <w:sz w:val="24"/>
          <w:szCs w:val="24"/>
          <w:vertAlign w:val="superscript"/>
        </w:rPr>
        <w:t>2</w:t>
      </w:r>
      <w:r w:rsidR="00CA27E3" w:rsidRPr="005F2963">
        <w:rPr>
          <w:rFonts w:ascii="Sylfaen" w:hAnsi="Sylfaen"/>
          <w:spacing w:val="-6"/>
          <w:sz w:val="24"/>
          <w:szCs w:val="24"/>
        </w:rPr>
        <w:t xml:space="preserve">)։ </w:t>
      </w:r>
    </w:p>
    <w:p w14:paraId="68B19900"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004779B5" w14:textId="77777777" w:rsidR="00CA27E3" w:rsidRPr="00CA27E3" w:rsidRDefault="00CA27E3" w:rsidP="00CA27E3">
      <w:pPr>
        <w:pStyle w:val="a0"/>
        <w:shd w:val="clear" w:color="auto" w:fill="auto"/>
        <w:spacing w:after="160"/>
        <w:ind w:left="567" w:right="559" w:firstLine="0"/>
        <w:jc w:val="center"/>
        <w:rPr>
          <w:rFonts w:ascii="Sylfaen" w:hAnsi="Sylfaen" w:cs="Sylfaen"/>
          <w:sz w:val="24"/>
          <w:szCs w:val="24"/>
        </w:rPr>
      </w:pPr>
      <w:r w:rsidRPr="00CA27E3">
        <w:rPr>
          <w:rFonts w:ascii="Sylfaen" w:hAnsi="Sylfaen"/>
          <w:sz w:val="24"/>
          <w:szCs w:val="24"/>
        </w:rPr>
        <w:t xml:space="preserve">III. Էլեկտրական լամպերի էներգետիկ արդյունավետությանը </w:t>
      </w:r>
      <w:r>
        <w:rPr>
          <w:rFonts w:ascii="Sylfaen" w:hAnsi="Sylfaen"/>
          <w:sz w:val="24"/>
          <w:szCs w:val="24"/>
        </w:rPr>
        <w:t>եւ</w:t>
      </w:r>
      <w:r w:rsidRPr="00CA27E3">
        <w:rPr>
          <w:rFonts w:ascii="Sylfaen" w:hAnsi="Sylfaen"/>
          <w:sz w:val="24"/>
          <w:szCs w:val="24"/>
        </w:rPr>
        <w:t xml:space="preserve"> շահագործման փաստաթղթերին ներկայացվող պահանջները</w:t>
      </w:r>
    </w:p>
    <w:p w14:paraId="5114CD06"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9049EF" w:rsidRPr="009049EF">
        <w:rPr>
          <w:rFonts w:ascii="Sylfaen" w:hAnsi="Sylfaen"/>
          <w:sz w:val="24"/>
          <w:szCs w:val="24"/>
        </w:rPr>
        <w:tab/>
      </w:r>
      <w:r w:rsidRPr="00CA27E3">
        <w:rPr>
          <w:rFonts w:ascii="Sylfaen" w:hAnsi="Sylfaen"/>
          <w:sz w:val="24"/>
          <w:szCs w:val="24"/>
        </w:rPr>
        <w:t xml:space="preserve">Էլեկտրական լամպերի համար պետք է անցկացվեն համապատասխան չափումներ (փորձարկումներ) </w:t>
      </w:r>
      <w:r>
        <w:rPr>
          <w:rFonts w:ascii="Sylfaen" w:hAnsi="Sylfaen"/>
          <w:sz w:val="24"/>
          <w:szCs w:val="24"/>
        </w:rPr>
        <w:t>եւ</w:t>
      </w:r>
      <w:r w:rsidRPr="00CA27E3">
        <w:rPr>
          <w:rFonts w:ascii="Sylfaen" w:hAnsi="Sylfaen"/>
          <w:sz w:val="24"/>
          <w:szCs w:val="24"/>
        </w:rPr>
        <w:t xml:space="preserve"> սահմանվեն հետ</w:t>
      </w:r>
      <w:r>
        <w:rPr>
          <w:rFonts w:ascii="Sylfaen" w:hAnsi="Sylfaen"/>
          <w:sz w:val="24"/>
          <w:szCs w:val="24"/>
        </w:rPr>
        <w:t>եւ</w:t>
      </w:r>
      <w:r w:rsidRPr="00CA27E3">
        <w:rPr>
          <w:rFonts w:ascii="Sylfaen" w:hAnsi="Sylfaen"/>
          <w:sz w:val="24"/>
          <w:szCs w:val="24"/>
        </w:rPr>
        <w:t>յալ արժեքները.</w:t>
      </w:r>
    </w:p>
    <w:p w14:paraId="260A48D5"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9049EF" w:rsidRPr="009049EF">
        <w:rPr>
          <w:rFonts w:ascii="Sylfaen" w:hAnsi="Sylfaen"/>
          <w:sz w:val="24"/>
          <w:szCs w:val="24"/>
        </w:rPr>
        <w:tab/>
      </w:r>
      <w:r w:rsidRPr="00CA27E3">
        <w:rPr>
          <w:rFonts w:ascii="Sylfaen" w:hAnsi="Sylfaen"/>
          <w:sz w:val="24"/>
          <w:szCs w:val="24"/>
        </w:rPr>
        <w:t>լուսատացքը (η</w:t>
      </w:r>
      <w:r w:rsidRPr="00CA27E3">
        <w:rPr>
          <w:rFonts w:ascii="Sylfaen" w:hAnsi="Sylfaen"/>
          <w:sz w:val="24"/>
          <w:szCs w:val="24"/>
          <w:vertAlign w:val="subscript"/>
        </w:rPr>
        <w:t>լ</w:t>
      </w:r>
      <w:r w:rsidRPr="00CA27E3">
        <w:rPr>
          <w:rFonts w:ascii="Sylfaen" w:hAnsi="Sylfaen"/>
          <w:sz w:val="24"/>
          <w:szCs w:val="24"/>
        </w:rPr>
        <w:t>).</w:t>
      </w:r>
    </w:p>
    <w:p w14:paraId="7398D995"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9049EF" w:rsidRPr="009049EF">
        <w:rPr>
          <w:rFonts w:ascii="Sylfaen" w:hAnsi="Sylfaen"/>
          <w:sz w:val="24"/>
          <w:szCs w:val="24"/>
        </w:rPr>
        <w:tab/>
      </w:r>
      <w:r w:rsidRPr="00CA27E3">
        <w:rPr>
          <w:rFonts w:ascii="Sylfaen" w:hAnsi="Sylfaen"/>
          <w:sz w:val="24"/>
          <w:szCs w:val="24"/>
        </w:rPr>
        <w:t>սպառվող հզորությունը (Р</w:t>
      </w:r>
      <w:r w:rsidRPr="00CA27E3">
        <w:rPr>
          <w:rFonts w:ascii="Sylfaen" w:hAnsi="Sylfaen"/>
          <w:sz w:val="24"/>
          <w:szCs w:val="24"/>
          <w:vertAlign w:val="subscript"/>
        </w:rPr>
        <w:t>լ</w:t>
      </w:r>
      <w:r w:rsidRPr="00CA27E3">
        <w:rPr>
          <w:rFonts w:ascii="Sylfaen" w:hAnsi="Sylfaen"/>
          <w:sz w:val="24"/>
          <w:szCs w:val="24"/>
        </w:rPr>
        <w:t>).</w:t>
      </w:r>
    </w:p>
    <w:p w14:paraId="49E030E6"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9049EF" w:rsidRPr="009049EF">
        <w:rPr>
          <w:rFonts w:ascii="Sylfaen" w:hAnsi="Sylfaen"/>
          <w:sz w:val="24"/>
          <w:szCs w:val="24"/>
        </w:rPr>
        <w:tab/>
      </w:r>
      <w:r w:rsidRPr="00CA27E3">
        <w:rPr>
          <w:rFonts w:ascii="Sylfaen" w:hAnsi="Sylfaen"/>
          <w:sz w:val="24"/>
          <w:szCs w:val="24"/>
        </w:rPr>
        <w:t>լամպի լուսային հոսքի պահպանման գործակիցը (LLMF).</w:t>
      </w:r>
      <w:r>
        <w:rPr>
          <w:rFonts w:ascii="Sylfaen" w:hAnsi="Sylfaen"/>
          <w:sz w:val="24"/>
          <w:szCs w:val="24"/>
        </w:rPr>
        <w:t xml:space="preserve"> </w:t>
      </w:r>
    </w:p>
    <w:p w14:paraId="38C0C67D"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9049EF" w:rsidRPr="009049EF">
        <w:rPr>
          <w:rFonts w:ascii="Sylfaen" w:hAnsi="Sylfaen"/>
          <w:sz w:val="24"/>
          <w:szCs w:val="24"/>
        </w:rPr>
        <w:tab/>
      </w:r>
      <w:r w:rsidRPr="00CA27E3">
        <w:rPr>
          <w:rFonts w:ascii="Sylfaen" w:hAnsi="Sylfaen"/>
          <w:sz w:val="24"/>
          <w:szCs w:val="24"/>
        </w:rPr>
        <w:t xml:space="preserve">լամպի ծառայության ժամկետի գործակիցը (LSF). </w:t>
      </w:r>
    </w:p>
    <w:p w14:paraId="568B8891"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9049EF" w:rsidRPr="009049EF">
        <w:rPr>
          <w:rFonts w:ascii="Sylfaen" w:hAnsi="Sylfaen"/>
          <w:sz w:val="24"/>
          <w:szCs w:val="24"/>
        </w:rPr>
        <w:tab/>
      </w:r>
      <w:r w:rsidRPr="00CA27E3">
        <w:rPr>
          <w:rFonts w:ascii="Sylfaen" w:hAnsi="Sylfaen"/>
          <w:sz w:val="24"/>
          <w:szCs w:val="24"/>
        </w:rPr>
        <w:t>լամպի ծառայության ժամկետը.</w:t>
      </w:r>
    </w:p>
    <w:p w14:paraId="420316BD"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9049EF" w:rsidRPr="009049EF">
        <w:rPr>
          <w:rFonts w:ascii="Sylfaen" w:hAnsi="Sylfaen"/>
          <w:sz w:val="24"/>
          <w:szCs w:val="24"/>
        </w:rPr>
        <w:tab/>
      </w:r>
      <w:r w:rsidRPr="00CA27E3">
        <w:rPr>
          <w:rFonts w:ascii="Sylfaen" w:hAnsi="Sylfaen"/>
          <w:sz w:val="24"/>
          <w:szCs w:val="24"/>
        </w:rPr>
        <w:t>գունավորությունը.</w:t>
      </w:r>
    </w:p>
    <w:p w14:paraId="0B8C385D"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է)</w:t>
      </w:r>
      <w:r w:rsidR="009049EF" w:rsidRPr="009049EF">
        <w:rPr>
          <w:rFonts w:ascii="Sylfaen" w:hAnsi="Sylfaen"/>
          <w:sz w:val="24"/>
          <w:szCs w:val="24"/>
        </w:rPr>
        <w:tab/>
      </w:r>
      <w:r w:rsidRPr="00CA27E3">
        <w:rPr>
          <w:rFonts w:ascii="Sylfaen" w:hAnsi="Sylfaen"/>
          <w:sz w:val="24"/>
          <w:szCs w:val="24"/>
        </w:rPr>
        <w:t>լուսային հոսքը (Ф).</w:t>
      </w:r>
    </w:p>
    <w:p w14:paraId="1D5B0A40"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ը)</w:t>
      </w:r>
      <w:r w:rsidR="009049EF" w:rsidRPr="009049EF">
        <w:rPr>
          <w:rFonts w:ascii="Sylfaen" w:hAnsi="Sylfaen"/>
          <w:sz w:val="24"/>
          <w:szCs w:val="24"/>
        </w:rPr>
        <w:tab/>
      </w:r>
      <w:r w:rsidRPr="00CA27E3">
        <w:rPr>
          <w:rFonts w:ascii="Sylfaen" w:hAnsi="Sylfaen"/>
          <w:sz w:val="24"/>
          <w:szCs w:val="24"/>
        </w:rPr>
        <w:t xml:space="preserve">կորելացված գունային ջերմաստիճանը (Тс [К]). </w:t>
      </w:r>
    </w:p>
    <w:p w14:paraId="48A4F125"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թ)</w:t>
      </w:r>
      <w:r w:rsidR="009049EF" w:rsidRPr="009049EF">
        <w:rPr>
          <w:rFonts w:ascii="Sylfaen" w:hAnsi="Sylfaen"/>
          <w:sz w:val="24"/>
          <w:szCs w:val="24"/>
        </w:rPr>
        <w:tab/>
      </w:r>
      <w:r w:rsidRPr="00CA27E3">
        <w:rPr>
          <w:rFonts w:ascii="Sylfaen" w:hAnsi="Sylfaen"/>
          <w:sz w:val="24"/>
          <w:szCs w:val="24"/>
        </w:rPr>
        <w:t>գունահաղորդման ցուցիչը (Ra).</w:t>
      </w:r>
    </w:p>
    <w:p w14:paraId="7AC4059C"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w:t>
      </w:r>
      <w:r w:rsidR="009049EF" w:rsidRPr="009049EF">
        <w:rPr>
          <w:rFonts w:ascii="Sylfaen" w:hAnsi="Sylfaen"/>
          <w:sz w:val="24"/>
          <w:szCs w:val="24"/>
        </w:rPr>
        <w:tab/>
      </w:r>
      <w:r w:rsidRPr="00CA27E3">
        <w:rPr>
          <w:rFonts w:ascii="Sylfaen" w:hAnsi="Sylfaen"/>
          <w:sz w:val="24"/>
          <w:szCs w:val="24"/>
        </w:rPr>
        <w:t>ուլտրամանուշակագույն ճառագայթման արդյունավետությունը.</w:t>
      </w:r>
    </w:p>
    <w:p w14:paraId="4D182476"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ժա)</w:t>
      </w:r>
      <w:r w:rsidR="009049EF" w:rsidRPr="009049EF">
        <w:rPr>
          <w:rFonts w:ascii="Sylfaen" w:hAnsi="Sylfaen"/>
          <w:sz w:val="24"/>
          <w:szCs w:val="24"/>
        </w:rPr>
        <w:tab/>
      </w:r>
      <w:r w:rsidRPr="00CA27E3">
        <w:rPr>
          <w:rFonts w:ascii="Sylfaen" w:hAnsi="Sylfaen"/>
          <w:sz w:val="24"/>
          <w:szCs w:val="24"/>
        </w:rPr>
        <w:t>վառքի ժամանակահատվածը.</w:t>
      </w:r>
    </w:p>
    <w:p w14:paraId="323BA733"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ժբ)</w:t>
      </w:r>
      <w:r w:rsidR="009049EF" w:rsidRPr="009049EF">
        <w:rPr>
          <w:rFonts w:ascii="Sylfaen" w:hAnsi="Sylfaen"/>
          <w:sz w:val="24"/>
          <w:szCs w:val="24"/>
        </w:rPr>
        <w:tab/>
      </w:r>
      <w:r w:rsidRPr="00CA27E3">
        <w:rPr>
          <w:rFonts w:ascii="Sylfaen" w:hAnsi="Sylfaen"/>
          <w:sz w:val="24"/>
          <w:szCs w:val="24"/>
        </w:rPr>
        <w:t>բռնկման ժամանակահատվածը.</w:t>
      </w:r>
    </w:p>
    <w:p w14:paraId="358A0B52" w14:textId="77777777" w:rsidR="00CA27E3" w:rsidRPr="00CA27E3" w:rsidRDefault="00CA27E3" w:rsidP="005F2963">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lastRenderedPageBreak/>
        <w:t>ժգ)</w:t>
      </w:r>
      <w:r w:rsidR="009049EF" w:rsidRPr="009049EF">
        <w:rPr>
          <w:rFonts w:ascii="Sylfaen" w:hAnsi="Sylfaen"/>
          <w:sz w:val="24"/>
          <w:szCs w:val="24"/>
        </w:rPr>
        <w:tab/>
      </w:r>
      <w:r w:rsidRPr="00CA27E3">
        <w:rPr>
          <w:rFonts w:ascii="Sylfaen" w:hAnsi="Sylfaen"/>
          <w:sz w:val="24"/>
          <w:szCs w:val="24"/>
        </w:rPr>
        <w:t>հզորության գործակիցը.</w:t>
      </w:r>
    </w:p>
    <w:p w14:paraId="0BE120AF" w14:textId="77777777" w:rsidR="00CA27E3" w:rsidRPr="00CA27E3" w:rsidRDefault="00CA27E3" w:rsidP="005F2963">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ժդ)</w:t>
      </w:r>
      <w:r w:rsidR="009049EF" w:rsidRPr="009049EF">
        <w:rPr>
          <w:rFonts w:ascii="Sylfaen" w:hAnsi="Sylfaen"/>
          <w:sz w:val="24"/>
          <w:szCs w:val="24"/>
        </w:rPr>
        <w:tab/>
      </w:r>
      <w:r w:rsidRPr="00CA27E3">
        <w:rPr>
          <w:rFonts w:ascii="Sylfaen" w:hAnsi="Sylfaen"/>
          <w:sz w:val="24"/>
          <w:szCs w:val="24"/>
        </w:rPr>
        <w:t>պայծառությունը.</w:t>
      </w:r>
    </w:p>
    <w:p w14:paraId="56AF8F86" w14:textId="77777777" w:rsidR="00CA27E3" w:rsidRPr="00CA27E3" w:rsidRDefault="00CA27E3" w:rsidP="005F2963">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ժե)</w:t>
      </w:r>
      <w:r w:rsidR="009049EF" w:rsidRPr="00DC5495">
        <w:rPr>
          <w:rFonts w:ascii="Sylfaen" w:hAnsi="Sylfaen"/>
          <w:sz w:val="24"/>
          <w:szCs w:val="24"/>
        </w:rPr>
        <w:tab/>
      </w:r>
      <w:r w:rsidRPr="00CA27E3">
        <w:rPr>
          <w:rFonts w:ascii="Sylfaen" w:hAnsi="Sylfaen"/>
          <w:sz w:val="24"/>
          <w:szCs w:val="24"/>
        </w:rPr>
        <w:t>լամպում սնդիկի պարունակությունը։</w:t>
      </w:r>
    </w:p>
    <w:p w14:paraId="2821D921" w14:textId="77777777" w:rsidR="00CA27E3" w:rsidRPr="005F2963" w:rsidRDefault="00CA27E3" w:rsidP="005F2963">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4.</w:t>
      </w:r>
      <w:r w:rsidR="009049EF" w:rsidRPr="009049EF">
        <w:rPr>
          <w:rFonts w:ascii="Sylfaen" w:hAnsi="Sylfaen"/>
          <w:sz w:val="24"/>
          <w:szCs w:val="24"/>
        </w:rPr>
        <w:tab/>
      </w:r>
      <w:r w:rsidRPr="00CA27E3">
        <w:rPr>
          <w:rFonts w:ascii="Sylfaen" w:hAnsi="Sylfaen"/>
          <w:sz w:val="24"/>
          <w:szCs w:val="24"/>
        </w:rPr>
        <w:t>Որոշակի լուսային հոսքի (Ф) համար առավելագույն սպառվող հզորության հաշվարկային արժեքը ((P</w:t>
      </w:r>
      <w:r w:rsidRPr="00CA27E3">
        <w:rPr>
          <w:rFonts w:ascii="Sylfaen" w:hAnsi="Sylfaen"/>
          <w:sz w:val="24"/>
          <w:szCs w:val="24"/>
          <w:vertAlign w:val="subscript"/>
        </w:rPr>
        <w:t>max</w:t>
      </w:r>
      <w:r w:rsidRPr="00CA27E3">
        <w:rPr>
          <w:rFonts w:ascii="Sylfaen" w:hAnsi="Sylfaen"/>
          <w:sz w:val="24"/>
          <w:szCs w:val="24"/>
        </w:rPr>
        <w:t>) չպետք է գերազանցի 1-ին աղյուսակում նշված արժեքները։</w:t>
      </w:r>
      <w:r>
        <w:rPr>
          <w:rFonts w:ascii="Sylfaen" w:hAnsi="Sylfaen"/>
          <w:sz w:val="24"/>
          <w:szCs w:val="24"/>
        </w:rPr>
        <w:t xml:space="preserve"> </w:t>
      </w:r>
    </w:p>
    <w:p w14:paraId="35938B79" w14:textId="77777777" w:rsidR="00CA27E3" w:rsidRPr="00CA27E3" w:rsidRDefault="00CA27E3" w:rsidP="005F2963">
      <w:pPr>
        <w:pStyle w:val="a0"/>
        <w:shd w:val="clear" w:color="auto" w:fill="auto"/>
        <w:spacing w:after="160" w:line="341" w:lineRule="auto"/>
        <w:ind w:firstLine="567"/>
        <w:jc w:val="both"/>
        <w:rPr>
          <w:rFonts w:ascii="Sylfaen" w:hAnsi="Sylfaen" w:cs="Sylfaen"/>
          <w:sz w:val="24"/>
          <w:szCs w:val="24"/>
        </w:rPr>
      </w:pPr>
    </w:p>
    <w:p w14:paraId="785A7B8B" w14:textId="77777777" w:rsidR="00CA27E3" w:rsidRPr="00CA27E3" w:rsidRDefault="00CA27E3" w:rsidP="005F2963">
      <w:pPr>
        <w:pStyle w:val="a2"/>
        <w:shd w:val="clear" w:color="auto" w:fill="auto"/>
        <w:spacing w:after="160" w:line="341" w:lineRule="auto"/>
        <w:ind w:left="86"/>
        <w:jc w:val="right"/>
        <w:rPr>
          <w:rFonts w:ascii="Sylfaen" w:hAnsi="Sylfaen" w:cs="Sylfaen"/>
          <w:sz w:val="24"/>
          <w:szCs w:val="24"/>
        </w:rPr>
      </w:pPr>
      <w:r w:rsidRPr="00CA27E3">
        <w:rPr>
          <w:rFonts w:ascii="Sylfaen" w:hAnsi="Sylfaen"/>
          <w:sz w:val="24"/>
          <w:szCs w:val="24"/>
        </w:rPr>
        <w:t>Աղյուսակ 1</w:t>
      </w:r>
    </w:p>
    <w:p w14:paraId="4242747D" w14:textId="77777777" w:rsidR="00CA27E3" w:rsidRPr="00CA27E3" w:rsidRDefault="00CA27E3" w:rsidP="005F2963">
      <w:pPr>
        <w:pStyle w:val="a2"/>
        <w:shd w:val="clear" w:color="auto" w:fill="auto"/>
        <w:spacing w:after="160" w:line="341" w:lineRule="auto"/>
        <w:ind w:left="86"/>
        <w:jc w:val="center"/>
        <w:rPr>
          <w:rFonts w:ascii="Sylfaen" w:hAnsi="Sylfaen" w:cs="Sylfaen"/>
          <w:sz w:val="24"/>
          <w:szCs w:val="24"/>
        </w:rPr>
      </w:pPr>
      <w:r w:rsidRPr="00CA27E3">
        <w:rPr>
          <w:rFonts w:ascii="Sylfaen" w:hAnsi="Sylfaen"/>
          <w:sz w:val="24"/>
          <w:szCs w:val="24"/>
        </w:rPr>
        <w:t>Էներգասպառման սահմանային թույլատրելի արժեքները</w:t>
      </w:r>
    </w:p>
    <w:tbl>
      <w:tblPr>
        <w:tblOverlap w:val="never"/>
        <w:tblW w:w="9472" w:type="dxa"/>
        <w:jc w:val="center"/>
        <w:tblLayout w:type="fixed"/>
        <w:tblCellMar>
          <w:left w:w="10" w:type="dxa"/>
          <w:right w:w="10" w:type="dxa"/>
        </w:tblCellMar>
        <w:tblLook w:val="0000" w:firstRow="0" w:lastRow="0" w:firstColumn="0" w:lastColumn="0" w:noHBand="0" w:noVBand="0"/>
      </w:tblPr>
      <w:tblGrid>
        <w:gridCol w:w="3377"/>
        <w:gridCol w:w="3260"/>
        <w:gridCol w:w="2835"/>
      </w:tblGrid>
      <w:tr w:rsidR="00CA27E3" w:rsidRPr="00066F60" w14:paraId="6B630CEF" w14:textId="77777777" w:rsidTr="005F2963">
        <w:trPr>
          <w:jc w:val="center"/>
        </w:trPr>
        <w:tc>
          <w:tcPr>
            <w:tcW w:w="3377" w:type="dxa"/>
            <w:vMerge w:val="restart"/>
            <w:tcBorders>
              <w:top w:val="single" w:sz="4" w:space="0" w:color="auto"/>
              <w:left w:val="single" w:sz="4" w:space="0" w:color="auto"/>
            </w:tcBorders>
            <w:shd w:val="clear" w:color="auto" w:fill="FFFFFF"/>
            <w:vAlign w:val="center"/>
          </w:tcPr>
          <w:p w14:paraId="0A7BB5F5" w14:textId="77777777" w:rsidR="00CA27E3" w:rsidRPr="00066F60" w:rsidRDefault="00CA27E3" w:rsidP="009049EF">
            <w:pPr>
              <w:pStyle w:val="a4"/>
              <w:shd w:val="clear" w:color="auto" w:fill="auto"/>
              <w:spacing w:after="120" w:line="240" w:lineRule="auto"/>
              <w:ind w:right="127" w:firstLine="0"/>
              <w:jc w:val="center"/>
              <w:rPr>
                <w:rFonts w:ascii="Sylfaen" w:hAnsi="Sylfaen" w:cs="Sylfaen"/>
                <w:sz w:val="20"/>
                <w:szCs w:val="20"/>
              </w:rPr>
            </w:pPr>
            <w:r w:rsidRPr="00066F60">
              <w:rPr>
                <w:rFonts w:ascii="Sylfaen" w:hAnsi="Sylfaen"/>
                <w:sz w:val="20"/>
                <w:szCs w:val="20"/>
              </w:rPr>
              <w:t>Սույն պահանջներն ուժի մեջ մտնելու ժամկետը</w:t>
            </w:r>
          </w:p>
        </w:tc>
        <w:tc>
          <w:tcPr>
            <w:tcW w:w="6095" w:type="dxa"/>
            <w:gridSpan w:val="2"/>
            <w:tcBorders>
              <w:top w:val="single" w:sz="4" w:space="0" w:color="auto"/>
              <w:left w:val="single" w:sz="4" w:space="0" w:color="auto"/>
              <w:right w:val="single" w:sz="4" w:space="0" w:color="auto"/>
            </w:tcBorders>
            <w:shd w:val="clear" w:color="auto" w:fill="FFFFFF"/>
            <w:vAlign w:val="center"/>
          </w:tcPr>
          <w:p w14:paraId="4700239D" w14:textId="77777777" w:rsidR="00CA27E3" w:rsidRPr="00066F60" w:rsidRDefault="00CA27E3" w:rsidP="009049EF">
            <w:pPr>
              <w:pStyle w:val="a4"/>
              <w:shd w:val="clear" w:color="auto" w:fill="auto"/>
              <w:spacing w:after="120" w:line="240" w:lineRule="auto"/>
              <w:ind w:right="104" w:firstLine="0"/>
              <w:jc w:val="center"/>
              <w:rPr>
                <w:rFonts w:ascii="Sylfaen" w:hAnsi="Sylfaen" w:cs="Sylfaen"/>
                <w:sz w:val="20"/>
                <w:szCs w:val="20"/>
              </w:rPr>
            </w:pPr>
            <w:r w:rsidRPr="00066F60">
              <w:rPr>
                <w:rFonts w:ascii="Sylfaen" w:hAnsi="Sylfaen"/>
                <w:sz w:val="20"/>
                <w:szCs w:val="20"/>
              </w:rPr>
              <w:t>Սպառվող հզորության սահմանային թույլատրելի արժեքը (P</w:t>
            </w:r>
            <w:r w:rsidRPr="00066F60">
              <w:rPr>
                <w:rFonts w:ascii="Sylfaen" w:hAnsi="Sylfaen"/>
                <w:sz w:val="20"/>
                <w:szCs w:val="20"/>
                <w:vertAlign w:val="subscript"/>
              </w:rPr>
              <w:t>max</w:t>
            </w:r>
            <w:r w:rsidRPr="00066F60">
              <w:rPr>
                <w:rFonts w:ascii="Sylfaen" w:hAnsi="Sylfaen"/>
                <w:sz w:val="20"/>
                <w:szCs w:val="20"/>
              </w:rPr>
              <w:t>) (Վտ-ով)՝ կախված լուսային հոսքից (Φ) (լմ-ով)՝</w:t>
            </w:r>
          </w:p>
        </w:tc>
      </w:tr>
      <w:tr w:rsidR="00CA27E3" w:rsidRPr="00066F60" w14:paraId="4F1B18B3" w14:textId="77777777" w:rsidTr="005F2963">
        <w:trPr>
          <w:jc w:val="center"/>
        </w:trPr>
        <w:tc>
          <w:tcPr>
            <w:tcW w:w="3377" w:type="dxa"/>
            <w:vMerge/>
            <w:tcBorders>
              <w:left w:val="single" w:sz="4" w:space="0" w:color="auto"/>
            </w:tcBorders>
            <w:shd w:val="clear" w:color="auto" w:fill="FFFFFF"/>
            <w:vAlign w:val="center"/>
          </w:tcPr>
          <w:p w14:paraId="51F410ED" w14:textId="77777777" w:rsidR="00CA27E3" w:rsidRPr="00066F60" w:rsidRDefault="00CA27E3" w:rsidP="009049EF">
            <w:pPr>
              <w:spacing w:after="120"/>
              <w:jc w:val="center"/>
              <w:rPr>
                <w:rFonts w:ascii="Sylfaen" w:hAnsi="Sylfaen" w:cs="Sylfaen"/>
                <w:sz w:val="20"/>
                <w:szCs w:val="20"/>
              </w:rPr>
            </w:pPr>
          </w:p>
        </w:tc>
        <w:tc>
          <w:tcPr>
            <w:tcW w:w="3260" w:type="dxa"/>
            <w:tcBorders>
              <w:top w:val="single" w:sz="4" w:space="0" w:color="auto"/>
              <w:left w:val="single" w:sz="4" w:space="0" w:color="auto"/>
            </w:tcBorders>
            <w:shd w:val="clear" w:color="auto" w:fill="FFFFFF"/>
            <w:vAlign w:val="center"/>
          </w:tcPr>
          <w:p w14:paraId="1B3A47B7" w14:textId="77777777" w:rsidR="00CA27E3" w:rsidRPr="00066F60" w:rsidRDefault="00CA27E3" w:rsidP="009049EF">
            <w:pPr>
              <w:pStyle w:val="a4"/>
              <w:shd w:val="clear" w:color="auto" w:fill="auto"/>
              <w:spacing w:after="120" w:line="240" w:lineRule="auto"/>
              <w:ind w:right="126" w:firstLine="0"/>
              <w:jc w:val="center"/>
              <w:rPr>
                <w:rFonts w:ascii="Sylfaen" w:hAnsi="Sylfaen" w:cs="Sylfaen"/>
                <w:sz w:val="20"/>
                <w:szCs w:val="20"/>
              </w:rPr>
            </w:pPr>
            <w:r w:rsidRPr="00066F60">
              <w:rPr>
                <w:rFonts w:ascii="Sylfaen" w:hAnsi="Sylfaen"/>
                <w:sz w:val="20"/>
                <w:szCs w:val="20"/>
              </w:rPr>
              <w:t>թափանցիկ լամպանոթով լամպերի համար</w:t>
            </w:r>
          </w:p>
        </w:tc>
        <w:tc>
          <w:tcPr>
            <w:tcW w:w="2835" w:type="dxa"/>
            <w:tcBorders>
              <w:top w:val="single" w:sz="4" w:space="0" w:color="auto"/>
              <w:left w:val="single" w:sz="4" w:space="0" w:color="auto"/>
              <w:right w:val="single" w:sz="4" w:space="0" w:color="auto"/>
            </w:tcBorders>
            <w:shd w:val="clear" w:color="auto" w:fill="FFFFFF"/>
            <w:vAlign w:val="center"/>
          </w:tcPr>
          <w:p w14:paraId="25DDF560"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անթափանց լամպանոթով լամպերի համար</w:t>
            </w:r>
          </w:p>
        </w:tc>
      </w:tr>
      <w:tr w:rsidR="00CA27E3" w:rsidRPr="00066F60" w14:paraId="1B66B9D2" w14:textId="77777777" w:rsidTr="005F2963">
        <w:trPr>
          <w:jc w:val="center"/>
        </w:trPr>
        <w:tc>
          <w:tcPr>
            <w:tcW w:w="3377" w:type="dxa"/>
            <w:tcBorders>
              <w:top w:val="single" w:sz="4" w:space="0" w:color="auto"/>
              <w:left w:val="single" w:sz="4" w:space="0" w:color="auto"/>
            </w:tcBorders>
            <w:shd w:val="clear" w:color="auto" w:fill="FFFFFF"/>
          </w:tcPr>
          <w:p w14:paraId="5D8F670A"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2020 թվականի սեպտեմբերի 1-ից</w:t>
            </w:r>
          </w:p>
        </w:tc>
        <w:tc>
          <w:tcPr>
            <w:tcW w:w="3260" w:type="dxa"/>
            <w:tcBorders>
              <w:top w:val="single" w:sz="4" w:space="0" w:color="auto"/>
              <w:left w:val="single" w:sz="4" w:space="0" w:color="auto"/>
            </w:tcBorders>
            <w:shd w:val="clear" w:color="auto" w:fill="FFFFFF"/>
          </w:tcPr>
          <w:p w14:paraId="6170C69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0,8 × (0,88 √ Φ +0,049 Φ)</w:t>
            </w:r>
          </w:p>
        </w:tc>
        <w:tc>
          <w:tcPr>
            <w:tcW w:w="2835" w:type="dxa"/>
            <w:tcBorders>
              <w:top w:val="single" w:sz="4" w:space="0" w:color="auto"/>
              <w:left w:val="single" w:sz="4" w:space="0" w:color="auto"/>
              <w:right w:val="single" w:sz="4" w:space="0" w:color="auto"/>
            </w:tcBorders>
            <w:shd w:val="clear" w:color="auto" w:fill="FFFFFF"/>
          </w:tcPr>
          <w:p w14:paraId="3E7EA40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0,24 √ Φ + 0,0103 Φ</w:t>
            </w:r>
          </w:p>
        </w:tc>
      </w:tr>
      <w:tr w:rsidR="00CA27E3" w:rsidRPr="00066F60" w14:paraId="449A8C63" w14:textId="77777777" w:rsidTr="005F2963">
        <w:trPr>
          <w:jc w:val="center"/>
        </w:trPr>
        <w:tc>
          <w:tcPr>
            <w:tcW w:w="3377" w:type="dxa"/>
            <w:tcBorders>
              <w:top w:val="single" w:sz="4" w:space="0" w:color="auto"/>
              <w:left w:val="single" w:sz="4" w:space="0" w:color="auto"/>
              <w:bottom w:val="single" w:sz="4" w:space="0" w:color="auto"/>
            </w:tcBorders>
            <w:shd w:val="clear" w:color="auto" w:fill="FFFFFF"/>
          </w:tcPr>
          <w:p w14:paraId="4EF35FA4"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2025 թվականի սեպտեմբերի 1-ից</w:t>
            </w:r>
          </w:p>
        </w:tc>
        <w:tc>
          <w:tcPr>
            <w:tcW w:w="3260" w:type="dxa"/>
            <w:tcBorders>
              <w:top w:val="single" w:sz="4" w:space="0" w:color="auto"/>
              <w:left w:val="single" w:sz="4" w:space="0" w:color="auto"/>
              <w:bottom w:val="single" w:sz="4" w:space="0" w:color="auto"/>
            </w:tcBorders>
            <w:shd w:val="clear" w:color="auto" w:fill="FFFFFF"/>
          </w:tcPr>
          <w:p w14:paraId="69A8F2D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0,6 × (0,88 √ Φ +0,049 Φ)</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1178066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0,24 √ Φ + 0,0103 Φ</w:t>
            </w:r>
          </w:p>
        </w:tc>
      </w:tr>
    </w:tbl>
    <w:p w14:paraId="78088C2D" w14:textId="77777777" w:rsidR="00066F60" w:rsidRDefault="00066F60" w:rsidP="00CA27E3">
      <w:pPr>
        <w:pStyle w:val="a0"/>
        <w:shd w:val="clear" w:color="auto" w:fill="auto"/>
        <w:spacing w:after="160"/>
        <w:ind w:firstLine="567"/>
        <w:jc w:val="both"/>
        <w:rPr>
          <w:rFonts w:ascii="Sylfaen" w:hAnsi="Sylfaen"/>
          <w:sz w:val="24"/>
          <w:szCs w:val="24"/>
        </w:rPr>
      </w:pPr>
    </w:p>
    <w:p w14:paraId="7AF68ED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1-ին աղյուսակում նշված սահմանային թույլատրելի արժեքներից բացառությունները բերված են 2-րդ աղյուսակում։</w:t>
      </w:r>
    </w:p>
    <w:p w14:paraId="5FD37925" w14:textId="77777777" w:rsidR="00066F60" w:rsidRDefault="00066F60" w:rsidP="00CA27E3">
      <w:pPr>
        <w:pStyle w:val="a0"/>
        <w:shd w:val="clear" w:color="auto" w:fill="auto"/>
        <w:spacing w:after="160"/>
        <w:ind w:right="360" w:firstLine="0"/>
        <w:jc w:val="right"/>
        <w:rPr>
          <w:rFonts w:ascii="Sylfaen" w:hAnsi="Sylfaen"/>
          <w:sz w:val="24"/>
          <w:szCs w:val="24"/>
        </w:rPr>
      </w:pPr>
    </w:p>
    <w:p w14:paraId="4EDB5795" w14:textId="77777777" w:rsidR="00CA27E3" w:rsidRPr="00CA27E3" w:rsidRDefault="00CA27E3" w:rsidP="00CA27E3">
      <w:pPr>
        <w:pStyle w:val="a0"/>
        <w:shd w:val="clear" w:color="auto" w:fill="auto"/>
        <w:spacing w:after="160"/>
        <w:ind w:right="360" w:firstLine="0"/>
        <w:jc w:val="right"/>
        <w:rPr>
          <w:rFonts w:ascii="Sylfaen" w:hAnsi="Sylfaen" w:cs="Sylfaen"/>
          <w:sz w:val="24"/>
          <w:szCs w:val="24"/>
        </w:rPr>
      </w:pPr>
      <w:r w:rsidRPr="00CA27E3">
        <w:rPr>
          <w:rFonts w:ascii="Sylfaen" w:hAnsi="Sylfaen"/>
          <w:sz w:val="24"/>
          <w:szCs w:val="24"/>
        </w:rPr>
        <w:t>Աղյուսակ 2</w:t>
      </w:r>
    </w:p>
    <w:p w14:paraId="4FBBD27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Էներգասպառման սահմանային թույլատրելի արժեքներից բացառությունները*</w:t>
      </w:r>
    </w:p>
    <w:tbl>
      <w:tblPr>
        <w:tblOverlap w:val="never"/>
        <w:tblW w:w="9472" w:type="dxa"/>
        <w:jc w:val="center"/>
        <w:tblLayout w:type="fixed"/>
        <w:tblCellMar>
          <w:left w:w="10" w:type="dxa"/>
          <w:right w:w="10" w:type="dxa"/>
        </w:tblCellMar>
        <w:tblLook w:val="0020" w:firstRow="1" w:lastRow="0" w:firstColumn="0" w:lastColumn="0" w:noHBand="0" w:noVBand="0"/>
      </w:tblPr>
      <w:tblGrid>
        <w:gridCol w:w="3802"/>
        <w:gridCol w:w="2495"/>
        <w:gridCol w:w="3175"/>
      </w:tblGrid>
      <w:tr w:rsidR="00CA27E3" w:rsidRPr="00066F60" w14:paraId="6B4A0107" w14:textId="77777777" w:rsidTr="005F2963">
        <w:trPr>
          <w:tblHeader/>
          <w:jc w:val="center"/>
        </w:trPr>
        <w:tc>
          <w:tcPr>
            <w:tcW w:w="3802" w:type="dxa"/>
            <w:tcBorders>
              <w:top w:val="single" w:sz="4" w:space="0" w:color="auto"/>
              <w:left w:val="single" w:sz="4" w:space="0" w:color="auto"/>
            </w:tcBorders>
            <w:shd w:val="clear" w:color="auto" w:fill="FFFFFF"/>
            <w:vAlign w:val="center"/>
          </w:tcPr>
          <w:p w14:paraId="7386B357" w14:textId="77777777" w:rsidR="00CA27E3" w:rsidRPr="00066F60" w:rsidRDefault="00CA27E3" w:rsidP="009049EF">
            <w:pPr>
              <w:pStyle w:val="a4"/>
              <w:shd w:val="clear" w:color="auto" w:fill="auto"/>
              <w:spacing w:after="120" w:line="240" w:lineRule="auto"/>
              <w:ind w:right="126" w:firstLine="0"/>
              <w:jc w:val="center"/>
              <w:rPr>
                <w:rFonts w:ascii="Sylfaen" w:hAnsi="Sylfaen" w:cs="Sylfaen"/>
                <w:sz w:val="20"/>
                <w:szCs w:val="20"/>
              </w:rPr>
            </w:pPr>
            <w:r w:rsidRPr="00066F60">
              <w:rPr>
                <w:rFonts w:ascii="Sylfaen" w:hAnsi="Sylfaen"/>
                <w:sz w:val="20"/>
                <w:szCs w:val="20"/>
              </w:rPr>
              <w:t xml:space="preserve">Սույն փաստաթղթի պահանջներն ուժի մեջ մտնելու ժամկետը </w:t>
            </w:r>
          </w:p>
        </w:tc>
        <w:tc>
          <w:tcPr>
            <w:tcW w:w="2495" w:type="dxa"/>
            <w:tcBorders>
              <w:top w:val="single" w:sz="4" w:space="0" w:color="auto"/>
              <w:left w:val="single" w:sz="4" w:space="0" w:color="auto"/>
            </w:tcBorders>
            <w:shd w:val="clear" w:color="auto" w:fill="FFFFFF"/>
            <w:vAlign w:val="center"/>
          </w:tcPr>
          <w:p w14:paraId="119AF7B6" w14:textId="77777777" w:rsidR="00CA27E3" w:rsidRPr="00066F60" w:rsidRDefault="00CA27E3" w:rsidP="009049EF">
            <w:pPr>
              <w:pStyle w:val="a4"/>
              <w:shd w:val="clear" w:color="auto" w:fill="auto"/>
              <w:spacing w:after="120" w:line="240" w:lineRule="auto"/>
              <w:ind w:right="129" w:firstLine="0"/>
              <w:jc w:val="center"/>
              <w:rPr>
                <w:rFonts w:ascii="Sylfaen" w:hAnsi="Sylfaen" w:cs="Sylfaen"/>
                <w:sz w:val="20"/>
                <w:szCs w:val="20"/>
              </w:rPr>
            </w:pPr>
            <w:r w:rsidRPr="00066F60">
              <w:rPr>
                <w:rFonts w:ascii="Sylfaen" w:hAnsi="Sylfaen"/>
                <w:sz w:val="20"/>
                <w:szCs w:val="20"/>
              </w:rPr>
              <w:t>Բացառությունների շարքին դասվող լամպերը</w:t>
            </w:r>
          </w:p>
        </w:tc>
        <w:tc>
          <w:tcPr>
            <w:tcW w:w="3175" w:type="dxa"/>
            <w:tcBorders>
              <w:top w:val="single" w:sz="4" w:space="0" w:color="auto"/>
              <w:left w:val="single" w:sz="4" w:space="0" w:color="auto"/>
              <w:right w:val="single" w:sz="4" w:space="0" w:color="auto"/>
            </w:tcBorders>
            <w:shd w:val="clear" w:color="auto" w:fill="FFFFFF"/>
            <w:vAlign w:val="center"/>
          </w:tcPr>
          <w:p w14:paraId="011DB233" w14:textId="77777777" w:rsidR="00CA27E3" w:rsidRPr="00066F60" w:rsidRDefault="00CA27E3" w:rsidP="009049EF">
            <w:pPr>
              <w:pStyle w:val="a4"/>
              <w:shd w:val="clear" w:color="auto" w:fill="auto"/>
              <w:spacing w:after="120" w:line="240" w:lineRule="auto"/>
              <w:ind w:right="104" w:firstLine="0"/>
              <w:jc w:val="center"/>
              <w:rPr>
                <w:rFonts w:ascii="Sylfaen" w:hAnsi="Sylfaen" w:cs="Sylfaen"/>
                <w:sz w:val="20"/>
                <w:szCs w:val="20"/>
              </w:rPr>
            </w:pPr>
            <w:r w:rsidRPr="00066F60">
              <w:rPr>
                <w:rFonts w:ascii="Sylfaen" w:hAnsi="Sylfaen"/>
                <w:sz w:val="20"/>
                <w:szCs w:val="20"/>
              </w:rPr>
              <w:t>Սպառվող հզորության սահմանային թույլատրելի արժեքը (P</w:t>
            </w:r>
            <w:r w:rsidRPr="00066F60">
              <w:rPr>
                <w:rFonts w:ascii="Sylfaen" w:hAnsi="Sylfaen"/>
                <w:sz w:val="20"/>
                <w:szCs w:val="20"/>
                <w:vertAlign w:val="subscript"/>
              </w:rPr>
              <w:t>max</w:t>
            </w:r>
            <w:r w:rsidRPr="00066F60">
              <w:rPr>
                <w:rFonts w:ascii="Sylfaen" w:hAnsi="Sylfaen"/>
                <w:sz w:val="20"/>
                <w:szCs w:val="20"/>
              </w:rPr>
              <w:t>) (Վտ-ով)՝ կախված լուսային հոսքից (Φ) (լմ-ով)՝</w:t>
            </w:r>
          </w:p>
        </w:tc>
      </w:tr>
      <w:tr w:rsidR="00CA27E3" w:rsidRPr="00066F60" w14:paraId="45A585C5" w14:textId="77777777" w:rsidTr="005F2963">
        <w:trPr>
          <w:jc w:val="center"/>
        </w:trPr>
        <w:tc>
          <w:tcPr>
            <w:tcW w:w="3802" w:type="dxa"/>
            <w:tcBorders>
              <w:top w:val="single" w:sz="4" w:space="0" w:color="auto"/>
              <w:left w:val="single" w:sz="4" w:space="0" w:color="auto"/>
            </w:tcBorders>
            <w:shd w:val="clear" w:color="auto" w:fill="FFFFFF"/>
            <w:vAlign w:val="center"/>
          </w:tcPr>
          <w:p w14:paraId="111653B9"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2020 թվականի սեպտեմբերի 1-ից</w:t>
            </w:r>
          </w:p>
        </w:tc>
        <w:tc>
          <w:tcPr>
            <w:tcW w:w="2495" w:type="dxa"/>
            <w:tcBorders>
              <w:top w:val="single" w:sz="4" w:space="0" w:color="auto"/>
              <w:left w:val="single" w:sz="4" w:space="0" w:color="auto"/>
            </w:tcBorders>
            <w:shd w:val="clear" w:color="auto" w:fill="FFFFFF"/>
            <w:vAlign w:val="center"/>
          </w:tcPr>
          <w:p w14:paraId="209687B2"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թափանցիկ լամպանոթով եւ լուսային հոսքով՝</w:t>
            </w:r>
            <w:r w:rsidR="009049EF" w:rsidRPr="009049EF">
              <w:rPr>
                <w:rFonts w:ascii="Sylfaen" w:hAnsi="Sylfaen"/>
                <w:sz w:val="20"/>
                <w:szCs w:val="20"/>
              </w:rPr>
              <w:t xml:space="preserve"> </w:t>
            </w:r>
            <w:r w:rsidR="009049EF" w:rsidRPr="009049EF">
              <w:rPr>
                <w:rFonts w:ascii="Sylfaen" w:hAnsi="Sylfaen"/>
                <w:sz w:val="20"/>
                <w:szCs w:val="20"/>
              </w:rPr>
              <w:br/>
            </w:r>
            <w:r w:rsidRPr="00066F60">
              <w:rPr>
                <w:rFonts w:ascii="Sylfaen" w:hAnsi="Sylfaen"/>
                <w:sz w:val="20"/>
                <w:szCs w:val="20"/>
              </w:rPr>
              <w:t>60 √ Φ + 950 Φ</w:t>
            </w:r>
          </w:p>
        </w:tc>
        <w:tc>
          <w:tcPr>
            <w:tcW w:w="3175" w:type="dxa"/>
            <w:tcBorders>
              <w:top w:val="single" w:sz="4" w:space="0" w:color="auto"/>
              <w:left w:val="single" w:sz="4" w:space="0" w:color="auto"/>
              <w:right w:val="single" w:sz="4" w:space="0" w:color="auto"/>
            </w:tcBorders>
            <w:shd w:val="clear" w:color="auto" w:fill="FFFFFF"/>
            <w:vAlign w:val="center"/>
          </w:tcPr>
          <w:p w14:paraId="49E086F0"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1,1 × (0,88 √ Φ +0,049 Φ)</w:t>
            </w:r>
          </w:p>
        </w:tc>
      </w:tr>
      <w:tr w:rsidR="00CA27E3" w:rsidRPr="00066F60" w14:paraId="737B6B7D" w14:textId="77777777" w:rsidTr="005F2963">
        <w:trPr>
          <w:jc w:val="center"/>
        </w:trPr>
        <w:tc>
          <w:tcPr>
            <w:tcW w:w="3802" w:type="dxa"/>
            <w:tcBorders>
              <w:top w:val="single" w:sz="4" w:space="0" w:color="auto"/>
              <w:left w:val="single" w:sz="4" w:space="0" w:color="auto"/>
            </w:tcBorders>
            <w:shd w:val="clear" w:color="auto" w:fill="FFFFFF"/>
            <w:vAlign w:val="center"/>
          </w:tcPr>
          <w:p w14:paraId="7A09B592"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2022 թվականի սեպտեմբերի 1-ից</w:t>
            </w:r>
          </w:p>
        </w:tc>
        <w:tc>
          <w:tcPr>
            <w:tcW w:w="2495" w:type="dxa"/>
            <w:tcBorders>
              <w:top w:val="single" w:sz="4" w:space="0" w:color="auto"/>
              <w:left w:val="single" w:sz="4" w:space="0" w:color="auto"/>
            </w:tcBorders>
            <w:shd w:val="clear" w:color="auto" w:fill="FFFFFF"/>
            <w:vAlign w:val="center"/>
          </w:tcPr>
          <w:p w14:paraId="6187AE87"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թափանցիկ լամպանոթով եւ լուսային հոսքով՝</w:t>
            </w:r>
            <w:r w:rsidR="009049EF" w:rsidRPr="009049EF">
              <w:rPr>
                <w:rFonts w:ascii="Sylfaen" w:hAnsi="Sylfaen" w:cs="Sylfaen"/>
                <w:sz w:val="20"/>
                <w:szCs w:val="20"/>
              </w:rPr>
              <w:br/>
            </w:r>
            <w:r w:rsidRPr="00066F60">
              <w:rPr>
                <w:rFonts w:ascii="Sylfaen" w:hAnsi="Sylfaen"/>
                <w:sz w:val="20"/>
                <w:szCs w:val="20"/>
              </w:rPr>
              <w:t>60 լմ ≤ Φ ≤ 725 լմ</w:t>
            </w:r>
          </w:p>
        </w:tc>
        <w:tc>
          <w:tcPr>
            <w:tcW w:w="3175" w:type="dxa"/>
            <w:tcBorders>
              <w:top w:val="single" w:sz="4" w:space="0" w:color="auto"/>
              <w:left w:val="single" w:sz="4" w:space="0" w:color="auto"/>
              <w:right w:val="single" w:sz="4" w:space="0" w:color="auto"/>
            </w:tcBorders>
            <w:shd w:val="clear" w:color="auto" w:fill="FFFFFF"/>
            <w:vAlign w:val="center"/>
          </w:tcPr>
          <w:p w14:paraId="2D3F6110"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1,1 × (0,88 √ Ф +0,049 Ф)</w:t>
            </w:r>
          </w:p>
        </w:tc>
      </w:tr>
      <w:tr w:rsidR="00CA27E3" w:rsidRPr="00066F60" w14:paraId="2812066E" w14:textId="77777777" w:rsidTr="005F2963">
        <w:trPr>
          <w:jc w:val="center"/>
        </w:trPr>
        <w:tc>
          <w:tcPr>
            <w:tcW w:w="3802" w:type="dxa"/>
            <w:tcBorders>
              <w:top w:val="single" w:sz="4" w:space="0" w:color="auto"/>
              <w:left w:val="single" w:sz="4" w:space="0" w:color="auto"/>
            </w:tcBorders>
            <w:shd w:val="clear" w:color="auto" w:fill="FFFFFF"/>
            <w:vAlign w:val="center"/>
          </w:tcPr>
          <w:p w14:paraId="60D7A1F4"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lastRenderedPageBreak/>
              <w:t>2023 թվականի սեպտեմբերի 1-ից</w:t>
            </w:r>
          </w:p>
        </w:tc>
        <w:tc>
          <w:tcPr>
            <w:tcW w:w="2495" w:type="dxa"/>
            <w:tcBorders>
              <w:top w:val="single" w:sz="4" w:space="0" w:color="auto"/>
              <w:left w:val="single" w:sz="4" w:space="0" w:color="auto"/>
            </w:tcBorders>
            <w:shd w:val="clear" w:color="auto" w:fill="FFFFFF"/>
            <w:vAlign w:val="center"/>
          </w:tcPr>
          <w:p w14:paraId="4B6CFE1C"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թափանցիկ լամպանոթով եւ լուսային հոսքով՝</w:t>
            </w:r>
            <w:r w:rsidR="009049EF" w:rsidRPr="009049EF">
              <w:rPr>
                <w:rFonts w:ascii="Sylfaen" w:hAnsi="Sylfaen" w:cs="Sylfaen"/>
                <w:sz w:val="20"/>
                <w:szCs w:val="20"/>
              </w:rPr>
              <w:br/>
            </w:r>
            <w:r w:rsidRPr="00066F60">
              <w:rPr>
                <w:rFonts w:ascii="Sylfaen" w:hAnsi="Sylfaen"/>
                <w:sz w:val="20"/>
                <w:szCs w:val="20"/>
              </w:rPr>
              <w:t>60 լմ ≤ Φ ≤ 450 լմ</w:t>
            </w:r>
          </w:p>
        </w:tc>
        <w:tc>
          <w:tcPr>
            <w:tcW w:w="3175" w:type="dxa"/>
            <w:tcBorders>
              <w:top w:val="single" w:sz="4" w:space="0" w:color="auto"/>
              <w:left w:val="single" w:sz="4" w:space="0" w:color="auto"/>
              <w:right w:val="single" w:sz="4" w:space="0" w:color="auto"/>
            </w:tcBorders>
            <w:shd w:val="clear" w:color="auto" w:fill="FFFFFF"/>
            <w:vAlign w:val="center"/>
          </w:tcPr>
          <w:p w14:paraId="2F5D444D"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1,1 × (0,88 √ Φ +0,049 Φ)</w:t>
            </w:r>
          </w:p>
        </w:tc>
      </w:tr>
      <w:tr w:rsidR="00CA27E3" w:rsidRPr="00066F60" w14:paraId="7EEB41E6" w14:textId="77777777" w:rsidTr="005F2963">
        <w:trPr>
          <w:jc w:val="center"/>
        </w:trPr>
        <w:tc>
          <w:tcPr>
            <w:tcW w:w="3802" w:type="dxa"/>
            <w:tcBorders>
              <w:top w:val="single" w:sz="4" w:space="0" w:color="auto"/>
              <w:left w:val="single" w:sz="4" w:space="0" w:color="auto"/>
              <w:bottom w:val="single" w:sz="4" w:space="0" w:color="auto"/>
            </w:tcBorders>
            <w:shd w:val="clear" w:color="auto" w:fill="FFFFFF"/>
            <w:vAlign w:val="center"/>
          </w:tcPr>
          <w:p w14:paraId="568D763D"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2025 թվականի սեպտեմբերի 1-ից</w:t>
            </w:r>
          </w:p>
        </w:tc>
        <w:tc>
          <w:tcPr>
            <w:tcW w:w="2495" w:type="dxa"/>
            <w:tcBorders>
              <w:top w:val="single" w:sz="4" w:space="0" w:color="auto"/>
              <w:left w:val="single" w:sz="4" w:space="0" w:color="auto"/>
              <w:bottom w:val="single" w:sz="4" w:space="0" w:color="auto"/>
            </w:tcBorders>
            <w:shd w:val="clear" w:color="auto" w:fill="FFFFFF"/>
            <w:vAlign w:val="center"/>
          </w:tcPr>
          <w:p w14:paraId="0BFDD88E"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թափանցիկ լամպանոթով եւ G9 եւ R7s տիպի լամպակոթերով</w:t>
            </w:r>
          </w:p>
        </w:tc>
        <w:tc>
          <w:tcPr>
            <w:tcW w:w="3175" w:type="dxa"/>
            <w:tcBorders>
              <w:top w:val="single" w:sz="4" w:space="0" w:color="auto"/>
              <w:left w:val="single" w:sz="4" w:space="0" w:color="auto"/>
              <w:bottom w:val="single" w:sz="4" w:space="0" w:color="auto"/>
              <w:right w:val="single" w:sz="4" w:space="0" w:color="auto"/>
            </w:tcBorders>
            <w:shd w:val="clear" w:color="auto" w:fill="FFFFFF"/>
            <w:vAlign w:val="center"/>
          </w:tcPr>
          <w:p w14:paraId="2469839F"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0,8 × (0,88 √ Φ +0,049 Φ)</w:t>
            </w:r>
          </w:p>
        </w:tc>
      </w:tr>
    </w:tbl>
    <w:p w14:paraId="224C1E46" w14:textId="77777777" w:rsidR="00CA27E3" w:rsidRPr="005F2963" w:rsidRDefault="00CA27E3" w:rsidP="005F2963">
      <w:pPr>
        <w:pStyle w:val="a2"/>
        <w:shd w:val="clear" w:color="auto" w:fill="auto"/>
        <w:spacing w:after="160" w:line="360" w:lineRule="auto"/>
        <w:ind w:firstLine="567"/>
        <w:jc w:val="both"/>
        <w:rPr>
          <w:rFonts w:ascii="Sylfaen" w:hAnsi="Sylfaen" w:cs="Sylfaen"/>
          <w:sz w:val="20"/>
          <w:szCs w:val="20"/>
        </w:rPr>
      </w:pPr>
      <w:r w:rsidRPr="005F2963">
        <w:rPr>
          <w:rFonts w:ascii="Sylfaen" w:hAnsi="Sylfaen"/>
          <w:sz w:val="20"/>
          <w:szCs w:val="20"/>
        </w:rPr>
        <w:t>*Էերգասպառման սահմանային թույլատրելի արժեքներից կախված՝ Եվրասիական տնտեսական միության մաքսային տարածքում շիկացման լամպերի շրջանառության առանձնահատկությունները սահմանվում են Եվրասիական տնտեսական միության անդամ պետությունների օրենսդրությամբ։</w:t>
      </w:r>
    </w:p>
    <w:p w14:paraId="5D3237DF" w14:textId="77777777" w:rsidR="009049EF" w:rsidRPr="00DC5495" w:rsidRDefault="009049EF" w:rsidP="00CA27E3">
      <w:pPr>
        <w:pStyle w:val="a0"/>
        <w:shd w:val="clear" w:color="auto" w:fill="auto"/>
        <w:spacing w:after="160"/>
        <w:ind w:firstLine="567"/>
        <w:jc w:val="both"/>
        <w:rPr>
          <w:rFonts w:ascii="Sylfaen" w:hAnsi="Sylfaen"/>
          <w:sz w:val="24"/>
          <w:szCs w:val="24"/>
        </w:rPr>
      </w:pPr>
    </w:p>
    <w:p w14:paraId="6A965B0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Սպառվող առավելագույն հզորության հաշվարկային արժեքի ճշգրտման գործակիցների (К) արժեքները բերված են 3-րդ աղյուսակում։</w:t>
      </w:r>
    </w:p>
    <w:p w14:paraId="252FD0EC" w14:textId="77777777" w:rsidR="00066F60" w:rsidRDefault="00066F60" w:rsidP="00CA27E3">
      <w:pPr>
        <w:pStyle w:val="a2"/>
        <w:shd w:val="clear" w:color="auto" w:fill="auto"/>
        <w:spacing w:after="160" w:line="360" w:lineRule="auto"/>
        <w:jc w:val="right"/>
        <w:rPr>
          <w:rFonts w:ascii="Sylfaen" w:hAnsi="Sylfaen"/>
          <w:sz w:val="24"/>
          <w:szCs w:val="24"/>
        </w:rPr>
      </w:pPr>
    </w:p>
    <w:p w14:paraId="366EC759"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3</w:t>
      </w:r>
    </w:p>
    <w:p w14:paraId="52E28476" w14:textId="77777777" w:rsidR="00CA27E3" w:rsidRPr="00CA27E3" w:rsidRDefault="00CA27E3" w:rsidP="00CA27E3">
      <w:pPr>
        <w:pStyle w:val="a0"/>
        <w:shd w:val="clear" w:color="auto" w:fill="auto"/>
        <w:spacing w:after="160"/>
        <w:ind w:firstLine="0"/>
        <w:jc w:val="center"/>
        <w:rPr>
          <w:rFonts w:ascii="Sylfaen" w:hAnsi="Sylfaen"/>
          <w:sz w:val="24"/>
          <w:szCs w:val="24"/>
        </w:rPr>
      </w:pPr>
      <w:r w:rsidRPr="00CA27E3">
        <w:rPr>
          <w:rFonts w:ascii="Sylfaen" w:hAnsi="Sylfaen"/>
          <w:sz w:val="24"/>
          <w:szCs w:val="24"/>
        </w:rPr>
        <w:t>Ճշգրտման գործակիցներ</w:t>
      </w:r>
    </w:p>
    <w:tbl>
      <w:tblPr>
        <w:tblOverlap w:val="never"/>
        <w:tblW w:w="9082" w:type="dxa"/>
        <w:tblLayout w:type="fixed"/>
        <w:tblCellMar>
          <w:left w:w="10" w:type="dxa"/>
          <w:right w:w="10" w:type="dxa"/>
        </w:tblCellMar>
        <w:tblLook w:val="0000" w:firstRow="0" w:lastRow="0" w:firstColumn="0" w:lastColumn="0" w:noHBand="0" w:noVBand="0"/>
      </w:tblPr>
      <w:tblGrid>
        <w:gridCol w:w="6247"/>
        <w:gridCol w:w="2835"/>
      </w:tblGrid>
      <w:tr w:rsidR="00CA27E3" w:rsidRPr="00066F60" w14:paraId="130EDC9B" w14:textId="77777777" w:rsidTr="009049EF">
        <w:tc>
          <w:tcPr>
            <w:tcW w:w="6247" w:type="dxa"/>
            <w:tcBorders>
              <w:top w:val="single" w:sz="4" w:space="0" w:color="auto"/>
              <w:left w:val="single" w:sz="4" w:space="0" w:color="auto"/>
            </w:tcBorders>
            <w:shd w:val="clear" w:color="auto" w:fill="FFFFFF"/>
          </w:tcPr>
          <w:p w14:paraId="5700889E"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Լամպի տիպը</w:t>
            </w:r>
          </w:p>
        </w:tc>
        <w:tc>
          <w:tcPr>
            <w:tcW w:w="2835" w:type="dxa"/>
            <w:tcBorders>
              <w:top w:val="single" w:sz="4" w:space="0" w:color="auto"/>
              <w:left w:val="single" w:sz="4" w:space="0" w:color="auto"/>
              <w:right w:val="single" w:sz="4" w:space="0" w:color="auto"/>
            </w:tcBorders>
            <w:shd w:val="clear" w:color="auto" w:fill="FFFFFF"/>
          </w:tcPr>
          <w:p w14:paraId="4A8608DD"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Գործակիցը (К)</w:t>
            </w:r>
          </w:p>
        </w:tc>
      </w:tr>
      <w:tr w:rsidR="00CA27E3" w:rsidRPr="00066F60" w14:paraId="73EDE2B1" w14:textId="77777777" w:rsidTr="009049EF">
        <w:tc>
          <w:tcPr>
            <w:tcW w:w="6247" w:type="dxa"/>
            <w:tcBorders>
              <w:top w:val="single" w:sz="4" w:space="0" w:color="auto"/>
              <w:left w:val="single" w:sz="4" w:space="0" w:color="auto"/>
            </w:tcBorders>
            <w:shd w:val="clear" w:color="auto" w:fill="FFFFFF"/>
          </w:tcPr>
          <w:p w14:paraId="3C31E360"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Արտաքին սնուցման բլոկով շիկացման լամպ</w:t>
            </w:r>
          </w:p>
        </w:tc>
        <w:tc>
          <w:tcPr>
            <w:tcW w:w="2835" w:type="dxa"/>
            <w:tcBorders>
              <w:top w:val="single" w:sz="4" w:space="0" w:color="auto"/>
              <w:left w:val="single" w:sz="4" w:space="0" w:color="auto"/>
              <w:right w:val="single" w:sz="4" w:space="0" w:color="auto"/>
            </w:tcBorders>
            <w:shd w:val="clear" w:color="auto" w:fill="FFFFFF"/>
          </w:tcPr>
          <w:p w14:paraId="60ECB523"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mах</w:t>
            </w:r>
            <w:r w:rsidRPr="00066F60">
              <w:rPr>
                <w:rFonts w:ascii="Sylfaen" w:hAnsi="Sylfaen"/>
                <w:sz w:val="20"/>
                <w:szCs w:val="20"/>
              </w:rPr>
              <w:t xml:space="preserve"> /1,06</w:t>
            </w:r>
          </w:p>
        </w:tc>
      </w:tr>
      <w:tr w:rsidR="00CA27E3" w:rsidRPr="00066F60" w14:paraId="7631A41C" w14:textId="77777777" w:rsidTr="009049EF">
        <w:tc>
          <w:tcPr>
            <w:tcW w:w="6247" w:type="dxa"/>
            <w:tcBorders>
              <w:top w:val="single" w:sz="4" w:space="0" w:color="auto"/>
              <w:left w:val="single" w:sz="4" w:space="0" w:color="auto"/>
            </w:tcBorders>
            <w:shd w:val="clear" w:color="auto" w:fill="FFFFFF"/>
          </w:tcPr>
          <w:p w14:paraId="081E9E7C"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GX53 լամպակոթով պարպումային լամպ</w:t>
            </w:r>
          </w:p>
        </w:tc>
        <w:tc>
          <w:tcPr>
            <w:tcW w:w="2835" w:type="dxa"/>
            <w:tcBorders>
              <w:top w:val="single" w:sz="4" w:space="0" w:color="auto"/>
              <w:left w:val="single" w:sz="4" w:space="0" w:color="auto"/>
              <w:right w:val="single" w:sz="4" w:space="0" w:color="auto"/>
            </w:tcBorders>
            <w:shd w:val="clear" w:color="auto" w:fill="FFFFFF"/>
          </w:tcPr>
          <w:p w14:paraId="19B2AA0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mах</w:t>
            </w:r>
            <w:r w:rsidRPr="00066F60">
              <w:rPr>
                <w:rFonts w:ascii="Sylfaen" w:hAnsi="Sylfaen"/>
                <w:sz w:val="20"/>
                <w:szCs w:val="20"/>
              </w:rPr>
              <w:t xml:space="preserve"> /0,75</w:t>
            </w:r>
          </w:p>
        </w:tc>
      </w:tr>
      <w:tr w:rsidR="00CA27E3" w:rsidRPr="00066F60" w14:paraId="157D19D5" w14:textId="77777777" w:rsidTr="009049EF">
        <w:tc>
          <w:tcPr>
            <w:tcW w:w="6247" w:type="dxa"/>
            <w:tcBorders>
              <w:top w:val="single" w:sz="4" w:space="0" w:color="auto"/>
              <w:left w:val="single" w:sz="4" w:space="0" w:color="auto"/>
            </w:tcBorders>
            <w:shd w:val="clear" w:color="auto" w:fill="FFFFFF"/>
          </w:tcPr>
          <w:p w14:paraId="6971B0A5"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 xml:space="preserve">Գունահաղորդման ≥ 90 եւ Р ≤ 0,5 × (0,88 √Φ + 0,049 Φ) գործակցով անթափանց լամպանոթով լամպ </w:t>
            </w:r>
          </w:p>
        </w:tc>
        <w:tc>
          <w:tcPr>
            <w:tcW w:w="2835" w:type="dxa"/>
            <w:tcBorders>
              <w:top w:val="single" w:sz="4" w:space="0" w:color="auto"/>
              <w:left w:val="single" w:sz="4" w:space="0" w:color="auto"/>
              <w:right w:val="single" w:sz="4" w:space="0" w:color="auto"/>
            </w:tcBorders>
            <w:shd w:val="clear" w:color="auto" w:fill="FFFFFF"/>
          </w:tcPr>
          <w:p w14:paraId="4992882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mах</w:t>
            </w:r>
            <w:r w:rsidRPr="00066F60">
              <w:rPr>
                <w:rFonts w:ascii="Sylfaen" w:hAnsi="Sylfaen"/>
                <w:sz w:val="20"/>
                <w:szCs w:val="20"/>
              </w:rPr>
              <w:t xml:space="preserve"> /0,85</w:t>
            </w:r>
          </w:p>
        </w:tc>
      </w:tr>
      <w:tr w:rsidR="00CA27E3" w:rsidRPr="00066F60" w14:paraId="41682888" w14:textId="77777777" w:rsidTr="009049EF">
        <w:tc>
          <w:tcPr>
            <w:tcW w:w="6247" w:type="dxa"/>
            <w:tcBorders>
              <w:top w:val="single" w:sz="4" w:space="0" w:color="auto"/>
              <w:left w:val="single" w:sz="4" w:space="0" w:color="auto"/>
            </w:tcBorders>
            <w:shd w:val="clear" w:color="auto" w:fill="FFFFFF"/>
          </w:tcPr>
          <w:p w14:paraId="7B54AA8F"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 xml:space="preserve">Գունահաղորդման ≥ 90 գործակցով եւ Тc ≥ 5 000К գունային ջերմաստիճանով գազապարպումային լամպ </w:t>
            </w:r>
          </w:p>
        </w:tc>
        <w:tc>
          <w:tcPr>
            <w:tcW w:w="2835" w:type="dxa"/>
            <w:tcBorders>
              <w:top w:val="single" w:sz="4" w:space="0" w:color="auto"/>
              <w:left w:val="single" w:sz="4" w:space="0" w:color="auto"/>
              <w:right w:val="single" w:sz="4" w:space="0" w:color="auto"/>
            </w:tcBorders>
            <w:shd w:val="clear" w:color="auto" w:fill="FFFFFF"/>
          </w:tcPr>
          <w:p w14:paraId="7A203A43"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mах</w:t>
            </w:r>
            <w:r w:rsidRPr="00066F60">
              <w:rPr>
                <w:rFonts w:ascii="Sylfaen" w:hAnsi="Sylfaen"/>
                <w:sz w:val="20"/>
                <w:szCs w:val="20"/>
              </w:rPr>
              <w:t xml:space="preserve"> /0,76</w:t>
            </w:r>
          </w:p>
        </w:tc>
      </w:tr>
      <w:tr w:rsidR="00CA27E3" w:rsidRPr="00066F60" w14:paraId="7C0BECA5" w14:textId="77777777" w:rsidTr="009049EF">
        <w:tc>
          <w:tcPr>
            <w:tcW w:w="6247" w:type="dxa"/>
            <w:tcBorders>
              <w:top w:val="single" w:sz="4" w:space="0" w:color="auto"/>
              <w:left w:val="single" w:sz="4" w:space="0" w:color="auto"/>
            </w:tcBorders>
            <w:shd w:val="clear" w:color="auto" w:fill="FFFFFF"/>
          </w:tcPr>
          <w:p w14:paraId="53E7BD8D"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 xml:space="preserve">Երկրորդ թաղանթով եւ Р ≤ 0,5 × (0,88√Φ+0,049Φ) գործակցով անթափանց լամպանոթով լամպ </w:t>
            </w:r>
          </w:p>
        </w:tc>
        <w:tc>
          <w:tcPr>
            <w:tcW w:w="2835" w:type="dxa"/>
            <w:tcBorders>
              <w:top w:val="single" w:sz="4" w:space="0" w:color="auto"/>
              <w:left w:val="single" w:sz="4" w:space="0" w:color="auto"/>
              <w:right w:val="single" w:sz="4" w:space="0" w:color="auto"/>
            </w:tcBorders>
            <w:shd w:val="clear" w:color="auto" w:fill="FFFFFF"/>
          </w:tcPr>
          <w:p w14:paraId="7C5FA36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mах</w:t>
            </w:r>
            <w:r w:rsidRPr="00066F60">
              <w:rPr>
                <w:rFonts w:ascii="Sylfaen" w:hAnsi="Sylfaen"/>
                <w:sz w:val="20"/>
                <w:szCs w:val="20"/>
              </w:rPr>
              <w:t xml:space="preserve"> /0,95</w:t>
            </w:r>
          </w:p>
        </w:tc>
      </w:tr>
      <w:tr w:rsidR="00CA27E3" w:rsidRPr="00066F60" w14:paraId="620D6746" w14:textId="77777777" w:rsidTr="009049EF">
        <w:tc>
          <w:tcPr>
            <w:tcW w:w="6247" w:type="dxa"/>
            <w:tcBorders>
              <w:top w:val="single" w:sz="4" w:space="0" w:color="auto"/>
              <w:left w:val="single" w:sz="4" w:space="0" w:color="auto"/>
            </w:tcBorders>
            <w:shd w:val="clear" w:color="auto" w:fill="FFFFFF"/>
          </w:tcPr>
          <w:p w14:paraId="7082747E"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Արտաքին սնուցման բլոկով LED</w:t>
            </w:r>
            <w:r w:rsidRPr="00066F60" w:rsidDel="00DB3914">
              <w:rPr>
                <w:rFonts w:ascii="Sylfaen" w:hAnsi="Sylfaen"/>
                <w:sz w:val="20"/>
                <w:szCs w:val="20"/>
              </w:rPr>
              <w:t xml:space="preserve"> </w:t>
            </w:r>
            <w:r w:rsidRPr="00066F60">
              <w:rPr>
                <w:rFonts w:ascii="Sylfaen" w:hAnsi="Sylfaen"/>
                <w:sz w:val="20"/>
                <w:szCs w:val="20"/>
              </w:rPr>
              <w:t>-լամպ</w:t>
            </w:r>
          </w:p>
        </w:tc>
        <w:tc>
          <w:tcPr>
            <w:tcW w:w="2835" w:type="dxa"/>
            <w:tcBorders>
              <w:top w:val="single" w:sz="4" w:space="0" w:color="auto"/>
              <w:left w:val="single" w:sz="4" w:space="0" w:color="auto"/>
              <w:right w:val="single" w:sz="4" w:space="0" w:color="auto"/>
            </w:tcBorders>
            <w:shd w:val="clear" w:color="auto" w:fill="FFFFFF"/>
          </w:tcPr>
          <w:p w14:paraId="57BBFE0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mах</w:t>
            </w:r>
            <w:r w:rsidRPr="00066F60">
              <w:rPr>
                <w:rFonts w:ascii="Sylfaen" w:hAnsi="Sylfaen"/>
                <w:sz w:val="20"/>
                <w:szCs w:val="20"/>
              </w:rPr>
              <w:t xml:space="preserve"> /1,1</w:t>
            </w:r>
          </w:p>
        </w:tc>
      </w:tr>
      <w:tr w:rsidR="00CA27E3" w:rsidRPr="00066F60" w14:paraId="582FE8E3" w14:textId="77777777" w:rsidTr="009049EF">
        <w:tc>
          <w:tcPr>
            <w:tcW w:w="6247" w:type="dxa"/>
            <w:tcBorders>
              <w:top w:val="single" w:sz="4" w:space="0" w:color="auto"/>
              <w:left w:val="single" w:sz="4" w:space="0" w:color="auto"/>
              <w:bottom w:val="single" w:sz="4" w:space="0" w:color="auto"/>
            </w:tcBorders>
            <w:shd w:val="clear" w:color="auto" w:fill="FFFFFF"/>
          </w:tcPr>
          <w:p w14:paraId="373FD7A0" w14:textId="77777777" w:rsidR="00CA27E3" w:rsidRPr="00066F60" w:rsidRDefault="00CA27E3" w:rsidP="00066F60">
            <w:pPr>
              <w:pStyle w:val="a4"/>
              <w:shd w:val="clear" w:color="auto" w:fill="auto"/>
              <w:spacing w:after="120" w:line="240" w:lineRule="auto"/>
              <w:ind w:firstLine="0"/>
              <w:rPr>
                <w:rFonts w:ascii="Sylfaen" w:hAnsi="Sylfaen" w:cs="Sylfaen"/>
                <w:sz w:val="20"/>
                <w:szCs w:val="20"/>
              </w:rPr>
            </w:pPr>
            <w:r w:rsidRPr="00066F60">
              <w:rPr>
                <w:rFonts w:ascii="Sylfaen" w:hAnsi="Sylfaen"/>
                <w:sz w:val="20"/>
                <w:szCs w:val="20"/>
              </w:rPr>
              <w:t>Էլեկտրական լամպերի բոլոր մյուս տիպերը</w:t>
            </w:r>
          </w:p>
        </w:tc>
        <w:tc>
          <w:tcPr>
            <w:tcW w:w="2835" w:type="dxa"/>
            <w:tcBorders>
              <w:top w:val="single" w:sz="4" w:space="0" w:color="auto"/>
              <w:left w:val="single" w:sz="4" w:space="0" w:color="auto"/>
              <w:bottom w:val="single" w:sz="4" w:space="0" w:color="auto"/>
              <w:right w:val="single" w:sz="4" w:space="0" w:color="auto"/>
            </w:tcBorders>
            <w:shd w:val="clear" w:color="auto" w:fill="FFFFFF"/>
          </w:tcPr>
          <w:p w14:paraId="273FDDE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w:t>
            </w:r>
          </w:p>
        </w:tc>
      </w:tr>
    </w:tbl>
    <w:p w14:paraId="410638BD" w14:textId="77777777" w:rsidR="00250D3E" w:rsidRDefault="00250D3E" w:rsidP="00CA27E3">
      <w:pPr>
        <w:spacing w:after="160" w:line="360" w:lineRule="auto"/>
        <w:rPr>
          <w:rFonts w:ascii="Sylfaen" w:hAnsi="Sylfaen" w:cs="Sylfaen"/>
        </w:rPr>
      </w:pPr>
    </w:p>
    <w:p w14:paraId="26BB7032" w14:textId="77777777" w:rsidR="00250D3E" w:rsidRDefault="00250D3E">
      <w:pPr>
        <w:rPr>
          <w:rFonts w:ascii="Sylfaen" w:hAnsi="Sylfaen" w:cs="Sylfaen"/>
        </w:rPr>
      </w:pPr>
      <w:r>
        <w:rPr>
          <w:rFonts w:ascii="Sylfaen" w:hAnsi="Sylfaen" w:cs="Sylfaen"/>
        </w:rPr>
        <w:br w:type="page"/>
      </w:r>
    </w:p>
    <w:p w14:paraId="7FCBF737" w14:textId="77777777" w:rsidR="00CA27E3" w:rsidRPr="00CA27E3" w:rsidRDefault="00CA27E3" w:rsidP="009049EF">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5.</w:t>
      </w:r>
      <w:r w:rsidR="009049EF" w:rsidRPr="00DC5495">
        <w:rPr>
          <w:rFonts w:ascii="Sylfaen" w:hAnsi="Sylfaen"/>
          <w:sz w:val="24"/>
          <w:szCs w:val="24"/>
        </w:rPr>
        <w:tab/>
      </w:r>
      <w:r w:rsidRPr="00CA27E3">
        <w:rPr>
          <w:rFonts w:ascii="Sylfaen" w:hAnsi="Sylfaen"/>
          <w:sz w:val="24"/>
          <w:szCs w:val="24"/>
        </w:rPr>
        <w:t xml:space="preserve">Կոմպակտ լյումինեսցենտային լամպերի շահագործման բնութագրերին ներկայացվող պահանջները բերված են 4-րդ աղյուսակում։ Կոմպակտ լյումինեսցենտային լամպերից բացի՝ մյուս լամպերին </w:t>
      </w:r>
      <w:r>
        <w:rPr>
          <w:rFonts w:ascii="Sylfaen" w:hAnsi="Sylfaen"/>
          <w:sz w:val="24"/>
          <w:szCs w:val="24"/>
        </w:rPr>
        <w:t>եւ</w:t>
      </w:r>
      <w:r w:rsidRPr="00CA27E3">
        <w:rPr>
          <w:rFonts w:ascii="Sylfaen" w:hAnsi="Sylfaen"/>
          <w:sz w:val="24"/>
          <w:szCs w:val="24"/>
        </w:rPr>
        <w:t xml:space="preserve"> LED-լամպերին ներկայացվող պահանջները բերված են 5-րդ աղյուսակում։</w:t>
      </w:r>
      <w:r>
        <w:rPr>
          <w:rFonts w:ascii="Sylfaen" w:hAnsi="Sylfaen"/>
          <w:sz w:val="24"/>
          <w:szCs w:val="24"/>
        </w:rPr>
        <w:t xml:space="preserve"> </w:t>
      </w:r>
    </w:p>
    <w:p w14:paraId="4ED7FD01" w14:textId="77777777" w:rsidR="00066F60" w:rsidRDefault="00066F60" w:rsidP="00CA27E3">
      <w:pPr>
        <w:pStyle w:val="a0"/>
        <w:shd w:val="clear" w:color="auto" w:fill="auto"/>
        <w:spacing w:after="160"/>
        <w:ind w:right="200" w:firstLine="0"/>
        <w:jc w:val="right"/>
        <w:rPr>
          <w:rFonts w:ascii="Sylfaen" w:hAnsi="Sylfaen"/>
          <w:sz w:val="24"/>
          <w:szCs w:val="24"/>
        </w:rPr>
      </w:pPr>
    </w:p>
    <w:p w14:paraId="4F11EB4D" w14:textId="77777777" w:rsidR="00CA27E3" w:rsidRPr="00CA27E3" w:rsidRDefault="00CA27E3" w:rsidP="00CA27E3">
      <w:pPr>
        <w:pStyle w:val="a0"/>
        <w:shd w:val="clear" w:color="auto" w:fill="auto"/>
        <w:spacing w:after="160"/>
        <w:ind w:right="200" w:firstLine="0"/>
        <w:jc w:val="right"/>
        <w:rPr>
          <w:rFonts w:ascii="Sylfaen" w:hAnsi="Sylfaen" w:cs="Sylfaen"/>
          <w:sz w:val="24"/>
          <w:szCs w:val="24"/>
        </w:rPr>
      </w:pPr>
      <w:r w:rsidRPr="00CA27E3">
        <w:rPr>
          <w:rFonts w:ascii="Sylfaen" w:hAnsi="Sylfaen"/>
          <w:sz w:val="24"/>
          <w:szCs w:val="24"/>
        </w:rPr>
        <w:t>Աղյուսակ 4</w:t>
      </w:r>
    </w:p>
    <w:p w14:paraId="7D7CBDF0" w14:textId="77777777" w:rsidR="00CA27E3" w:rsidRPr="00CA27E3" w:rsidRDefault="00CA27E3" w:rsidP="00CA27E3">
      <w:pPr>
        <w:pStyle w:val="a0"/>
        <w:shd w:val="clear" w:color="auto" w:fill="auto"/>
        <w:spacing w:after="160"/>
        <w:ind w:left="567" w:right="559" w:firstLine="0"/>
        <w:jc w:val="center"/>
        <w:rPr>
          <w:rFonts w:ascii="Sylfaen" w:hAnsi="Sylfaen" w:cs="Sylfaen"/>
          <w:sz w:val="24"/>
          <w:szCs w:val="24"/>
        </w:rPr>
      </w:pPr>
      <w:r w:rsidRPr="00CA27E3">
        <w:rPr>
          <w:rFonts w:ascii="Sylfaen" w:hAnsi="Sylfaen"/>
          <w:sz w:val="24"/>
          <w:szCs w:val="24"/>
        </w:rPr>
        <w:t xml:space="preserve">Կոմպակտ լյումինեսցենտային լամպերի շահագործման </w:t>
      </w:r>
      <w:r w:rsidR="009049EF" w:rsidRPr="00DC5495">
        <w:rPr>
          <w:rFonts w:ascii="Sylfaen" w:hAnsi="Sylfaen"/>
          <w:sz w:val="24"/>
          <w:szCs w:val="24"/>
        </w:rPr>
        <w:br/>
      </w:r>
      <w:r w:rsidRPr="00CA27E3">
        <w:rPr>
          <w:rFonts w:ascii="Sylfaen" w:hAnsi="Sylfaen"/>
          <w:sz w:val="24"/>
          <w:szCs w:val="24"/>
        </w:rPr>
        <w:t>բնութագրերին ներկայացվող պահանջները</w:t>
      </w:r>
    </w:p>
    <w:tbl>
      <w:tblPr>
        <w:tblOverlap w:val="never"/>
        <w:tblW w:w="9601" w:type="dxa"/>
        <w:jc w:val="center"/>
        <w:tblLayout w:type="fixed"/>
        <w:tblCellMar>
          <w:left w:w="10" w:type="dxa"/>
          <w:right w:w="10" w:type="dxa"/>
        </w:tblCellMar>
        <w:tblLook w:val="0020" w:firstRow="1" w:lastRow="0" w:firstColumn="0" w:lastColumn="0" w:noHBand="0" w:noVBand="0"/>
      </w:tblPr>
      <w:tblGrid>
        <w:gridCol w:w="2952"/>
        <w:gridCol w:w="3276"/>
        <w:gridCol w:w="3373"/>
      </w:tblGrid>
      <w:tr w:rsidR="00CA27E3" w:rsidRPr="00066F60" w14:paraId="4700C56B" w14:textId="77777777" w:rsidTr="005F2963">
        <w:trPr>
          <w:tblHeader/>
          <w:jc w:val="center"/>
        </w:trPr>
        <w:tc>
          <w:tcPr>
            <w:tcW w:w="2952" w:type="dxa"/>
            <w:tcBorders>
              <w:top w:val="single" w:sz="4" w:space="0" w:color="auto"/>
              <w:left w:val="single" w:sz="4" w:space="0" w:color="auto"/>
            </w:tcBorders>
            <w:shd w:val="clear" w:color="auto" w:fill="FFFFFF"/>
            <w:vAlign w:val="center"/>
          </w:tcPr>
          <w:p w14:paraId="358F9FA4"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Բնութագիրը</w:t>
            </w:r>
          </w:p>
        </w:tc>
        <w:tc>
          <w:tcPr>
            <w:tcW w:w="3276" w:type="dxa"/>
            <w:tcBorders>
              <w:top w:val="single" w:sz="4" w:space="0" w:color="auto"/>
              <w:left w:val="single" w:sz="4" w:space="0" w:color="auto"/>
            </w:tcBorders>
            <w:shd w:val="clear" w:color="auto" w:fill="FFFFFF"/>
            <w:vAlign w:val="center"/>
          </w:tcPr>
          <w:p w14:paraId="61EC2F5E"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2024 թվականի սեպտեմբերի 1-ից</w:t>
            </w:r>
          </w:p>
        </w:tc>
        <w:tc>
          <w:tcPr>
            <w:tcW w:w="3373" w:type="dxa"/>
            <w:tcBorders>
              <w:top w:val="single" w:sz="4" w:space="0" w:color="auto"/>
              <w:left w:val="single" w:sz="4" w:space="0" w:color="auto"/>
              <w:right w:val="single" w:sz="4" w:space="0" w:color="auto"/>
            </w:tcBorders>
            <w:shd w:val="clear" w:color="auto" w:fill="FFFFFF"/>
            <w:vAlign w:val="center"/>
          </w:tcPr>
          <w:p w14:paraId="3CE20C5B"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2026 թվականի սեպտեմբերի 1-ից</w:t>
            </w:r>
          </w:p>
        </w:tc>
      </w:tr>
      <w:tr w:rsidR="00CA27E3" w:rsidRPr="00066F60" w14:paraId="53AF3088" w14:textId="77777777" w:rsidTr="005F2963">
        <w:trPr>
          <w:jc w:val="center"/>
        </w:trPr>
        <w:tc>
          <w:tcPr>
            <w:tcW w:w="2952" w:type="dxa"/>
            <w:tcBorders>
              <w:top w:val="single" w:sz="4" w:space="0" w:color="auto"/>
              <w:left w:val="single" w:sz="4" w:space="0" w:color="auto"/>
            </w:tcBorders>
            <w:shd w:val="clear" w:color="auto" w:fill="FFFFFF"/>
          </w:tcPr>
          <w:p w14:paraId="03A262DB" w14:textId="77777777" w:rsidR="00CA27E3" w:rsidRPr="00066F60" w:rsidRDefault="00CA27E3" w:rsidP="0077719B">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լամպի ծառայության ժամկետի գործակիցը՝ 6 000 ժամ աշխատանքի դեպքում</w:t>
            </w:r>
          </w:p>
        </w:tc>
        <w:tc>
          <w:tcPr>
            <w:tcW w:w="3276" w:type="dxa"/>
            <w:tcBorders>
              <w:top w:val="single" w:sz="4" w:space="0" w:color="auto"/>
              <w:left w:val="single" w:sz="4" w:space="0" w:color="auto"/>
            </w:tcBorders>
            <w:shd w:val="clear" w:color="auto" w:fill="FFFFFF"/>
            <w:vAlign w:val="center"/>
          </w:tcPr>
          <w:p w14:paraId="07B71BE4"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0,50-ի</w:t>
            </w:r>
          </w:p>
        </w:tc>
        <w:tc>
          <w:tcPr>
            <w:tcW w:w="3373" w:type="dxa"/>
            <w:tcBorders>
              <w:top w:val="single" w:sz="4" w:space="0" w:color="auto"/>
              <w:left w:val="single" w:sz="4" w:space="0" w:color="auto"/>
              <w:right w:val="single" w:sz="4" w:space="0" w:color="auto"/>
            </w:tcBorders>
            <w:shd w:val="clear" w:color="auto" w:fill="FFFFFF"/>
            <w:vAlign w:val="center"/>
          </w:tcPr>
          <w:p w14:paraId="16B5B36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0,70-ի</w:t>
            </w:r>
          </w:p>
        </w:tc>
      </w:tr>
      <w:tr w:rsidR="00CA27E3" w:rsidRPr="00066F60" w14:paraId="5031F0A4" w14:textId="77777777" w:rsidTr="005F2963">
        <w:trPr>
          <w:jc w:val="center"/>
        </w:trPr>
        <w:tc>
          <w:tcPr>
            <w:tcW w:w="2952" w:type="dxa"/>
            <w:tcBorders>
              <w:top w:val="single" w:sz="4" w:space="0" w:color="auto"/>
              <w:left w:val="single" w:sz="4" w:space="0" w:color="auto"/>
              <w:bottom w:val="single" w:sz="4" w:space="0" w:color="auto"/>
            </w:tcBorders>
            <w:shd w:val="clear" w:color="auto" w:fill="FFFFFF"/>
            <w:vAlign w:val="center"/>
          </w:tcPr>
          <w:p w14:paraId="02E5B644"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Լամպի լուսային հոսքի կայունությունը</w:t>
            </w:r>
          </w:p>
        </w:tc>
        <w:tc>
          <w:tcPr>
            <w:tcW w:w="3276" w:type="dxa"/>
            <w:tcBorders>
              <w:top w:val="single" w:sz="4" w:space="0" w:color="auto"/>
              <w:left w:val="single" w:sz="4" w:space="0" w:color="auto"/>
              <w:bottom w:val="single" w:sz="4" w:space="0" w:color="auto"/>
            </w:tcBorders>
            <w:shd w:val="clear" w:color="auto" w:fill="FFFFFF"/>
            <w:vAlign w:val="center"/>
          </w:tcPr>
          <w:p w14:paraId="418DEE8C"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xml:space="preserve">2 000 ժամի դեպքում ≥ 85 %-ի </w:t>
            </w:r>
            <w:r w:rsidR="009049EF" w:rsidRPr="009049EF">
              <w:rPr>
                <w:rFonts w:ascii="Sylfaen" w:hAnsi="Sylfaen"/>
                <w:sz w:val="20"/>
                <w:szCs w:val="20"/>
              </w:rPr>
              <w:br/>
            </w:r>
            <w:r w:rsidRPr="00066F60">
              <w:rPr>
                <w:rFonts w:ascii="Sylfaen" w:hAnsi="Sylfaen"/>
                <w:sz w:val="20"/>
                <w:szCs w:val="20"/>
              </w:rPr>
              <w:t>(≥ 80 %-ի արտաքին լամպանոթով լամպերի համար)</w:t>
            </w:r>
          </w:p>
        </w:tc>
        <w:tc>
          <w:tcPr>
            <w:tcW w:w="3373" w:type="dxa"/>
            <w:tcBorders>
              <w:top w:val="single" w:sz="4" w:space="0" w:color="auto"/>
              <w:left w:val="single" w:sz="4" w:space="0" w:color="auto"/>
              <w:bottom w:val="single" w:sz="4" w:space="0" w:color="auto"/>
              <w:right w:val="single" w:sz="4" w:space="0" w:color="auto"/>
            </w:tcBorders>
            <w:shd w:val="clear" w:color="auto" w:fill="FFFFFF"/>
            <w:vAlign w:val="center"/>
          </w:tcPr>
          <w:p w14:paraId="7D055244" w14:textId="77777777" w:rsidR="00CA27E3" w:rsidRPr="00066F60" w:rsidRDefault="00CA27E3" w:rsidP="009049EF">
            <w:pPr>
              <w:pStyle w:val="a4"/>
              <w:shd w:val="clear" w:color="auto" w:fill="auto"/>
              <w:spacing w:after="120" w:line="240" w:lineRule="auto"/>
              <w:ind w:right="69" w:firstLine="0"/>
              <w:jc w:val="center"/>
              <w:rPr>
                <w:rFonts w:ascii="Sylfaen" w:hAnsi="Sylfaen" w:cs="Sylfaen"/>
                <w:sz w:val="20"/>
                <w:szCs w:val="20"/>
              </w:rPr>
            </w:pPr>
            <w:r w:rsidRPr="00066F60">
              <w:rPr>
                <w:rFonts w:ascii="Sylfaen" w:hAnsi="Sylfaen"/>
                <w:sz w:val="20"/>
                <w:szCs w:val="20"/>
              </w:rPr>
              <w:t xml:space="preserve">2 000 ժամի դեպքում ≥ 88 %-ի </w:t>
            </w:r>
            <w:r w:rsidR="009049EF" w:rsidRPr="009049EF">
              <w:rPr>
                <w:rFonts w:ascii="Sylfaen" w:hAnsi="Sylfaen"/>
                <w:sz w:val="20"/>
                <w:szCs w:val="20"/>
              </w:rPr>
              <w:br/>
            </w:r>
            <w:r w:rsidRPr="00066F60">
              <w:rPr>
                <w:rFonts w:ascii="Sylfaen" w:hAnsi="Sylfaen"/>
                <w:sz w:val="20"/>
                <w:szCs w:val="20"/>
              </w:rPr>
              <w:t>(≥ 83</w:t>
            </w:r>
            <w:r w:rsidR="009049EF" w:rsidRPr="009049EF">
              <w:rPr>
                <w:rFonts w:ascii="Sylfaen" w:hAnsi="Sylfaen"/>
                <w:sz w:val="20"/>
                <w:szCs w:val="20"/>
              </w:rPr>
              <w:t> </w:t>
            </w:r>
            <w:r w:rsidRPr="00066F60">
              <w:rPr>
                <w:rFonts w:ascii="Sylfaen" w:hAnsi="Sylfaen"/>
                <w:sz w:val="20"/>
                <w:szCs w:val="20"/>
              </w:rPr>
              <w:t>%-ի արտաքին լամպանոթով լամպերի համար) 6 000 ժամի դեպքում ≥ 70 %-ի</w:t>
            </w:r>
          </w:p>
        </w:tc>
      </w:tr>
      <w:tr w:rsidR="00CA27E3" w:rsidRPr="00066F60" w14:paraId="409ADCF5"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26E999D3"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Փոխարկման ցիկլերի քանակը՝ նախքան շարքից դուրս գալը</w:t>
            </w:r>
          </w:p>
        </w:tc>
        <w:tc>
          <w:tcPr>
            <w:tcW w:w="3276" w:type="dxa"/>
            <w:tcBorders>
              <w:top w:val="single" w:sz="4" w:space="0" w:color="auto"/>
              <w:left w:val="single" w:sz="4" w:space="0" w:color="auto"/>
            </w:tcBorders>
            <w:shd w:val="clear" w:color="auto" w:fill="FFFFFF"/>
            <w:vAlign w:val="center"/>
          </w:tcPr>
          <w:p w14:paraId="6ABEE9C0"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լամպի ծառայության ժամկետի կեսին՝ ժամերով</w:t>
            </w:r>
            <w:r w:rsidR="0077719B" w:rsidRPr="0077719B">
              <w:rPr>
                <w:rFonts w:ascii="Sylfaen" w:hAnsi="Sylfaen" w:cs="Sylfaen"/>
                <w:sz w:val="20"/>
                <w:szCs w:val="20"/>
              </w:rPr>
              <w:br/>
            </w:r>
            <w:r w:rsidRPr="00066F60">
              <w:rPr>
                <w:rFonts w:ascii="Sylfaen" w:hAnsi="Sylfaen"/>
                <w:sz w:val="20"/>
                <w:szCs w:val="20"/>
              </w:rPr>
              <w:t>≥ 10 000-ի, եթե վառքի ժամանակահատվածը &gt; 0,3 վրկ-ից</w:t>
            </w:r>
          </w:p>
        </w:tc>
        <w:tc>
          <w:tcPr>
            <w:tcW w:w="3373" w:type="dxa"/>
            <w:tcBorders>
              <w:top w:val="single" w:sz="4" w:space="0" w:color="auto"/>
              <w:left w:val="single" w:sz="4" w:space="0" w:color="auto"/>
              <w:right w:val="single" w:sz="4" w:space="0" w:color="auto"/>
            </w:tcBorders>
            <w:shd w:val="clear" w:color="auto" w:fill="FFFFFF"/>
            <w:vAlign w:val="center"/>
          </w:tcPr>
          <w:p w14:paraId="391A4A22" w14:textId="77777777" w:rsidR="00CA27E3" w:rsidRPr="00066F60" w:rsidRDefault="00CA27E3" w:rsidP="005F2963">
            <w:pPr>
              <w:pStyle w:val="a4"/>
              <w:shd w:val="clear" w:color="auto" w:fill="auto"/>
              <w:spacing w:after="120" w:line="240" w:lineRule="auto"/>
              <w:ind w:right="69" w:firstLine="0"/>
              <w:jc w:val="center"/>
              <w:rPr>
                <w:rFonts w:ascii="Sylfaen" w:hAnsi="Sylfaen" w:cs="Sylfaen"/>
                <w:sz w:val="20"/>
                <w:szCs w:val="20"/>
              </w:rPr>
            </w:pPr>
            <w:r w:rsidRPr="00066F60">
              <w:rPr>
                <w:rFonts w:ascii="Sylfaen" w:hAnsi="Sylfaen"/>
                <w:sz w:val="20"/>
                <w:szCs w:val="20"/>
              </w:rPr>
              <w:t>≥ լամպի ծառայության ժամկետի կեսին,</w:t>
            </w:r>
            <w:r w:rsidR="009049EF" w:rsidRPr="009049EF">
              <w:rPr>
                <w:rFonts w:ascii="Sylfaen" w:hAnsi="Sylfaen"/>
                <w:sz w:val="20"/>
                <w:szCs w:val="20"/>
              </w:rPr>
              <w:t xml:space="preserve"> </w:t>
            </w:r>
            <w:r w:rsidRPr="00066F60">
              <w:rPr>
                <w:rFonts w:ascii="Sylfaen" w:hAnsi="Sylfaen"/>
                <w:sz w:val="20"/>
                <w:szCs w:val="20"/>
              </w:rPr>
              <w:t>≥ 30 000-ի, եթե վառքի ժամանակահատվածը &gt; 0,3 վրկ-ից</w:t>
            </w:r>
          </w:p>
        </w:tc>
      </w:tr>
      <w:tr w:rsidR="00CA27E3" w:rsidRPr="00066F60" w14:paraId="683DAFDF"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101B7E58"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Վառքի ժամանակահատվածը</w:t>
            </w:r>
          </w:p>
        </w:tc>
        <w:tc>
          <w:tcPr>
            <w:tcW w:w="3276" w:type="dxa"/>
            <w:tcBorders>
              <w:top w:val="single" w:sz="4" w:space="0" w:color="auto"/>
              <w:left w:val="single" w:sz="4" w:space="0" w:color="auto"/>
            </w:tcBorders>
            <w:shd w:val="clear" w:color="auto" w:fill="FFFFFF"/>
            <w:vAlign w:val="center"/>
          </w:tcPr>
          <w:p w14:paraId="09CAB98F"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&lt; 2,0 վրկ-ից</w:t>
            </w:r>
          </w:p>
        </w:tc>
        <w:tc>
          <w:tcPr>
            <w:tcW w:w="3373" w:type="dxa"/>
            <w:tcBorders>
              <w:top w:val="single" w:sz="4" w:space="0" w:color="auto"/>
              <w:left w:val="single" w:sz="4" w:space="0" w:color="auto"/>
              <w:right w:val="single" w:sz="4" w:space="0" w:color="auto"/>
            </w:tcBorders>
            <w:shd w:val="clear" w:color="auto" w:fill="FFFFFF"/>
            <w:vAlign w:val="center"/>
          </w:tcPr>
          <w:p w14:paraId="413D5048" w14:textId="77777777" w:rsidR="00CA27E3" w:rsidRPr="00066F60" w:rsidRDefault="00CA27E3" w:rsidP="009049EF">
            <w:pPr>
              <w:pStyle w:val="a4"/>
              <w:shd w:val="clear" w:color="auto" w:fill="auto"/>
              <w:spacing w:after="120" w:line="240" w:lineRule="auto"/>
              <w:ind w:right="69" w:firstLine="0"/>
              <w:jc w:val="center"/>
              <w:rPr>
                <w:rFonts w:ascii="Sylfaen" w:hAnsi="Sylfaen" w:cs="Sylfaen"/>
                <w:sz w:val="20"/>
                <w:szCs w:val="20"/>
              </w:rPr>
            </w:pPr>
            <w:r w:rsidRPr="00066F60">
              <w:rPr>
                <w:rFonts w:ascii="Sylfaen" w:hAnsi="Sylfaen"/>
                <w:sz w:val="20"/>
                <w:szCs w:val="20"/>
              </w:rPr>
              <w:t>&lt; 1,5 վրկ-ից, եթե P &lt; 10 Վտ-ից</w:t>
            </w:r>
            <w:r w:rsidR="009049EF" w:rsidRPr="009049EF">
              <w:rPr>
                <w:rFonts w:ascii="Sylfaen" w:hAnsi="Sylfaen"/>
                <w:sz w:val="20"/>
                <w:szCs w:val="20"/>
              </w:rPr>
              <w:t xml:space="preserve"> </w:t>
            </w:r>
            <w:r w:rsidR="0077719B" w:rsidRPr="0077719B">
              <w:rPr>
                <w:rFonts w:ascii="Sylfaen" w:hAnsi="Sylfaen"/>
                <w:sz w:val="20"/>
                <w:szCs w:val="20"/>
              </w:rPr>
              <w:br/>
            </w:r>
            <w:r w:rsidRPr="00066F60">
              <w:rPr>
                <w:rFonts w:ascii="Sylfaen" w:hAnsi="Sylfaen"/>
                <w:sz w:val="20"/>
                <w:szCs w:val="20"/>
              </w:rPr>
              <w:t>&lt; 1,0 վրկ-ից, եթե P ≥ 10 Վտ-ի</w:t>
            </w:r>
          </w:p>
        </w:tc>
      </w:tr>
      <w:tr w:rsidR="00CA27E3" w:rsidRPr="00066F60" w14:paraId="08F19597"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2190F66C"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 xml:space="preserve">Բռնկման ժամանակահատվածը՝ մինչեւ լուսային հոսքի (Φ) 60%-ի հասնելը </w:t>
            </w:r>
          </w:p>
        </w:tc>
        <w:tc>
          <w:tcPr>
            <w:tcW w:w="3276" w:type="dxa"/>
            <w:tcBorders>
              <w:top w:val="single" w:sz="4" w:space="0" w:color="auto"/>
              <w:left w:val="single" w:sz="4" w:space="0" w:color="auto"/>
            </w:tcBorders>
            <w:shd w:val="clear" w:color="auto" w:fill="FFFFFF"/>
            <w:vAlign w:val="center"/>
          </w:tcPr>
          <w:p w14:paraId="514A631A"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&lt; 60 վրկ-ից</w:t>
            </w:r>
            <w:r w:rsidR="0077719B" w:rsidRPr="0077719B">
              <w:rPr>
                <w:rFonts w:ascii="Sylfaen" w:hAnsi="Sylfaen"/>
                <w:sz w:val="20"/>
                <w:szCs w:val="20"/>
              </w:rPr>
              <w:br/>
            </w:r>
            <w:r w:rsidRPr="00066F60">
              <w:rPr>
                <w:rFonts w:ascii="Sylfaen" w:hAnsi="Sylfaen"/>
                <w:sz w:val="20"/>
                <w:szCs w:val="20"/>
              </w:rPr>
              <w:t>&lt; 120 վրկ-ից սնդիկի ամալգամ պարունակող լամպերի համար</w:t>
            </w:r>
          </w:p>
        </w:tc>
        <w:tc>
          <w:tcPr>
            <w:tcW w:w="3373" w:type="dxa"/>
            <w:tcBorders>
              <w:top w:val="single" w:sz="4" w:space="0" w:color="auto"/>
              <w:left w:val="single" w:sz="4" w:space="0" w:color="auto"/>
              <w:right w:val="single" w:sz="4" w:space="0" w:color="auto"/>
            </w:tcBorders>
            <w:shd w:val="clear" w:color="auto" w:fill="FFFFFF"/>
            <w:vAlign w:val="center"/>
          </w:tcPr>
          <w:p w14:paraId="2DC8BC6E"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&lt; 40 վրկ-ից կամ &lt; 100 վրկ-ից սնդիկի ամալգամ պարունակող լամպերի համար</w:t>
            </w:r>
          </w:p>
        </w:tc>
      </w:tr>
      <w:tr w:rsidR="00CA27E3" w:rsidRPr="00066F60" w14:paraId="4569C0EA"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37047C3A"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Վաղաժամ շարքից դուրս գալու հաճախությունը</w:t>
            </w:r>
          </w:p>
        </w:tc>
        <w:tc>
          <w:tcPr>
            <w:tcW w:w="3276" w:type="dxa"/>
            <w:tcBorders>
              <w:top w:val="single" w:sz="4" w:space="0" w:color="auto"/>
              <w:left w:val="single" w:sz="4" w:space="0" w:color="auto"/>
            </w:tcBorders>
            <w:shd w:val="clear" w:color="auto" w:fill="FFFFFF"/>
            <w:vAlign w:val="center"/>
          </w:tcPr>
          <w:p w14:paraId="421E83A7"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2,0 %-ի՝ 200 ժամից հետո</w:t>
            </w:r>
          </w:p>
        </w:tc>
        <w:tc>
          <w:tcPr>
            <w:tcW w:w="3373" w:type="dxa"/>
            <w:tcBorders>
              <w:top w:val="single" w:sz="4" w:space="0" w:color="auto"/>
              <w:left w:val="single" w:sz="4" w:space="0" w:color="auto"/>
              <w:right w:val="single" w:sz="4" w:space="0" w:color="auto"/>
            </w:tcBorders>
            <w:shd w:val="clear" w:color="auto" w:fill="FFFFFF"/>
            <w:vAlign w:val="center"/>
          </w:tcPr>
          <w:p w14:paraId="27AD7B8E"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2,0 %-ի՝ 400 ժամից հետո</w:t>
            </w:r>
          </w:p>
        </w:tc>
      </w:tr>
      <w:tr w:rsidR="00CA27E3" w:rsidRPr="00066F60" w14:paraId="7EA52D60"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051AB20B"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UVA + UVB-ճառագայթում</w:t>
            </w:r>
          </w:p>
        </w:tc>
        <w:tc>
          <w:tcPr>
            <w:tcW w:w="3276" w:type="dxa"/>
            <w:tcBorders>
              <w:top w:val="single" w:sz="4" w:space="0" w:color="auto"/>
              <w:left w:val="single" w:sz="4" w:space="0" w:color="auto"/>
            </w:tcBorders>
            <w:shd w:val="clear" w:color="auto" w:fill="FFFFFF"/>
            <w:vAlign w:val="center"/>
          </w:tcPr>
          <w:p w14:paraId="6C2D0C16"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2,0 մՎտ/կլմ</w:t>
            </w:r>
          </w:p>
        </w:tc>
        <w:tc>
          <w:tcPr>
            <w:tcW w:w="3373" w:type="dxa"/>
            <w:tcBorders>
              <w:top w:val="single" w:sz="4" w:space="0" w:color="auto"/>
              <w:left w:val="single" w:sz="4" w:space="0" w:color="auto"/>
              <w:right w:val="single" w:sz="4" w:space="0" w:color="auto"/>
            </w:tcBorders>
            <w:shd w:val="clear" w:color="auto" w:fill="FFFFFF"/>
            <w:vAlign w:val="center"/>
          </w:tcPr>
          <w:p w14:paraId="17359BC2"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2,0 մՎտ/կլմ</w:t>
            </w:r>
          </w:p>
        </w:tc>
      </w:tr>
      <w:tr w:rsidR="00CA27E3" w:rsidRPr="00066F60" w14:paraId="59DAD858"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21CABC28"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UVC-ճառագայթում</w:t>
            </w:r>
          </w:p>
        </w:tc>
        <w:tc>
          <w:tcPr>
            <w:tcW w:w="3276" w:type="dxa"/>
            <w:tcBorders>
              <w:top w:val="single" w:sz="4" w:space="0" w:color="auto"/>
              <w:left w:val="single" w:sz="4" w:space="0" w:color="auto"/>
            </w:tcBorders>
            <w:shd w:val="clear" w:color="auto" w:fill="FFFFFF"/>
            <w:vAlign w:val="center"/>
          </w:tcPr>
          <w:p w14:paraId="79A0FCCE"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0,01 մՎտ/կլմ</w:t>
            </w:r>
          </w:p>
        </w:tc>
        <w:tc>
          <w:tcPr>
            <w:tcW w:w="3373" w:type="dxa"/>
            <w:tcBorders>
              <w:top w:val="single" w:sz="4" w:space="0" w:color="auto"/>
              <w:left w:val="single" w:sz="4" w:space="0" w:color="auto"/>
              <w:right w:val="single" w:sz="4" w:space="0" w:color="auto"/>
            </w:tcBorders>
            <w:shd w:val="clear" w:color="auto" w:fill="FFFFFF"/>
            <w:vAlign w:val="center"/>
          </w:tcPr>
          <w:p w14:paraId="300F6678"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0,01 մՎտ/կլմ</w:t>
            </w:r>
          </w:p>
        </w:tc>
      </w:tr>
      <w:tr w:rsidR="00CA27E3" w:rsidRPr="00066F60" w14:paraId="45ED22B5"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tcBorders>
            <w:shd w:val="clear" w:color="auto" w:fill="FFFFFF"/>
            <w:vAlign w:val="center"/>
          </w:tcPr>
          <w:p w14:paraId="3BAA7E23"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Լամպի հզորության գործակիցը</w:t>
            </w:r>
          </w:p>
        </w:tc>
        <w:tc>
          <w:tcPr>
            <w:tcW w:w="3276" w:type="dxa"/>
            <w:tcBorders>
              <w:top w:val="single" w:sz="4" w:space="0" w:color="auto"/>
              <w:left w:val="single" w:sz="4" w:space="0" w:color="auto"/>
            </w:tcBorders>
            <w:shd w:val="clear" w:color="auto" w:fill="FFFFFF"/>
            <w:vAlign w:val="center"/>
          </w:tcPr>
          <w:p w14:paraId="16B5DA36"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xml:space="preserve">≥ 0,50-ի, եթե P &lt; 25 Վտ-ից </w:t>
            </w:r>
            <w:r w:rsidR="0077719B" w:rsidRPr="0077719B">
              <w:rPr>
                <w:rFonts w:ascii="Sylfaen" w:hAnsi="Sylfaen"/>
                <w:sz w:val="20"/>
                <w:szCs w:val="20"/>
              </w:rPr>
              <w:br/>
            </w:r>
            <w:r w:rsidRPr="00066F60">
              <w:rPr>
                <w:rFonts w:ascii="Sylfaen" w:hAnsi="Sylfaen"/>
                <w:sz w:val="20"/>
                <w:szCs w:val="20"/>
              </w:rPr>
              <w:t>≥ 0,90-ի, եթե P ≥ 25 Վտ-ի</w:t>
            </w:r>
          </w:p>
        </w:tc>
        <w:tc>
          <w:tcPr>
            <w:tcW w:w="3373" w:type="dxa"/>
            <w:tcBorders>
              <w:top w:val="single" w:sz="4" w:space="0" w:color="auto"/>
              <w:left w:val="single" w:sz="4" w:space="0" w:color="auto"/>
              <w:right w:val="single" w:sz="4" w:space="0" w:color="auto"/>
            </w:tcBorders>
            <w:shd w:val="clear" w:color="auto" w:fill="FFFFFF"/>
            <w:vAlign w:val="center"/>
          </w:tcPr>
          <w:p w14:paraId="598106C2"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&lt; 0,55-ից, եթե P &lt; 25 Վտ-ից</w:t>
            </w:r>
            <w:r w:rsidR="009049EF" w:rsidRPr="009049EF">
              <w:rPr>
                <w:rFonts w:ascii="Sylfaen" w:hAnsi="Sylfaen"/>
                <w:sz w:val="20"/>
                <w:szCs w:val="20"/>
              </w:rPr>
              <w:t xml:space="preserve"> </w:t>
            </w:r>
            <w:r w:rsidR="009049EF" w:rsidRPr="009049EF">
              <w:rPr>
                <w:rFonts w:ascii="Sylfaen" w:hAnsi="Sylfaen"/>
                <w:sz w:val="20"/>
                <w:szCs w:val="20"/>
              </w:rPr>
              <w:br/>
            </w:r>
            <w:r w:rsidRPr="00066F60">
              <w:rPr>
                <w:rFonts w:ascii="Sylfaen" w:hAnsi="Sylfaen"/>
                <w:sz w:val="20"/>
                <w:szCs w:val="20"/>
              </w:rPr>
              <w:t>&lt; 0,90-ից, եթե P ≥ 25 Վտ-ի</w:t>
            </w:r>
          </w:p>
        </w:tc>
      </w:tr>
      <w:tr w:rsidR="00CA27E3" w:rsidRPr="00066F60" w14:paraId="0D7B9B28" w14:textId="77777777" w:rsidTr="005F2963">
        <w:tblPrEx>
          <w:tblLook w:val="0000" w:firstRow="0" w:lastRow="0" w:firstColumn="0" w:lastColumn="0" w:noHBand="0" w:noVBand="0"/>
        </w:tblPrEx>
        <w:trPr>
          <w:jc w:val="center"/>
        </w:trPr>
        <w:tc>
          <w:tcPr>
            <w:tcW w:w="2952" w:type="dxa"/>
            <w:tcBorders>
              <w:top w:val="single" w:sz="4" w:space="0" w:color="auto"/>
              <w:left w:val="single" w:sz="4" w:space="0" w:color="auto"/>
              <w:bottom w:val="single" w:sz="4" w:space="0" w:color="auto"/>
            </w:tcBorders>
            <w:shd w:val="clear" w:color="auto" w:fill="FFFFFF"/>
            <w:vAlign w:val="center"/>
          </w:tcPr>
          <w:p w14:paraId="3559589D" w14:textId="77777777" w:rsidR="00CA27E3" w:rsidRPr="00066F60" w:rsidRDefault="00CA27E3" w:rsidP="005F2963">
            <w:pPr>
              <w:pStyle w:val="a4"/>
              <w:shd w:val="clear" w:color="auto" w:fill="auto"/>
              <w:spacing w:after="120" w:line="240" w:lineRule="auto"/>
              <w:ind w:right="68" w:firstLine="0"/>
              <w:rPr>
                <w:rFonts w:ascii="Sylfaen" w:hAnsi="Sylfaen" w:cs="Sylfaen"/>
                <w:sz w:val="20"/>
                <w:szCs w:val="20"/>
              </w:rPr>
            </w:pPr>
            <w:r w:rsidRPr="00066F60">
              <w:rPr>
                <w:rFonts w:ascii="Sylfaen" w:hAnsi="Sylfaen"/>
                <w:sz w:val="20"/>
                <w:szCs w:val="20"/>
              </w:rPr>
              <w:t>թ) գունահաղորդման ցուցիչը (Ra).</w:t>
            </w:r>
          </w:p>
        </w:tc>
        <w:tc>
          <w:tcPr>
            <w:tcW w:w="3276" w:type="dxa"/>
            <w:tcBorders>
              <w:top w:val="single" w:sz="4" w:space="0" w:color="auto"/>
              <w:left w:val="single" w:sz="4" w:space="0" w:color="auto"/>
              <w:bottom w:val="single" w:sz="4" w:space="0" w:color="auto"/>
            </w:tcBorders>
            <w:shd w:val="clear" w:color="auto" w:fill="FFFFFF"/>
            <w:vAlign w:val="center"/>
          </w:tcPr>
          <w:p w14:paraId="3FA9573A"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80-ի</w:t>
            </w:r>
          </w:p>
        </w:tc>
        <w:tc>
          <w:tcPr>
            <w:tcW w:w="3373" w:type="dxa"/>
            <w:tcBorders>
              <w:top w:val="single" w:sz="4" w:space="0" w:color="auto"/>
              <w:left w:val="single" w:sz="4" w:space="0" w:color="auto"/>
              <w:bottom w:val="single" w:sz="4" w:space="0" w:color="auto"/>
              <w:right w:val="single" w:sz="4" w:space="0" w:color="auto"/>
            </w:tcBorders>
            <w:shd w:val="clear" w:color="auto" w:fill="FFFFFF"/>
            <w:vAlign w:val="center"/>
          </w:tcPr>
          <w:p w14:paraId="5E841DE4" w14:textId="77777777" w:rsidR="00CA27E3" w:rsidRPr="00066F60" w:rsidRDefault="00CA27E3" w:rsidP="009049EF">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80-ի</w:t>
            </w:r>
          </w:p>
        </w:tc>
      </w:tr>
    </w:tbl>
    <w:p w14:paraId="59FC1383"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36857B75" w14:textId="77777777" w:rsidR="005F2963" w:rsidRDefault="005F2963">
      <w:pPr>
        <w:rPr>
          <w:rFonts w:ascii="Sylfaen" w:eastAsia="Times New Roman" w:hAnsi="Sylfaen" w:cs="Times New Roman"/>
          <w:color w:val="auto"/>
        </w:rPr>
      </w:pPr>
      <w:r>
        <w:rPr>
          <w:rFonts w:ascii="Sylfaen" w:hAnsi="Sylfaen"/>
        </w:rPr>
        <w:br w:type="page"/>
      </w:r>
    </w:p>
    <w:p w14:paraId="39DDFC70"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lastRenderedPageBreak/>
        <w:t>Աղյուսակ 5</w:t>
      </w:r>
    </w:p>
    <w:p w14:paraId="142A32BA"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Կոմպակտ լյումինեսցենտային լամպերից </w:t>
      </w:r>
      <w:r>
        <w:rPr>
          <w:rFonts w:ascii="Sylfaen" w:hAnsi="Sylfaen"/>
          <w:sz w:val="24"/>
          <w:szCs w:val="24"/>
        </w:rPr>
        <w:t>եւ</w:t>
      </w:r>
      <w:r w:rsidRPr="00CA27E3">
        <w:rPr>
          <w:rFonts w:ascii="Sylfaen" w:hAnsi="Sylfaen"/>
          <w:sz w:val="24"/>
          <w:szCs w:val="24"/>
        </w:rPr>
        <w:t xml:space="preserve"> LED-լամպերից բացի՝ այլ լամպերի շահագործման բնութագրերին ներկայացվող պահանջները</w:t>
      </w:r>
    </w:p>
    <w:tbl>
      <w:tblPr>
        <w:tblOverlap w:val="never"/>
        <w:tblW w:w="9705" w:type="dxa"/>
        <w:jc w:val="center"/>
        <w:tblLayout w:type="fixed"/>
        <w:tblCellMar>
          <w:left w:w="10" w:type="dxa"/>
          <w:right w:w="10" w:type="dxa"/>
        </w:tblCellMar>
        <w:tblLook w:val="0020" w:firstRow="1" w:lastRow="0" w:firstColumn="0" w:lastColumn="0" w:noHBand="0" w:noVBand="0"/>
      </w:tblPr>
      <w:tblGrid>
        <w:gridCol w:w="3152"/>
        <w:gridCol w:w="3434"/>
        <w:gridCol w:w="3119"/>
      </w:tblGrid>
      <w:tr w:rsidR="00CA27E3" w:rsidRPr="00066F60" w14:paraId="3F0BB894" w14:textId="77777777" w:rsidTr="0077719B">
        <w:trPr>
          <w:tblHeader/>
          <w:jc w:val="center"/>
        </w:trPr>
        <w:tc>
          <w:tcPr>
            <w:tcW w:w="3152" w:type="dxa"/>
            <w:tcBorders>
              <w:top w:val="single" w:sz="4" w:space="0" w:color="auto"/>
              <w:left w:val="single" w:sz="4" w:space="0" w:color="auto"/>
            </w:tcBorders>
            <w:shd w:val="clear" w:color="auto" w:fill="FFFFFF"/>
            <w:vAlign w:val="center"/>
          </w:tcPr>
          <w:p w14:paraId="31E8BB79"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Բնութագիրը</w:t>
            </w:r>
          </w:p>
        </w:tc>
        <w:tc>
          <w:tcPr>
            <w:tcW w:w="3434" w:type="dxa"/>
            <w:tcBorders>
              <w:top w:val="single" w:sz="4" w:space="0" w:color="auto"/>
              <w:left w:val="single" w:sz="4" w:space="0" w:color="auto"/>
            </w:tcBorders>
            <w:shd w:val="clear" w:color="auto" w:fill="FFFFFF"/>
            <w:vAlign w:val="center"/>
          </w:tcPr>
          <w:p w14:paraId="486CE9BF"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2024 թվականի սեպտեմբերի 1-ից</w:t>
            </w:r>
          </w:p>
        </w:tc>
        <w:tc>
          <w:tcPr>
            <w:tcW w:w="3119" w:type="dxa"/>
            <w:tcBorders>
              <w:top w:val="single" w:sz="4" w:space="0" w:color="auto"/>
              <w:left w:val="single" w:sz="4" w:space="0" w:color="auto"/>
              <w:right w:val="single" w:sz="4" w:space="0" w:color="auto"/>
            </w:tcBorders>
            <w:shd w:val="clear" w:color="auto" w:fill="FFFFFF"/>
            <w:vAlign w:val="center"/>
          </w:tcPr>
          <w:p w14:paraId="1550279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2026 թվականի սեպտեմբերի 1-ից</w:t>
            </w:r>
          </w:p>
        </w:tc>
      </w:tr>
      <w:tr w:rsidR="00CA27E3" w:rsidRPr="00066F60" w14:paraId="0E153402" w14:textId="77777777" w:rsidTr="005F2963">
        <w:trPr>
          <w:jc w:val="center"/>
        </w:trPr>
        <w:tc>
          <w:tcPr>
            <w:tcW w:w="3152" w:type="dxa"/>
            <w:tcBorders>
              <w:top w:val="single" w:sz="4" w:space="0" w:color="auto"/>
              <w:left w:val="single" w:sz="4" w:space="0" w:color="auto"/>
            </w:tcBorders>
            <w:shd w:val="clear" w:color="auto" w:fill="FFFFFF"/>
            <w:vAlign w:val="center"/>
          </w:tcPr>
          <w:p w14:paraId="3FB4CEBF"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Լամպի ծառայության հաշվարկային ժամկետը</w:t>
            </w:r>
          </w:p>
        </w:tc>
        <w:tc>
          <w:tcPr>
            <w:tcW w:w="3434" w:type="dxa"/>
            <w:tcBorders>
              <w:top w:val="single" w:sz="4" w:space="0" w:color="auto"/>
              <w:left w:val="single" w:sz="4" w:space="0" w:color="auto"/>
            </w:tcBorders>
            <w:shd w:val="clear" w:color="auto" w:fill="FFFFFF"/>
            <w:vAlign w:val="center"/>
          </w:tcPr>
          <w:p w14:paraId="166C4C15" w14:textId="77777777" w:rsidR="00CA27E3" w:rsidRPr="00066F60" w:rsidRDefault="00CA27E3" w:rsidP="005F2963">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1,000 ժամի</w:t>
            </w:r>
          </w:p>
        </w:tc>
        <w:tc>
          <w:tcPr>
            <w:tcW w:w="3119" w:type="dxa"/>
            <w:tcBorders>
              <w:top w:val="single" w:sz="4" w:space="0" w:color="auto"/>
              <w:left w:val="single" w:sz="4" w:space="0" w:color="auto"/>
              <w:right w:val="single" w:sz="4" w:space="0" w:color="auto"/>
            </w:tcBorders>
            <w:shd w:val="clear" w:color="auto" w:fill="FFFFFF"/>
            <w:vAlign w:val="center"/>
          </w:tcPr>
          <w:p w14:paraId="53AF7B2C" w14:textId="77777777" w:rsidR="00CA27E3" w:rsidRPr="00066F60" w:rsidRDefault="00CA27E3" w:rsidP="005F2963">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 2,000 ժամի</w:t>
            </w:r>
          </w:p>
        </w:tc>
      </w:tr>
      <w:tr w:rsidR="00CA27E3" w:rsidRPr="00066F60" w14:paraId="0C805E6D" w14:textId="77777777" w:rsidTr="005F2963">
        <w:trPr>
          <w:jc w:val="center"/>
        </w:trPr>
        <w:tc>
          <w:tcPr>
            <w:tcW w:w="3152" w:type="dxa"/>
            <w:tcBorders>
              <w:top w:val="single" w:sz="4" w:space="0" w:color="auto"/>
              <w:left w:val="single" w:sz="4" w:space="0" w:color="auto"/>
            </w:tcBorders>
            <w:shd w:val="clear" w:color="auto" w:fill="FFFFFF"/>
            <w:vAlign w:val="center"/>
          </w:tcPr>
          <w:p w14:paraId="5E78EF37"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Լամպի լուսային հոսքի կայունությունը</w:t>
            </w:r>
          </w:p>
        </w:tc>
        <w:tc>
          <w:tcPr>
            <w:tcW w:w="3434" w:type="dxa"/>
            <w:tcBorders>
              <w:top w:val="single" w:sz="4" w:space="0" w:color="auto"/>
              <w:left w:val="single" w:sz="4" w:space="0" w:color="auto"/>
            </w:tcBorders>
            <w:shd w:val="clear" w:color="auto" w:fill="FFFFFF"/>
            <w:vAlign w:val="center"/>
          </w:tcPr>
          <w:p w14:paraId="607DFD8D"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85 %-ի՝ ծառայության նշված միջին ժամկետի 75 տոկոսի դեպքում</w:t>
            </w:r>
          </w:p>
        </w:tc>
        <w:tc>
          <w:tcPr>
            <w:tcW w:w="3119" w:type="dxa"/>
            <w:tcBorders>
              <w:top w:val="single" w:sz="4" w:space="0" w:color="auto"/>
              <w:left w:val="single" w:sz="4" w:space="0" w:color="auto"/>
              <w:right w:val="single" w:sz="4" w:space="0" w:color="auto"/>
            </w:tcBorders>
            <w:shd w:val="clear" w:color="auto" w:fill="FFFFFF"/>
            <w:vAlign w:val="center"/>
          </w:tcPr>
          <w:p w14:paraId="5C74EBA1"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85 %-ի՝ ծառայության նշված միջին ժամկետի 75 տոկոսի դեպքում</w:t>
            </w:r>
          </w:p>
        </w:tc>
      </w:tr>
      <w:tr w:rsidR="0077719B" w:rsidRPr="00066F60" w14:paraId="70473D5D" w14:textId="77777777" w:rsidTr="005F2963">
        <w:trPr>
          <w:trHeight w:val="834"/>
          <w:jc w:val="center"/>
        </w:trPr>
        <w:tc>
          <w:tcPr>
            <w:tcW w:w="3152" w:type="dxa"/>
            <w:tcBorders>
              <w:top w:val="single" w:sz="4" w:space="0" w:color="auto"/>
              <w:left w:val="single" w:sz="4" w:space="0" w:color="auto"/>
            </w:tcBorders>
            <w:shd w:val="clear" w:color="auto" w:fill="FFFFFF"/>
            <w:vAlign w:val="center"/>
          </w:tcPr>
          <w:p w14:paraId="33B33465" w14:textId="77777777" w:rsidR="0077719B" w:rsidRPr="00066F60" w:rsidRDefault="0077719B"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Փոխարկման ցիկլերի քանակը</w:t>
            </w:r>
          </w:p>
        </w:tc>
        <w:tc>
          <w:tcPr>
            <w:tcW w:w="3434" w:type="dxa"/>
            <w:tcBorders>
              <w:top w:val="single" w:sz="4" w:space="0" w:color="auto"/>
              <w:left w:val="single" w:sz="4" w:space="0" w:color="auto"/>
            </w:tcBorders>
            <w:shd w:val="clear" w:color="auto" w:fill="FFFFFF"/>
            <w:vAlign w:val="center"/>
          </w:tcPr>
          <w:p w14:paraId="7CEDD463" w14:textId="77777777" w:rsidR="0077719B" w:rsidRPr="00066F60" w:rsidRDefault="0077719B"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4 անգամ գերազանցում է ծառայության հաշվարկային ժամկետը</w:t>
            </w:r>
            <w:r w:rsidRPr="0077719B">
              <w:rPr>
                <w:rFonts w:ascii="Sylfaen" w:hAnsi="Sylfaen"/>
                <w:sz w:val="20"/>
                <w:szCs w:val="20"/>
              </w:rPr>
              <w:t xml:space="preserve"> </w:t>
            </w:r>
            <w:r w:rsidRPr="00066F60">
              <w:rPr>
                <w:rFonts w:ascii="Sylfaen" w:hAnsi="Sylfaen"/>
                <w:sz w:val="20"/>
                <w:szCs w:val="20"/>
              </w:rPr>
              <w:t>ժամերով</w:t>
            </w:r>
          </w:p>
        </w:tc>
        <w:tc>
          <w:tcPr>
            <w:tcW w:w="3119" w:type="dxa"/>
            <w:tcBorders>
              <w:top w:val="single" w:sz="4" w:space="0" w:color="auto"/>
              <w:left w:val="single" w:sz="4" w:space="0" w:color="auto"/>
              <w:right w:val="single" w:sz="4" w:space="0" w:color="auto"/>
            </w:tcBorders>
            <w:shd w:val="clear" w:color="auto" w:fill="FFFFFF"/>
            <w:vAlign w:val="center"/>
          </w:tcPr>
          <w:p w14:paraId="4AF9E807" w14:textId="77777777" w:rsidR="0077719B" w:rsidRPr="00066F60" w:rsidRDefault="0077719B"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4 անգամ գերազանցում է ծառայության հաշվարկային ժամկետը</w:t>
            </w:r>
            <w:r w:rsidRPr="0077719B">
              <w:rPr>
                <w:rFonts w:ascii="Sylfaen" w:hAnsi="Sylfaen"/>
                <w:sz w:val="20"/>
                <w:szCs w:val="20"/>
              </w:rPr>
              <w:t xml:space="preserve"> </w:t>
            </w:r>
            <w:r w:rsidRPr="00066F60">
              <w:rPr>
                <w:rFonts w:ascii="Sylfaen" w:hAnsi="Sylfaen"/>
                <w:sz w:val="20"/>
                <w:szCs w:val="20"/>
              </w:rPr>
              <w:t>ժամերով</w:t>
            </w:r>
          </w:p>
        </w:tc>
      </w:tr>
      <w:tr w:rsidR="00CA27E3" w:rsidRPr="00066F60" w14:paraId="25929029" w14:textId="77777777" w:rsidTr="005F2963">
        <w:trPr>
          <w:jc w:val="center"/>
        </w:trPr>
        <w:tc>
          <w:tcPr>
            <w:tcW w:w="3152" w:type="dxa"/>
            <w:tcBorders>
              <w:top w:val="single" w:sz="4" w:space="0" w:color="auto"/>
              <w:left w:val="single" w:sz="4" w:space="0" w:color="auto"/>
            </w:tcBorders>
            <w:shd w:val="clear" w:color="auto" w:fill="FFFFFF"/>
            <w:vAlign w:val="center"/>
          </w:tcPr>
          <w:p w14:paraId="780A1D68"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Վառքի ժամանակահատվածը</w:t>
            </w:r>
          </w:p>
        </w:tc>
        <w:tc>
          <w:tcPr>
            <w:tcW w:w="3434" w:type="dxa"/>
            <w:tcBorders>
              <w:top w:val="single" w:sz="4" w:space="0" w:color="auto"/>
              <w:left w:val="single" w:sz="4" w:space="0" w:color="auto"/>
            </w:tcBorders>
            <w:shd w:val="clear" w:color="auto" w:fill="FFFFFF"/>
            <w:vAlign w:val="center"/>
          </w:tcPr>
          <w:p w14:paraId="37170C1A"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&lt; 2,0 վրկ-ից</w:t>
            </w:r>
          </w:p>
        </w:tc>
        <w:tc>
          <w:tcPr>
            <w:tcW w:w="3119" w:type="dxa"/>
            <w:tcBorders>
              <w:top w:val="single" w:sz="4" w:space="0" w:color="auto"/>
              <w:left w:val="single" w:sz="4" w:space="0" w:color="auto"/>
              <w:right w:val="single" w:sz="4" w:space="0" w:color="auto"/>
            </w:tcBorders>
            <w:shd w:val="clear" w:color="auto" w:fill="FFFFFF"/>
            <w:vAlign w:val="center"/>
          </w:tcPr>
          <w:p w14:paraId="0A381BE3"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&lt; 2,0 վրկ-ից</w:t>
            </w:r>
          </w:p>
        </w:tc>
      </w:tr>
      <w:tr w:rsidR="00CA27E3" w:rsidRPr="00066F60" w14:paraId="5F2701D7" w14:textId="77777777" w:rsidTr="005F2963">
        <w:trPr>
          <w:jc w:val="center"/>
        </w:trPr>
        <w:tc>
          <w:tcPr>
            <w:tcW w:w="3152" w:type="dxa"/>
            <w:tcBorders>
              <w:top w:val="single" w:sz="4" w:space="0" w:color="auto"/>
              <w:left w:val="single" w:sz="4" w:space="0" w:color="auto"/>
              <w:bottom w:val="single" w:sz="4" w:space="0" w:color="auto"/>
            </w:tcBorders>
            <w:shd w:val="clear" w:color="auto" w:fill="FFFFFF"/>
            <w:vAlign w:val="center"/>
          </w:tcPr>
          <w:p w14:paraId="02B12D52"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Բռնկման ժամանակահատվածը՝ մինչեւ լուսային հոսքի (Φ) 60%-ի հասնելը</w:t>
            </w:r>
          </w:p>
        </w:tc>
        <w:tc>
          <w:tcPr>
            <w:tcW w:w="3434" w:type="dxa"/>
            <w:tcBorders>
              <w:top w:val="single" w:sz="4" w:space="0" w:color="auto"/>
              <w:left w:val="single" w:sz="4" w:space="0" w:color="auto"/>
              <w:bottom w:val="single" w:sz="4" w:space="0" w:color="auto"/>
            </w:tcBorders>
            <w:shd w:val="clear" w:color="auto" w:fill="FFFFFF"/>
            <w:vAlign w:val="center"/>
          </w:tcPr>
          <w:p w14:paraId="62244DA5"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1,0 վրկ-ի</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25C3AF40"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1,0 վրկ-ի</w:t>
            </w:r>
          </w:p>
        </w:tc>
      </w:tr>
      <w:tr w:rsidR="00CA27E3" w:rsidRPr="00066F60" w14:paraId="715D8959" w14:textId="77777777" w:rsidTr="005F2963">
        <w:tblPrEx>
          <w:tblLook w:val="0000" w:firstRow="0" w:lastRow="0" w:firstColumn="0" w:lastColumn="0" w:noHBand="0" w:noVBand="0"/>
        </w:tblPrEx>
        <w:trPr>
          <w:jc w:val="center"/>
        </w:trPr>
        <w:tc>
          <w:tcPr>
            <w:tcW w:w="3152" w:type="dxa"/>
            <w:tcBorders>
              <w:top w:val="single" w:sz="4" w:space="0" w:color="auto"/>
              <w:left w:val="single" w:sz="4" w:space="0" w:color="auto"/>
            </w:tcBorders>
            <w:shd w:val="clear" w:color="auto" w:fill="FFFFFF"/>
            <w:vAlign w:val="center"/>
          </w:tcPr>
          <w:p w14:paraId="767E7BE7"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Վաղաժամ շարքից դուրս գալու հաճախությունը</w:t>
            </w:r>
          </w:p>
        </w:tc>
        <w:tc>
          <w:tcPr>
            <w:tcW w:w="3434" w:type="dxa"/>
            <w:tcBorders>
              <w:top w:val="single" w:sz="4" w:space="0" w:color="auto"/>
              <w:left w:val="single" w:sz="4" w:space="0" w:color="auto"/>
            </w:tcBorders>
            <w:shd w:val="clear" w:color="auto" w:fill="FFFFFF"/>
            <w:vAlign w:val="center"/>
          </w:tcPr>
          <w:p w14:paraId="6D645536"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5,0 %-ի՝ 100 ժամից հետո</w:t>
            </w:r>
          </w:p>
        </w:tc>
        <w:tc>
          <w:tcPr>
            <w:tcW w:w="3119" w:type="dxa"/>
            <w:tcBorders>
              <w:top w:val="single" w:sz="4" w:space="0" w:color="auto"/>
              <w:left w:val="single" w:sz="4" w:space="0" w:color="auto"/>
              <w:right w:val="single" w:sz="4" w:space="0" w:color="auto"/>
            </w:tcBorders>
            <w:shd w:val="clear" w:color="auto" w:fill="FFFFFF"/>
            <w:vAlign w:val="center"/>
          </w:tcPr>
          <w:p w14:paraId="3D25E20B"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5,0 %-ի՝ 200 ժամից հետո</w:t>
            </w:r>
          </w:p>
        </w:tc>
      </w:tr>
      <w:tr w:rsidR="00CA27E3" w:rsidRPr="00066F60" w14:paraId="36B7BF03" w14:textId="77777777" w:rsidTr="005F2963">
        <w:tblPrEx>
          <w:tblLook w:val="0000" w:firstRow="0" w:lastRow="0" w:firstColumn="0" w:lastColumn="0" w:noHBand="0" w:noVBand="0"/>
        </w:tblPrEx>
        <w:trPr>
          <w:jc w:val="center"/>
        </w:trPr>
        <w:tc>
          <w:tcPr>
            <w:tcW w:w="3152" w:type="dxa"/>
            <w:tcBorders>
              <w:top w:val="single" w:sz="4" w:space="0" w:color="auto"/>
              <w:left w:val="single" w:sz="4" w:space="0" w:color="auto"/>
            </w:tcBorders>
            <w:shd w:val="clear" w:color="auto" w:fill="FFFFFF"/>
            <w:vAlign w:val="center"/>
          </w:tcPr>
          <w:p w14:paraId="2C6B14DE"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UVA + UVB-ճառագայթում</w:t>
            </w:r>
          </w:p>
        </w:tc>
        <w:tc>
          <w:tcPr>
            <w:tcW w:w="3434" w:type="dxa"/>
            <w:tcBorders>
              <w:top w:val="single" w:sz="4" w:space="0" w:color="auto"/>
              <w:left w:val="single" w:sz="4" w:space="0" w:color="auto"/>
            </w:tcBorders>
            <w:shd w:val="clear" w:color="auto" w:fill="FFFFFF"/>
            <w:vAlign w:val="center"/>
          </w:tcPr>
          <w:p w14:paraId="230C541A"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2,0 մՎտ/կլմ</w:t>
            </w:r>
          </w:p>
        </w:tc>
        <w:tc>
          <w:tcPr>
            <w:tcW w:w="3119" w:type="dxa"/>
            <w:tcBorders>
              <w:top w:val="single" w:sz="4" w:space="0" w:color="auto"/>
              <w:left w:val="single" w:sz="4" w:space="0" w:color="auto"/>
              <w:right w:val="single" w:sz="4" w:space="0" w:color="auto"/>
            </w:tcBorders>
            <w:shd w:val="clear" w:color="auto" w:fill="FFFFFF"/>
            <w:vAlign w:val="center"/>
          </w:tcPr>
          <w:p w14:paraId="2B033FEA"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2,0 մՎտ/կլմ</w:t>
            </w:r>
          </w:p>
        </w:tc>
      </w:tr>
      <w:tr w:rsidR="00CA27E3" w:rsidRPr="00066F60" w14:paraId="1F6F18CD" w14:textId="77777777" w:rsidTr="005F2963">
        <w:tblPrEx>
          <w:tblLook w:val="0000" w:firstRow="0" w:lastRow="0" w:firstColumn="0" w:lastColumn="0" w:noHBand="0" w:noVBand="0"/>
        </w:tblPrEx>
        <w:trPr>
          <w:jc w:val="center"/>
        </w:trPr>
        <w:tc>
          <w:tcPr>
            <w:tcW w:w="3152" w:type="dxa"/>
            <w:tcBorders>
              <w:top w:val="single" w:sz="4" w:space="0" w:color="auto"/>
              <w:left w:val="single" w:sz="4" w:space="0" w:color="auto"/>
            </w:tcBorders>
            <w:shd w:val="clear" w:color="auto" w:fill="FFFFFF"/>
            <w:vAlign w:val="center"/>
          </w:tcPr>
          <w:p w14:paraId="4227A91C"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UVC-ճառագայթում</w:t>
            </w:r>
          </w:p>
        </w:tc>
        <w:tc>
          <w:tcPr>
            <w:tcW w:w="3434" w:type="dxa"/>
            <w:tcBorders>
              <w:top w:val="single" w:sz="4" w:space="0" w:color="auto"/>
              <w:left w:val="single" w:sz="4" w:space="0" w:color="auto"/>
            </w:tcBorders>
            <w:shd w:val="clear" w:color="auto" w:fill="FFFFFF"/>
            <w:vAlign w:val="center"/>
          </w:tcPr>
          <w:p w14:paraId="068F7AE8"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0,01 մՎտ/կլմ</w:t>
            </w:r>
          </w:p>
        </w:tc>
        <w:tc>
          <w:tcPr>
            <w:tcW w:w="3119" w:type="dxa"/>
            <w:tcBorders>
              <w:top w:val="single" w:sz="4" w:space="0" w:color="auto"/>
              <w:left w:val="single" w:sz="4" w:space="0" w:color="auto"/>
              <w:right w:val="single" w:sz="4" w:space="0" w:color="auto"/>
            </w:tcBorders>
            <w:shd w:val="clear" w:color="auto" w:fill="FFFFFF"/>
            <w:vAlign w:val="center"/>
          </w:tcPr>
          <w:p w14:paraId="496AC0B1"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0,01 մՎտ/կլմ</w:t>
            </w:r>
          </w:p>
        </w:tc>
      </w:tr>
      <w:tr w:rsidR="00CA27E3" w:rsidRPr="00066F60" w14:paraId="6CE995ED" w14:textId="77777777" w:rsidTr="005F2963">
        <w:tblPrEx>
          <w:tblLook w:val="0000" w:firstRow="0" w:lastRow="0" w:firstColumn="0" w:lastColumn="0" w:noHBand="0" w:noVBand="0"/>
        </w:tblPrEx>
        <w:trPr>
          <w:jc w:val="center"/>
        </w:trPr>
        <w:tc>
          <w:tcPr>
            <w:tcW w:w="3152" w:type="dxa"/>
            <w:tcBorders>
              <w:top w:val="single" w:sz="4" w:space="0" w:color="auto"/>
              <w:left w:val="single" w:sz="4" w:space="0" w:color="auto"/>
              <w:bottom w:val="single" w:sz="4" w:space="0" w:color="auto"/>
            </w:tcBorders>
            <w:shd w:val="clear" w:color="auto" w:fill="FFFFFF"/>
            <w:vAlign w:val="center"/>
          </w:tcPr>
          <w:p w14:paraId="0417236E" w14:textId="77777777" w:rsidR="00CA27E3" w:rsidRPr="00066F60" w:rsidRDefault="00CA27E3" w:rsidP="005F2963">
            <w:pPr>
              <w:pStyle w:val="a4"/>
              <w:shd w:val="clear" w:color="auto" w:fill="auto"/>
              <w:spacing w:after="120" w:line="240" w:lineRule="auto"/>
              <w:ind w:right="24" w:firstLine="0"/>
              <w:rPr>
                <w:rFonts w:ascii="Sylfaen" w:hAnsi="Sylfaen" w:cs="Sylfaen"/>
                <w:sz w:val="20"/>
                <w:szCs w:val="20"/>
              </w:rPr>
            </w:pPr>
            <w:r w:rsidRPr="00066F60">
              <w:rPr>
                <w:rFonts w:ascii="Sylfaen" w:hAnsi="Sylfaen"/>
                <w:sz w:val="20"/>
                <w:szCs w:val="20"/>
              </w:rPr>
              <w:t>Լամպի հզորության գործակից</w:t>
            </w:r>
          </w:p>
        </w:tc>
        <w:tc>
          <w:tcPr>
            <w:tcW w:w="3434" w:type="dxa"/>
            <w:tcBorders>
              <w:top w:val="single" w:sz="4" w:space="0" w:color="auto"/>
              <w:left w:val="single" w:sz="4" w:space="0" w:color="auto"/>
              <w:bottom w:val="single" w:sz="4" w:space="0" w:color="auto"/>
            </w:tcBorders>
            <w:shd w:val="clear" w:color="auto" w:fill="FFFFFF"/>
            <w:vAlign w:val="center"/>
          </w:tcPr>
          <w:p w14:paraId="06B6D3DC"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0,95-ի</w:t>
            </w:r>
          </w:p>
        </w:tc>
        <w:tc>
          <w:tcPr>
            <w:tcW w:w="3119" w:type="dxa"/>
            <w:tcBorders>
              <w:top w:val="single" w:sz="4" w:space="0" w:color="auto"/>
              <w:left w:val="single" w:sz="4" w:space="0" w:color="auto"/>
              <w:bottom w:val="single" w:sz="4" w:space="0" w:color="auto"/>
              <w:right w:val="single" w:sz="4" w:space="0" w:color="auto"/>
            </w:tcBorders>
            <w:shd w:val="clear" w:color="auto" w:fill="FFFFFF"/>
            <w:vAlign w:val="center"/>
          </w:tcPr>
          <w:p w14:paraId="2EEA486F" w14:textId="77777777" w:rsidR="00CA27E3" w:rsidRPr="00066F60" w:rsidRDefault="00CA27E3" w:rsidP="005F2963">
            <w:pPr>
              <w:pStyle w:val="a4"/>
              <w:shd w:val="clear" w:color="auto" w:fill="auto"/>
              <w:spacing w:after="120" w:line="240" w:lineRule="auto"/>
              <w:ind w:left="53" w:right="44" w:firstLine="0"/>
              <w:jc w:val="center"/>
              <w:rPr>
                <w:rFonts w:ascii="Sylfaen" w:hAnsi="Sylfaen" w:cs="Sylfaen"/>
                <w:sz w:val="20"/>
                <w:szCs w:val="20"/>
              </w:rPr>
            </w:pPr>
            <w:r w:rsidRPr="00066F60">
              <w:rPr>
                <w:rFonts w:ascii="Sylfaen" w:hAnsi="Sylfaen"/>
                <w:sz w:val="20"/>
                <w:szCs w:val="20"/>
              </w:rPr>
              <w:t>≥ 0,95-ի</w:t>
            </w:r>
          </w:p>
        </w:tc>
      </w:tr>
    </w:tbl>
    <w:p w14:paraId="58298980" w14:textId="77777777" w:rsidR="00CA27E3" w:rsidRPr="00CA27E3" w:rsidRDefault="00CA27E3" w:rsidP="00CA27E3">
      <w:pPr>
        <w:spacing w:after="160" w:line="360" w:lineRule="auto"/>
        <w:rPr>
          <w:rFonts w:ascii="Sylfaen" w:hAnsi="Sylfaen" w:cs="Sylfaen"/>
        </w:rPr>
      </w:pPr>
    </w:p>
    <w:p w14:paraId="4C8CDCA0" w14:textId="77777777" w:rsidR="00CA27E3" w:rsidRPr="00CA27E3" w:rsidRDefault="00CA27E3" w:rsidP="0077719B">
      <w:pPr>
        <w:pStyle w:val="a0"/>
        <w:shd w:val="clear" w:color="auto" w:fill="auto"/>
        <w:tabs>
          <w:tab w:val="left" w:pos="1134"/>
          <w:tab w:val="left" w:pos="8222"/>
          <w:tab w:val="left" w:pos="8789"/>
        </w:tabs>
        <w:spacing w:after="160"/>
        <w:ind w:firstLine="567"/>
        <w:jc w:val="both"/>
        <w:rPr>
          <w:rFonts w:ascii="Sylfaen" w:hAnsi="Sylfaen" w:cs="Sylfaen"/>
          <w:sz w:val="24"/>
          <w:szCs w:val="24"/>
        </w:rPr>
      </w:pPr>
      <w:r w:rsidRPr="00CA27E3">
        <w:rPr>
          <w:rFonts w:ascii="Sylfaen" w:hAnsi="Sylfaen"/>
          <w:sz w:val="24"/>
          <w:szCs w:val="24"/>
        </w:rPr>
        <w:t>6.</w:t>
      </w:r>
      <w:r w:rsidR="0077719B" w:rsidRPr="0077719B">
        <w:rPr>
          <w:rFonts w:ascii="Sylfaen" w:hAnsi="Sylfaen"/>
          <w:sz w:val="24"/>
          <w:szCs w:val="24"/>
        </w:rPr>
        <w:tab/>
      </w:r>
      <w:r w:rsidRPr="00CA27E3">
        <w:rPr>
          <w:rFonts w:ascii="Sylfaen" w:hAnsi="Sylfaen"/>
          <w:sz w:val="24"/>
          <w:szCs w:val="24"/>
        </w:rPr>
        <w:t>Ի լրումն «Էներգասպառող սարքվածքների էներգետիկ արդյունավետությանը ներկայացվող պահանջների մասին» (ԵԱՏՄ ՏԿ</w:t>
      </w:r>
      <w:r w:rsidR="0077719B" w:rsidRPr="0077719B">
        <w:rPr>
          <w:rFonts w:ascii="Sylfaen" w:hAnsi="Sylfaen"/>
          <w:sz w:val="24"/>
          <w:szCs w:val="24"/>
        </w:rPr>
        <w:tab/>
      </w:r>
      <w:r w:rsidRPr="00CA27E3">
        <w:rPr>
          <w:rFonts w:ascii="Sylfaen" w:hAnsi="Sylfaen"/>
          <w:sz w:val="24"/>
          <w:szCs w:val="24"/>
        </w:rPr>
        <w:t>/20</w:t>
      </w:r>
      <w:r w:rsidR="0077719B" w:rsidRPr="0077719B">
        <w:rPr>
          <w:rFonts w:ascii="Sylfaen" w:hAnsi="Sylfaen"/>
          <w:sz w:val="24"/>
          <w:szCs w:val="24"/>
        </w:rPr>
        <w:tab/>
      </w:r>
      <w:r w:rsidRPr="00CA27E3">
        <w:rPr>
          <w:rFonts w:ascii="Sylfaen" w:hAnsi="Sylfaen"/>
          <w:sz w:val="24"/>
          <w:szCs w:val="24"/>
        </w:rPr>
        <w:t>) Եվրասիական տնտեսական միության տեխնիկական կանոնակարգի (այսուհետ՝ տեխնիկական կանոնակարգ) V բաժնում նշված պահանջների՝ փաթեթվածքը կամ շահագործման փաստաթղթերը պետք է պարունակեն հետ</w:t>
      </w:r>
      <w:r>
        <w:rPr>
          <w:rFonts w:ascii="Sylfaen" w:hAnsi="Sylfaen"/>
          <w:sz w:val="24"/>
          <w:szCs w:val="24"/>
        </w:rPr>
        <w:t>եւ</w:t>
      </w:r>
      <w:r w:rsidRPr="00CA27E3">
        <w:rPr>
          <w:rFonts w:ascii="Sylfaen" w:hAnsi="Sylfaen"/>
          <w:sz w:val="24"/>
          <w:szCs w:val="24"/>
        </w:rPr>
        <w:t xml:space="preserve">յալ տեղեկատվությունը. </w:t>
      </w:r>
    </w:p>
    <w:p w14:paraId="52F8B9E5"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77719B" w:rsidRPr="0077719B">
        <w:rPr>
          <w:rFonts w:ascii="Sylfaen" w:hAnsi="Sylfaen"/>
          <w:sz w:val="24"/>
          <w:szCs w:val="24"/>
        </w:rPr>
        <w:tab/>
      </w:r>
      <w:r w:rsidRPr="00CA27E3">
        <w:rPr>
          <w:rFonts w:ascii="Sylfaen" w:hAnsi="Sylfaen"/>
          <w:sz w:val="24"/>
          <w:szCs w:val="24"/>
        </w:rPr>
        <w:t>կենցաղային նշանակության չուղղորդված լույսի էլեկտրական լամպերի համար (բացառությամբ շիկացման լամպերի, որոնք չեն համապատասխանում էներգետիկ արդյունավետության պահանջներին), պետք է ներկայացվի հետ</w:t>
      </w:r>
      <w:r>
        <w:rPr>
          <w:rFonts w:ascii="Sylfaen" w:hAnsi="Sylfaen"/>
          <w:sz w:val="24"/>
          <w:szCs w:val="24"/>
        </w:rPr>
        <w:t>եւ</w:t>
      </w:r>
      <w:r w:rsidRPr="00CA27E3">
        <w:rPr>
          <w:rFonts w:ascii="Sylfaen" w:hAnsi="Sylfaen"/>
          <w:sz w:val="24"/>
          <w:szCs w:val="24"/>
        </w:rPr>
        <w:t>յալ տեղեկատվությունը՝</w:t>
      </w:r>
    </w:p>
    <w:p w14:paraId="2B0062E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լուսատացքը,</w:t>
      </w:r>
    </w:p>
    <w:p w14:paraId="48DE1FA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անվանական սպառվող հզորությունը (եթե լամպի անվանական սպառվող հզորությունը նշվում է էներգետիկ մականշվածքից առանձին, ապա անվանական լուսային հոսքը նույնպես հարկավոր է նշել առանձին, մասնավորապես՝ անվանական սպառվող հզորությունը նշելու համար օգտագործված տառատեսակից առնվազն 2 անգամ ավելի մեծ տառատեսակով).</w:t>
      </w:r>
    </w:p>
    <w:p w14:paraId="0C71930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գունային ջերմաստիճան (Կելվինի աստիճաններով թվային արժեքի տեսքով).</w:t>
      </w:r>
    </w:p>
    <w:p w14:paraId="7C21437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ծառայության ժամկետը ժամերով (ոչ ավելի, քան ծառայության հաշվարկային ժամկետը).</w:t>
      </w:r>
    </w:p>
    <w:p w14:paraId="2325E54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չափերը (երկարությունը </w:t>
      </w:r>
      <w:r>
        <w:rPr>
          <w:rFonts w:ascii="Sylfaen" w:hAnsi="Sylfaen"/>
          <w:sz w:val="24"/>
          <w:szCs w:val="24"/>
        </w:rPr>
        <w:t>եւ</w:t>
      </w:r>
      <w:r w:rsidRPr="00CA27E3">
        <w:rPr>
          <w:rFonts w:ascii="Sylfaen" w:hAnsi="Sylfaen"/>
          <w:sz w:val="24"/>
          <w:szCs w:val="24"/>
        </w:rPr>
        <w:t xml:space="preserve"> տրամագիծը) միլիմետրերով.</w:t>
      </w:r>
    </w:p>
    <w:p w14:paraId="7FD8AAE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փաթեթվածքի վրա նշվում է շիկացման սովորական լամպի համարժեքությունը, ապա պետք է նշվի այն համարժեք հզորությունը (մինչ</w:t>
      </w:r>
      <w:r>
        <w:rPr>
          <w:rFonts w:ascii="Sylfaen" w:hAnsi="Sylfaen"/>
          <w:sz w:val="24"/>
          <w:szCs w:val="24"/>
        </w:rPr>
        <w:t>եւ</w:t>
      </w:r>
      <w:r w:rsidRPr="00CA27E3">
        <w:rPr>
          <w:rFonts w:ascii="Sylfaen" w:hAnsi="Sylfaen"/>
          <w:sz w:val="24"/>
          <w:szCs w:val="24"/>
        </w:rPr>
        <w:t xml:space="preserve"> ամբողջ թիվը կլորացմամբ), որը, համաձայն 6-րդ աղյուսակի, համապատասխանում է փաթեթվածքում պարունակվող լամպի լուսային հոսքին։</w:t>
      </w:r>
      <w:r>
        <w:rPr>
          <w:rFonts w:ascii="Sylfaen" w:hAnsi="Sylfaen"/>
          <w:sz w:val="24"/>
          <w:szCs w:val="24"/>
        </w:rPr>
        <w:t xml:space="preserve"> </w:t>
      </w:r>
    </w:p>
    <w:p w14:paraId="36224EC5"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p>
    <w:p w14:paraId="5D349B07"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t>Աղյուսակ 6</w:t>
      </w:r>
    </w:p>
    <w:p w14:paraId="462C55FA" w14:textId="77777777" w:rsidR="00CA27E3" w:rsidRPr="00CA27E3" w:rsidRDefault="00CA27E3" w:rsidP="0077719B">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Համարժեք շիկացման լամպի հաշվարկային լուսային հոսքը </w:t>
      </w:r>
      <w:r>
        <w:rPr>
          <w:rFonts w:ascii="Sylfaen" w:hAnsi="Sylfaen"/>
          <w:sz w:val="24"/>
          <w:szCs w:val="24"/>
        </w:rPr>
        <w:t>եւ</w:t>
      </w:r>
      <w:r w:rsidRPr="00CA27E3">
        <w:rPr>
          <w:rFonts w:ascii="Sylfaen" w:hAnsi="Sylfaen"/>
          <w:sz w:val="24"/>
          <w:szCs w:val="24"/>
        </w:rPr>
        <w:t xml:space="preserve"> սպառվող հզորությունը </w:t>
      </w:r>
    </w:p>
    <w:tbl>
      <w:tblPr>
        <w:tblOverlap w:val="never"/>
        <w:tblW w:w="9475" w:type="dxa"/>
        <w:jc w:val="center"/>
        <w:tblLayout w:type="fixed"/>
        <w:tblCellMar>
          <w:left w:w="10" w:type="dxa"/>
          <w:right w:w="10" w:type="dxa"/>
        </w:tblCellMar>
        <w:tblLook w:val="0000" w:firstRow="0" w:lastRow="0" w:firstColumn="0" w:lastColumn="0" w:noHBand="0" w:noVBand="0"/>
      </w:tblPr>
      <w:tblGrid>
        <w:gridCol w:w="2176"/>
        <w:gridCol w:w="2137"/>
        <w:gridCol w:w="2832"/>
        <w:gridCol w:w="2330"/>
      </w:tblGrid>
      <w:tr w:rsidR="00CA27E3" w:rsidRPr="00066F60" w14:paraId="71311EB7" w14:textId="77777777" w:rsidTr="005F2963">
        <w:trPr>
          <w:jc w:val="center"/>
        </w:trPr>
        <w:tc>
          <w:tcPr>
            <w:tcW w:w="7145" w:type="dxa"/>
            <w:gridSpan w:val="3"/>
            <w:tcBorders>
              <w:top w:val="single" w:sz="4" w:space="0" w:color="auto"/>
              <w:left w:val="single" w:sz="4" w:space="0" w:color="auto"/>
            </w:tcBorders>
            <w:shd w:val="clear" w:color="auto" w:fill="FFFFFF"/>
          </w:tcPr>
          <w:p w14:paraId="2DEB2A05"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Լամպերի տարբեր տիպերի համար հաշվարկային լուսային հոսքը (Ф), լմ</w:t>
            </w:r>
          </w:p>
        </w:tc>
        <w:tc>
          <w:tcPr>
            <w:tcW w:w="2330" w:type="dxa"/>
            <w:vMerge w:val="restart"/>
            <w:tcBorders>
              <w:top w:val="single" w:sz="4" w:space="0" w:color="auto"/>
              <w:left w:val="single" w:sz="4" w:space="0" w:color="auto"/>
              <w:right w:val="single" w:sz="4" w:space="0" w:color="auto"/>
            </w:tcBorders>
            <w:shd w:val="clear" w:color="auto" w:fill="FFFFFF"/>
          </w:tcPr>
          <w:p w14:paraId="31B7BF4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Համարժեք շիկացման լամպի սպառվող հզորությունը (Վտ-ով)</w:t>
            </w:r>
          </w:p>
        </w:tc>
      </w:tr>
      <w:tr w:rsidR="00CA27E3" w:rsidRPr="00066F60" w14:paraId="366DE143" w14:textId="77777777" w:rsidTr="005F2963">
        <w:trPr>
          <w:jc w:val="center"/>
        </w:trPr>
        <w:tc>
          <w:tcPr>
            <w:tcW w:w="2176" w:type="dxa"/>
            <w:tcBorders>
              <w:top w:val="single" w:sz="4" w:space="0" w:color="auto"/>
              <w:left w:val="single" w:sz="4" w:space="0" w:color="auto"/>
            </w:tcBorders>
            <w:shd w:val="clear" w:color="auto" w:fill="FFFFFF"/>
          </w:tcPr>
          <w:p w14:paraId="04744739"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կոմպակտ լյումինեսցենտային</w:t>
            </w:r>
          </w:p>
        </w:tc>
        <w:tc>
          <w:tcPr>
            <w:tcW w:w="2137" w:type="dxa"/>
            <w:tcBorders>
              <w:top w:val="single" w:sz="4" w:space="0" w:color="auto"/>
              <w:left w:val="single" w:sz="4" w:space="0" w:color="auto"/>
            </w:tcBorders>
            <w:shd w:val="clear" w:color="auto" w:fill="FFFFFF"/>
          </w:tcPr>
          <w:p w14:paraId="7BDD092E"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հալոգեն շիկացման</w:t>
            </w:r>
          </w:p>
        </w:tc>
        <w:tc>
          <w:tcPr>
            <w:tcW w:w="2832" w:type="dxa"/>
            <w:tcBorders>
              <w:top w:val="single" w:sz="4" w:space="0" w:color="auto"/>
              <w:left w:val="single" w:sz="4" w:space="0" w:color="auto"/>
            </w:tcBorders>
            <w:shd w:val="clear" w:color="auto" w:fill="FFFFFF"/>
          </w:tcPr>
          <w:p w14:paraId="69B621BE"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լուսադիոդային եւ այլն</w:t>
            </w:r>
          </w:p>
        </w:tc>
        <w:tc>
          <w:tcPr>
            <w:tcW w:w="2330" w:type="dxa"/>
            <w:vMerge/>
            <w:tcBorders>
              <w:left w:val="single" w:sz="4" w:space="0" w:color="auto"/>
              <w:right w:val="single" w:sz="4" w:space="0" w:color="auto"/>
            </w:tcBorders>
            <w:shd w:val="clear" w:color="auto" w:fill="FFFFFF"/>
          </w:tcPr>
          <w:p w14:paraId="0B3975EE" w14:textId="77777777" w:rsidR="00CA27E3" w:rsidRPr="00066F60" w:rsidRDefault="00CA27E3" w:rsidP="00066F60">
            <w:pPr>
              <w:spacing w:after="120"/>
              <w:rPr>
                <w:rFonts w:ascii="Sylfaen" w:hAnsi="Sylfaen" w:cs="Sylfaen"/>
                <w:sz w:val="20"/>
                <w:szCs w:val="20"/>
              </w:rPr>
            </w:pPr>
          </w:p>
        </w:tc>
      </w:tr>
      <w:tr w:rsidR="00CA27E3" w:rsidRPr="00066F60" w14:paraId="2C4DB34B" w14:textId="77777777" w:rsidTr="005F2963">
        <w:trPr>
          <w:jc w:val="center"/>
        </w:trPr>
        <w:tc>
          <w:tcPr>
            <w:tcW w:w="2176" w:type="dxa"/>
            <w:tcBorders>
              <w:top w:val="single" w:sz="4" w:space="0" w:color="auto"/>
              <w:left w:val="single" w:sz="4" w:space="0" w:color="auto"/>
            </w:tcBorders>
            <w:shd w:val="clear" w:color="auto" w:fill="FFFFFF"/>
          </w:tcPr>
          <w:p w14:paraId="30678ADA"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125</w:t>
            </w:r>
          </w:p>
        </w:tc>
        <w:tc>
          <w:tcPr>
            <w:tcW w:w="2137" w:type="dxa"/>
            <w:tcBorders>
              <w:top w:val="single" w:sz="4" w:space="0" w:color="auto"/>
              <w:left w:val="single" w:sz="4" w:space="0" w:color="auto"/>
            </w:tcBorders>
            <w:shd w:val="clear" w:color="auto" w:fill="FFFFFF"/>
          </w:tcPr>
          <w:p w14:paraId="0F4699ED"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119</w:t>
            </w:r>
          </w:p>
        </w:tc>
        <w:tc>
          <w:tcPr>
            <w:tcW w:w="2832" w:type="dxa"/>
            <w:tcBorders>
              <w:top w:val="single" w:sz="4" w:space="0" w:color="auto"/>
              <w:left w:val="single" w:sz="4" w:space="0" w:color="auto"/>
            </w:tcBorders>
            <w:shd w:val="clear" w:color="auto" w:fill="FFFFFF"/>
          </w:tcPr>
          <w:p w14:paraId="228BCC93"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136</w:t>
            </w:r>
          </w:p>
        </w:tc>
        <w:tc>
          <w:tcPr>
            <w:tcW w:w="2330" w:type="dxa"/>
            <w:tcBorders>
              <w:top w:val="single" w:sz="4" w:space="0" w:color="auto"/>
              <w:left w:val="single" w:sz="4" w:space="0" w:color="auto"/>
              <w:right w:val="single" w:sz="4" w:space="0" w:color="auto"/>
            </w:tcBorders>
            <w:shd w:val="clear" w:color="auto" w:fill="FFFFFF"/>
          </w:tcPr>
          <w:p w14:paraId="6833F51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15</w:t>
            </w:r>
          </w:p>
        </w:tc>
      </w:tr>
      <w:tr w:rsidR="00CA27E3" w:rsidRPr="00066F60" w14:paraId="28095277" w14:textId="77777777" w:rsidTr="005F2963">
        <w:trPr>
          <w:jc w:val="center"/>
        </w:trPr>
        <w:tc>
          <w:tcPr>
            <w:tcW w:w="2176" w:type="dxa"/>
            <w:tcBorders>
              <w:top w:val="single" w:sz="4" w:space="0" w:color="auto"/>
              <w:left w:val="single" w:sz="4" w:space="0" w:color="auto"/>
            </w:tcBorders>
            <w:shd w:val="clear" w:color="auto" w:fill="FFFFFF"/>
          </w:tcPr>
          <w:p w14:paraId="3BE41279"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229</w:t>
            </w:r>
          </w:p>
        </w:tc>
        <w:tc>
          <w:tcPr>
            <w:tcW w:w="2137" w:type="dxa"/>
            <w:tcBorders>
              <w:top w:val="single" w:sz="4" w:space="0" w:color="auto"/>
              <w:left w:val="single" w:sz="4" w:space="0" w:color="auto"/>
            </w:tcBorders>
            <w:shd w:val="clear" w:color="auto" w:fill="FFFFFF"/>
          </w:tcPr>
          <w:p w14:paraId="37A577B6"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217</w:t>
            </w:r>
          </w:p>
        </w:tc>
        <w:tc>
          <w:tcPr>
            <w:tcW w:w="2832" w:type="dxa"/>
            <w:tcBorders>
              <w:top w:val="single" w:sz="4" w:space="0" w:color="auto"/>
              <w:left w:val="single" w:sz="4" w:space="0" w:color="auto"/>
            </w:tcBorders>
            <w:shd w:val="clear" w:color="auto" w:fill="FFFFFF"/>
          </w:tcPr>
          <w:p w14:paraId="61EE4D1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249</w:t>
            </w:r>
          </w:p>
        </w:tc>
        <w:tc>
          <w:tcPr>
            <w:tcW w:w="2330" w:type="dxa"/>
            <w:tcBorders>
              <w:top w:val="single" w:sz="4" w:space="0" w:color="auto"/>
              <w:left w:val="single" w:sz="4" w:space="0" w:color="auto"/>
              <w:right w:val="single" w:sz="4" w:space="0" w:color="auto"/>
            </w:tcBorders>
            <w:shd w:val="clear" w:color="auto" w:fill="FFFFFF"/>
          </w:tcPr>
          <w:p w14:paraId="0E10729B"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25</w:t>
            </w:r>
          </w:p>
        </w:tc>
      </w:tr>
      <w:tr w:rsidR="00CA27E3" w:rsidRPr="00066F60" w14:paraId="69BB5331" w14:textId="77777777" w:rsidTr="005F2963">
        <w:trPr>
          <w:jc w:val="center"/>
        </w:trPr>
        <w:tc>
          <w:tcPr>
            <w:tcW w:w="2176" w:type="dxa"/>
            <w:tcBorders>
              <w:top w:val="single" w:sz="4" w:space="0" w:color="auto"/>
              <w:left w:val="single" w:sz="4" w:space="0" w:color="auto"/>
            </w:tcBorders>
            <w:shd w:val="clear" w:color="auto" w:fill="FFFFFF"/>
          </w:tcPr>
          <w:p w14:paraId="08AD74E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432</w:t>
            </w:r>
          </w:p>
        </w:tc>
        <w:tc>
          <w:tcPr>
            <w:tcW w:w="2137" w:type="dxa"/>
            <w:tcBorders>
              <w:top w:val="single" w:sz="4" w:space="0" w:color="auto"/>
              <w:left w:val="single" w:sz="4" w:space="0" w:color="auto"/>
            </w:tcBorders>
            <w:shd w:val="clear" w:color="auto" w:fill="FFFFFF"/>
          </w:tcPr>
          <w:p w14:paraId="01698075"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410</w:t>
            </w:r>
          </w:p>
        </w:tc>
        <w:tc>
          <w:tcPr>
            <w:tcW w:w="2832" w:type="dxa"/>
            <w:tcBorders>
              <w:top w:val="single" w:sz="4" w:space="0" w:color="auto"/>
              <w:left w:val="single" w:sz="4" w:space="0" w:color="auto"/>
            </w:tcBorders>
            <w:shd w:val="clear" w:color="auto" w:fill="FFFFFF"/>
          </w:tcPr>
          <w:p w14:paraId="4771BC2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470</w:t>
            </w:r>
          </w:p>
        </w:tc>
        <w:tc>
          <w:tcPr>
            <w:tcW w:w="2330" w:type="dxa"/>
            <w:tcBorders>
              <w:top w:val="single" w:sz="4" w:space="0" w:color="auto"/>
              <w:left w:val="single" w:sz="4" w:space="0" w:color="auto"/>
              <w:right w:val="single" w:sz="4" w:space="0" w:color="auto"/>
            </w:tcBorders>
            <w:shd w:val="clear" w:color="auto" w:fill="FFFFFF"/>
          </w:tcPr>
          <w:p w14:paraId="714B1D9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40</w:t>
            </w:r>
          </w:p>
        </w:tc>
      </w:tr>
      <w:tr w:rsidR="00CA27E3" w:rsidRPr="00066F60" w14:paraId="5B046487" w14:textId="77777777" w:rsidTr="005F2963">
        <w:trPr>
          <w:jc w:val="center"/>
        </w:trPr>
        <w:tc>
          <w:tcPr>
            <w:tcW w:w="2176" w:type="dxa"/>
            <w:tcBorders>
              <w:top w:val="single" w:sz="4" w:space="0" w:color="auto"/>
              <w:left w:val="single" w:sz="4" w:space="0" w:color="auto"/>
            </w:tcBorders>
            <w:shd w:val="clear" w:color="auto" w:fill="FFFFFF"/>
          </w:tcPr>
          <w:p w14:paraId="52736C1F"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741</w:t>
            </w:r>
          </w:p>
        </w:tc>
        <w:tc>
          <w:tcPr>
            <w:tcW w:w="2137" w:type="dxa"/>
            <w:tcBorders>
              <w:top w:val="single" w:sz="4" w:space="0" w:color="auto"/>
              <w:left w:val="single" w:sz="4" w:space="0" w:color="auto"/>
            </w:tcBorders>
            <w:shd w:val="clear" w:color="auto" w:fill="FFFFFF"/>
          </w:tcPr>
          <w:p w14:paraId="3107BBA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702</w:t>
            </w:r>
          </w:p>
        </w:tc>
        <w:tc>
          <w:tcPr>
            <w:tcW w:w="2832" w:type="dxa"/>
            <w:tcBorders>
              <w:top w:val="single" w:sz="4" w:space="0" w:color="auto"/>
              <w:left w:val="single" w:sz="4" w:space="0" w:color="auto"/>
            </w:tcBorders>
            <w:shd w:val="clear" w:color="auto" w:fill="FFFFFF"/>
          </w:tcPr>
          <w:p w14:paraId="10B5C537"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806</w:t>
            </w:r>
          </w:p>
        </w:tc>
        <w:tc>
          <w:tcPr>
            <w:tcW w:w="2330" w:type="dxa"/>
            <w:tcBorders>
              <w:top w:val="single" w:sz="4" w:space="0" w:color="auto"/>
              <w:left w:val="single" w:sz="4" w:space="0" w:color="auto"/>
              <w:right w:val="single" w:sz="4" w:space="0" w:color="auto"/>
            </w:tcBorders>
            <w:shd w:val="clear" w:color="auto" w:fill="FFFFFF"/>
          </w:tcPr>
          <w:p w14:paraId="285B8B86"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60</w:t>
            </w:r>
          </w:p>
        </w:tc>
      </w:tr>
      <w:tr w:rsidR="00CA27E3" w:rsidRPr="00066F60" w14:paraId="2659A85D" w14:textId="77777777" w:rsidTr="005F2963">
        <w:trPr>
          <w:jc w:val="center"/>
        </w:trPr>
        <w:tc>
          <w:tcPr>
            <w:tcW w:w="2176" w:type="dxa"/>
            <w:tcBorders>
              <w:top w:val="single" w:sz="4" w:space="0" w:color="auto"/>
              <w:left w:val="single" w:sz="4" w:space="0" w:color="auto"/>
            </w:tcBorders>
            <w:shd w:val="clear" w:color="auto" w:fill="FFFFFF"/>
          </w:tcPr>
          <w:p w14:paraId="5291688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970</w:t>
            </w:r>
          </w:p>
        </w:tc>
        <w:tc>
          <w:tcPr>
            <w:tcW w:w="2137" w:type="dxa"/>
            <w:tcBorders>
              <w:top w:val="single" w:sz="4" w:space="0" w:color="auto"/>
              <w:left w:val="single" w:sz="4" w:space="0" w:color="auto"/>
            </w:tcBorders>
            <w:shd w:val="clear" w:color="auto" w:fill="FFFFFF"/>
          </w:tcPr>
          <w:p w14:paraId="2F63186C"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920</w:t>
            </w:r>
          </w:p>
        </w:tc>
        <w:tc>
          <w:tcPr>
            <w:tcW w:w="2832" w:type="dxa"/>
            <w:tcBorders>
              <w:top w:val="single" w:sz="4" w:space="0" w:color="auto"/>
              <w:left w:val="single" w:sz="4" w:space="0" w:color="auto"/>
            </w:tcBorders>
            <w:shd w:val="clear" w:color="auto" w:fill="FFFFFF"/>
          </w:tcPr>
          <w:p w14:paraId="07ACAEDF"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1 055</w:t>
            </w:r>
          </w:p>
        </w:tc>
        <w:tc>
          <w:tcPr>
            <w:tcW w:w="2330" w:type="dxa"/>
            <w:tcBorders>
              <w:top w:val="single" w:sz="4" w:space="0" w:color="auto"/>
              <w:left w:val="single" w:sz="4" w:space="0" w:color="auto"/>
              <w:right w:val="single" w:sz="4" w:space="0" w:color="auto"/>
            </w:tcBorders>
            <w:shd w:val="clear" w:color="auto" w:fill="FFFFFF"/>
          </w:tcPr>
          <w:p w14:paraId="06BD470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75</w:t>
            </w:r>
          </w:p>
        </w:tc>
      </w:tr>
      <w:tr w:rsidR="00CA27E3" w:rsidRPr="00066F60" w14:paraId="1F4FBCA7" w14:textId="77777777" w:rsidTr="005F2963">
        <w:trPr>
          <w:jc w:val="center"/>
        </w:trPr>
        <w:tc>
          <w:tcPr>
            <w:tcW w:w="2176" w:type="dxa"/>
            <w:tcBorders>
              <w:top w:val="single" w:sz="4" w:space="0" w:color="auto"/>
              <w:left w:val="single" w:sz="4" w:space="0" w:color="auto"/>
            </w:tcBorders>
            <w:shd w:val="clear" w:color="auto" w:fill="FFFFFF"/>
          </w:tcPr>
          <w:p w14:paraId="589CB7B3"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1 398</w:t>
            </w:r>
          </w:p>
        </w:tc>
        <w:tc>
          <w:tcPr>
            <w:tcW w:w="2137" w:type="dxa"/>
            <w:tcBorders>
              <w:top w:val="single" w:sz="4" w:space="0" w:color="auto"/>
              <w:left w:val="single" w:sz="4" w:space="0" w:color="auto"/>
            </w:tcBorders>
            <w:shd w:val="clear" w:color="auto" w:fill="FFFFFF"/>
          </w:tcPr>
          <w:p w14:paraId="0F40258C"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1 326</w:t>
            </w:r>
          </w:p>
        </w:tc>
        <w:tc>
          <w:tcPr>
            <w:tcW w:w="2832" w:type="dxa"/>
            <w:tcBorders>
              <w:top w:val="single" w:sz="4" w:space="0" w:color="auto"/>
              <w:left w:val="single" w:sz="4" w:space="0" w:color="auto"/>
            </w:tcBorders>
            <w:shd w:val="clear" w:color="auto" w:fill="FFFFFF"/>
          </w:tcPr>
          <w:p w14:paraId="2AED2555"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1 521</w:t>
            </w:r>
          </w:p>
        </w:tc>
        <w:tc>
          <w:tcPr>
            <w:tcW w:w="2330" w:type="dxa"/>
            <w:tcBorders>
              <w:top w:val="single" w:sz="4" w:space="0" w:color="auto"/>
              <w:left w:val="single" w:sz="4" w:space="0" w:color="auto"/>
              <w:right w:val="single" w:sz="4" w:space="0" w:color="auto"/>
            </w:tcBorders>
            <w:shd w:val="clear" w:color="auto" w:fill="FFFFFF"/>
          </w:tcPr>
          <w:p w14:paraId="66BDED9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100</w:t>
            </w:r>
          </w:p>
        </w:tc>
      </w:tr>
      <w:tr w:rsidR="00CA27E3" w:rsidRPr="00066F60" w14:paraId="71F5534F" w14:textId="77777777" w:rsidTr="005F2963">
        <w:trPr>
          <w:jc w:val="center"/>
        </w:trPr>
        <w:tc>
          <w:tcPr>
            <w:tcW w:w="2176" w:type="dxa"/>
            <w:tcBorders>
              <w:top w:val="single" w:sz="4" w:space="0" w:color="auto"/>
              <w:left w:val="single" w:sz="4" w:space="0" w:color="auto"/>
            </w:tcBorders>
            <w:shd w:val="clear" w:color="auto" w:fill="FFFFFF"/>
          </w:tcPr>
          <w:p w14:paraId="5105188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2 253</w:t>
            </w:r>
          </w:p>
        </w:tc>
        <w:tc>
          <w:tcPr>
            <w:tcW w:w="2137" w:type="dxa"/>
            <w:tcBorders>
              <w:top w:val="single" w:sz="4" w:space="0" w:color="auto"/>
              <w:left w:val="single" w:sz="4" w:space="0" w:color="auto"/>
            </w:tcBorders>
            <w:shd w:val="clear" w:color="auto" w:fill="FFFFFF"/>
          </w:tcPr>
          <w:p w14:paraId="4B89CB6E"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2 137</w:t>
            </w:r>
          </w:p>
        </w:tc>
        <w:tc>
          <w:tcPr>
            <w:tcW w:w="2832" w:type="dxa"/>
            <w:tcBorders>
              <w:top w:val="single" w:sz="4" w:space="0" w:color="auto"/>
              <w:left w:val="single" w:sz="4" w:space="0" w:color="auto"/>
            </w:tcBorders>
            <w:shd w:val="clear" w:color="auto" w:fill="FFFFFF"/>
          </w:tcPr>
          <w:p w14:paraId="004E0824"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2 452</w:t>
            </w:r>
          </w:p>
        </w:tc>
        <w:tc>
          <w:tcPr>
            <w:tcW w:w="2330" w:type="dxa"/>
            <w:tcBorders>
              <w:top w:val="single" w:sz="4" w:space="0" w:color="auto"/>
              <w:left w:val="single" w:sz="4" w:space="0" w:color="auto"/>
              <w:right w:val="single" w:sz="4" w:space="0" w:color="auto"/>
            </w:tcBorders>
            <w:shd w:val="clear" w:color="auto" w:fill="FFFFFF"/>
          </w:tcPr>
          <w:p w14:paraId="4C9B040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150</w:t>
            </w:r>
          </w:p>
        </w:tc>
      </w:tr>
      <w:tr w:rsidR="00CA27E3" w:rsidRPr="00066F60" w14:paraId="111E3E29" w14:textId="77777777" w:rsidTr="005F2963">
        <w:trPr>
          <w:jc w:val="center"/>
        </w:trPr>
        <w:tc>
          <w:tcPr>
            <w:tcW w:w="2176" w:type="dxa"/>
            <w:tcBorders>
              <w:top w:val="single" w:sz="4" w:space="0" w:color="auto"/>
              <w:left w:val="single" w:sz="4" w:space="0" w:color="auto"/>
              <w:bottom w:val="single" w:sz="4" w:space="0" w:color="auto"/>
            </w:tcBorders>
            <w:shd w:val="clear" w:color="auto" w:fill="FFFFFF"/>
          </w:tcPr>
          <w:p w14:paraId="6B89E7B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3 172</w:t>
            </w:r>
          </w:p>
        </w:tc>
        <w:tc>
          <w:tcPr>
            <w:tcW w:w="2137" w:type="dxa"/>
            <w:tcBorders>
              <w:top w:val="single" w:sz="4" w:space="0" w:color="auto"/>
              <w:left w:val="single" w:sz="4" w:space="0" w:color="auto"/>
              <w:bottom w:val="single" w:sz="4" w:space="0" w:color="auto"/>
            </w:tcBorders>
            <w:shd w:val="clear" w:color="auto" w:fill="FFFFFF"/>
          </w:tcPr>
          <w:p w14:paraId="248B7EF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3 009</w:t>
            </w:r>
          </w:p>
        </w:tc>
        <w:tc>
          <w:tcPr>
            <w:tcW w:w="2832" w:type="dxa"/>
            <w:tcBorders>
              <w:top w:val="single" w:sz="4" w:space="0" w:color="auto"/>
              <w:left w:val="single" w:sz="4" w:space="0" w:color="auto"/>
              <w:bottom w:val="single" w:sz="4" w:space="0" w:color="auto"/>
            </w:tcBorders>
            <w:shd w:val="clear" w:color="auto" w:fill="FFFFFF"/>
          </w:tcPr>
          <w:p w14:paraId="1691E28F"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3 452</w:t>
            </w:r>
          </w:p>
        </w:tc>
        <w:tc>
          <w:tcPr>
            <w:tcW w:w="2330" w:type="dxa"/>
            <w:tcBorders>
              <w:top w:val="single" w:sz="4" w:space="0" w:color="auto"/>
              <w:left w:val="single" w:sz="4" w:space="0" w:color="auto"/>
              <w:bottom w:val="single" w:sz="4" w:space="0" w:color="auto"/>
              <w:right w:val="single" w:sz="4" w:space="0" w:color="auto"/>
            </w:tcBorders>
            <w:shd w:val="clear" w:color="auto" w:fill="FFFFFF"/>
          </w:tcPr>
          <w:p w14:paraId="75AD36DA"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200</w:t>
            </w:r>
          </w:p>
        </w:tc>
      </w:tr>
    </w:tbl>
    <w:p w14:paraId="50437333" w14:textId="77777777" w:rsidR="00CA27E3" w:rsidRPr="00CA27E3" w:rsidRDefault="00CA27E3" w:rsidP="00CA27E3">
      <w:pPr>
        <w:spacing w:after="160" w:line="360" w:lineRule="auto"/>
        <w:rPr>
          <w:rFonts w:ascii="Sylfaen" w:hAnsi="Sylfaen" w:cs="Sylfaen"/>
        </w:rPr>
      </w:pPr>
    </w:p>
    <w:p w14:paraId="46A7503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Համարժեք շիկացման լամպի լուսային հոսքի </w:t>
      </w:r>
      <w:r>
        <w:rPr>
          <w:rFonts w:ascii="Sylfaen" w:hAnsi="Sylfaen"/>
          <w:sz w:val="24"/>
          <w:szCs w:val="24"/>
        </w:rPr>
        <w:t>եւ</w:t>
      </w:r>
      <w:r w:rsidRPr="00CA27E3">
        <w:rPr>
          <w:rFonts w:ascii="Sylfaen" w:hAnsi="Sylfaen"/>
          <w:sz w:val="24"/>
          <w:szCs w:val="24"/>
        </w:rPr>
        <w:t xml:space="preserve"> սպառվող հզորության միջանկյալ արժեքները (մինչ</w:t>
      </w:r>
      <w:r>
        <w:rPr>
          <w:rFonts w:ascii="Sylfaen" w:hAnsi="Sylfaen"/>
          <w:sz w:val="24"/>
          <w:szCs w:val="24"/>
        </w:rPr>
        <w:t>եւ</w:t>
      </w:r>
      <w:r w:rsidRPr="00CA27E3">
        <w:rPr>
          <w:rFonts w:ascii="Sylfaen" w:hAnsi="Sylfaen"/>
          <w:sz w:val="24"/>
          <w:szCs w:val="24"/>
        </w:rPr>
        <w:t xml:space="preserve"> ամբողջ թիվը կլորացմամբ) անհրաժեշտ է որոշել հարակից արժեքների միջ</w:t>
      </w:r>
      <w:r>
        <w:rPr>
          <w:rFonts w:ascii="Sylfaen" w:hAnsi="Sylfaen"/>
          <w:sz w:val="24"/>
          <w:szCs w:val="24"/>
        </w:rPr>
        <w:t>եւ</w:t>
      </w:r>
      <w:r w:rsidRPr="00CA27E3">
        <w:rPr>
          <w:rFonts w:ascii="Sylfaen" w:hAnsi="Sylfaen"/>
          <w:sz w:val="24"/>
          <w:szCs w:val="24"/>
        </w:rPr>
        <w:t xml:space="preserve"> գծային միջարկման միջոցով։ </w:t>
      </w:r>
    </w:p>
    <w:p w14:paraId="1BBDC61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«Էներգախնայող լամպ» նշագիրը կամ լամպի էներգետիկ արդյունավետության վերաբերյալ գովազդային բնույթի համանման նշագիրը թույլատրելի է միայն, եթե լամպը համապատասխանում է թափանցիկ </w:t>
      </w:r>
      <w:r>
        <w:rPr>
          <w:rFonts w:ascii="Sylfaen" w:hAnsi="Sylfaen"/>
          <w:sz w:val="24"/>
          <w:szCs w:val="24"/>
        </w:rPr>
        <w:t>եւ</w:t>
      </w:r>
      <w:r w:rsidRPr="00CA27E3">
        <w:rPr>
          <w:rFonts w:ascii="Sylfaen" w:hAnsi="Sylfaen"/>
          <w:sz w:val="24"/>
          <w:szCs w:val="24"/>
        </w:rPr>
        <w:t xml:space="preserve"> անթափանց ապակուց լամպանոթով լամպերի նկատմամբ կիրառվող էներգետիկ արդյունավետության պահանջներին, որոնք բերված են 1-ին աղյուսակում։</w:t>
      </w:r>
      <w:r>
        <w:rPr>
          <w:rFonts w:ascii="Sylfaen" w:hAnsi="Sylfaen"/>
          <w:sz w:val="24"/>
          <w:szCs w:val="24"/>
        </w:rPr>
        <w:t xml:space="preserve"> </w:t>
      </w:r>
    </w:p>
    <w:p w14:paraId="5A6463D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լամպը պարունակում է սնդիկ, ապա պետք է նշված լինի հետ</w:t>
      </w:r>
      <w:r>
        <w:rPr>
          <w:rFonts w:ascii="Sylfaen" w:hAnsi="Sylfaen"/>
          <w:sz w:val="24"/>
          <w:szCs w:val="24"/>
        </w:rPr>
        <w:t>եւ</w:t>
      </w:r>
      <w:r w:rsidRPr="00CA27E3">
        <w:rPr>
          <w:rFonts w:ascii="Sylfaen" w:hAnsi="Sylfaen"/>
          <w:sz w:val="24"/>
          <w:szCs w:val="24"/>
        </w:rPr>
        <w:t>յալ լրացուցիչ տեղեկատվությունը՝</w:t>
      </w:r>
    </w:p>
    <w:p w14:paraId="585673D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լամպում սնդիկի պարունակությունը միլիգրամներով, կլորացված մինչ</w:t>
      </w:r>
      <w:r>
        <w:rPr>
          <w:rFonts w:ascii="Sylfaen" w:hAnsi="Sylfaen"/>
          <w:sz w:val="24"/>
          <w:szCs w:val="24"/>
        </w:rPr>
        <w:t>եւ</w:t>
      </w:r>
      <w:r w:rsidRPr="00CA27E3">
        <w:rPr>
          <w:rFonts w:ascii="Sylfaen" w:hAnsi="Sylfaen"/>
          <w:sz w:val="24"/>
          <w:szCs w:val="24"/>
        </w:rPr>
        <w:t xml:space="preserve"> 1</w:t>
      </w:r>
      <w:r w:rsidR="0077719B" w:rsidRPr="0077719B">
        <w:rPr>
          <w:rFonts w:ascii="Sylfaen" w:hAnsi="Sylfaen"/>
          <w:sz w:val="24"/>
          <w:szCs w:val="24"/>
        </w:rPr>
        <w:t> </w:t>
      </w:r>
      <w:r w:rsidRPr="00CA27E3">
        <w:rPr>
          <w:rFonts w:ascii="Sylfaen" w:hAnsi="Sylfaen"/>
          <w:sz w:val="24"/>
          <w:szCs w:val="24"/>
        </w:rPr>
        <w:t>տասնորդական նիշը՝ Х,Х մգ-ի կամ X,X mg-ի ձ</w:t>
      </w:r>
      <w:r>
        <w:rPr>
          <w:rFonts w:ascii="Sylfaen" w:hAnsi="Sylfaen"/>
          <w:sz w:val="24"/>
          <w:szCs w:val="24"/>
        </w:rPr>
        <w:t>եւ</w:t>
      </w:r>
      <w:r w:rsidRPr="00CA27E3">
        <w:rPr>
          <w:rFonts w:ascii="Sylfaen" w:hAnsi="Sylfaen"/>
          <w:sz w:val="24"/>
          <w:szCs w:val="24"/>
        </w:rPr>
        <w:t xml:space="preserve">ով. </w:t>
      </w:r>
    </w:p>
    <w:p w14:paraId="07A6BEF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պատահական կոտրվելու դեպքում բեկորների վերացման մասին ցուցումներ.</w:t>
      </w:r>
      <w:r>
        <w:rPr>
          <w:rFonts w:ascii="Sylfaen" w:hAnsi="Sylfaen"/>
          <w:sz w:val="24"/>
          <w:szCs w:val="24"/>
        </w:rPr>
        <w:t xml:space="preserve"> </w:t>
      </w:r>
    </w:p>
    <w:p w14:paraId="22F81A7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օգտահանման վերաբերյալ առաջարկություններ.</w:t>
      </w:r>
    </w:p>
    <w:p w14:paraId="231C04D3"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77719B" w:rsidRPr="0077719B">
        <w:rPr>
          <w:rFonts w:ascii="Sylfaen" w:hAnsi="Sylfaen"/>
          <w:sz w:val="24"/>
          <w:szCs w:val="24"/>
        </w:rPr>
        <w:tab/>
      </w:r>
      <w:r w:rsidRPr="00CA27E3">
        <w:rPr>
          <w:rFonts w:ascii="Sylfaen" w:hAnsi="Sylfaen"/>
          <w:sz w:val="24"/>
          <w:szCs w:val="24"/>
        </w:rPr>
        <w:t xml:space="preserve">հատուկ լամպերի համար փաթեթվածքում </w:t>
      </w:r>
      <w:r>
        <w:rPr>
          <w:rFonts w:ascii="Sylfaen" w:hAnsi="Sylfaen"/>
          <w:sz w:val="24"/>
          <w:szCs w:val="24"/>
        </w:rPr>
        <w:t>եւ</w:t>
      </w:r>
      <w:r w:rsidRPr="00CA27E3">
        <w:rPr>
          <w:rFonts w:ascii="Sylfaen" w:hAnsi="Sylfaen"/>
          <w:sz w:val="24"/>
          <w:szCs w:val="24"/>
        </w:rPr>
        <w:t xml:space="preserve"> շահագործման փաստաթղթերում պետք է բերվի հետ</w:t>
      </w:r>
      <w:r>
        <w:rPr>
          <w:rFonts w:ascii="Sylfaen" w:hAnsi="Sylfaen"/>
          <w:sz w:val="24"/>
          <w:szCs w:val="24"/>
        </w:rPr>
        <w:t>եւ</w:t>
      </w:r>
      <w:r w:rsidRPr="00CA27E3">
        <w:rPr>
          <w:rFonts w:ascii="Sylfaen" w:hAnsi="Sylfaen"/>
          <w:sz w:val="24"/>
          <w:szCs w:val="24"/>
        </w:rPr>
        <w:t xml:space="preserve">յալ տեղեկատվությունը՝ </w:t>
      </w:r>
    </w:p>
    <w:p w14:paraId="04F1D1F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նշանակությունը.</w:t>
      </w:r>
    </w:p>
    <w:p w14:paraId="4C10DD3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նշում այն մասին, որ լամպը դասվում է հատուկ լամպերի շարքին, ինչպես նա</w:t>
      </w:r>
      <w:r>
        <w:rPr>
          <w:rFonts w:ascii="Sylfaen" w:hAnsi="Sylfaen"/>
          <w:sz w:val="24"/>
          <w:szCs w:val="24"/>
        </w:rPr>
        <w:t>եւ</w:t>
      </w:r>
      <w:r w:rsidRPr="00CA27E3">
        <w:rPr>
          <w:rFonts w:ascii="Sylfaen" w:hAnsi="Sylfaen"/>
          <w:sz w:val="24"/>
          <w:szCs w:val="24"/>
        </w:rPr>
        <w:t xml:space="preserve"> նշում դրա կիրառության բնագավառի մասին։</w:t>
      </w:r>
    </w:p>
    <w:p w14:paraId="3E03D482"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77719B" w:rsidRPr="0077719B">
        <w:rPr>
          <w:rFonts w:ascii="Sylfaen" w:hAnsi="Sylfaen"/>
          <w:sz w:val="24"/>
          <w:szCs w:val="24"/>
        </w:rPr>
        <w:tab/>
      </w:r>
      <w:r w:rsidRPr="00CA27E3">
        <w:rPr>
          <w:rFonts w:ascii="Sylfaen" w:hAnsi="Sylfaen"/>
          <w:sz w:val="24"/>
          <w:szCs w:val="24"/>
        </w:rPr>
        <w:t>Ի լրումն սույն պահանջների 6-րդ կետում բերված տեղեկատվության՝ փաստաթղթերի փաթեթին պետք է կցվի հետ</w:t>
      </w:r>
      <w:r>
        <w:rPr>
          <w:rFonts w:ascii="Sylfaen" w:hAnsi="Sylfaen"/>
          <w:sz w:val="24"/>
          <w:szCs w:val="24"/>
        </w:rPr>
        <w:t>եւ</w:t>
      </w:r>
      <w:r w:rsidRPr="00CA27E3">
        <w:rPr>
          <w:rFonts w:ascii="Sylfaen" w:hAnsi="Sylfaen"/>
          <w:sz w:val="24"/>
          <w:szCs w:val="24"/>
        </w:rPr>
        <w:t>յալ տեղեկատվությունը, որը նա</w:t>
      </w:r>
      <w:r>
        <w:rPr>
          <w:rFonts w:ascii="Sylfaen" w:hAnsi="Sylfaen"/>
          <w:sz w:val="24"/>
          <w:szCs w:val="24"/>
        </w:rPr>
        <w:t>եւ</w:t>
      </w:r>
      <w:r w:rsidRPr="00CA27E3">
        <w:rPr>
          <w:rFonts w:ascii="Sylfaen" w:hAnsi="Sylfaen"/>
          <w:sz w:val="24"/>
          <w:szCs w:val="24"/>
        </w:rPr>
        <w:t xml:space="preserve"> կարող է ներկայացվել արտադրողի համար հարմար ցանկացած այլ տեսքով (այդ</w:t>
      </w:r>
      <w:r w:rsidR="0077719B" w:rsidRPr="0077719B">
        <w:rPr>
          <w:rFonts w:ascii="Sylfaen" w:hAnsi="Sylfaen"/>
          <w:sz w:val="24"/>
          <w:szCs w:val="24"/>
        </w:rPr>
        <w:t> </w:t>
      </w:r>
      <w:r w:rsidRPr="00CA27E3">
        <w:rPr>
          <w:rFonts w:ascii="Sylfaen" w:hAnsi="Sylfaen"/>
          <w:sz w:val="24"/>
          <w:szCs w:val="24"/>
        </w:rPr>
        <w:t xml:space="preserve">թվում՝ «Համացանցի» միջոցով)՝ </w:t>
      </w:r>
    </w:p>
    <w:p w14:paraId="33FC624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լուսատացքը,</w:t>
      </w:r>
    </w:p>
    <w:p w14:paraId="745342F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լուսային հոսքի կայունությունը,</w:t>
      </w:r>
    </w:p>
    <w:p w14:paraId="393BE8C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լամպի ծառայության ժամկետի գործակիցը,</w:t>
      </w:r>
    </w:p>
    <w:p w14:paraId="4A5DC9D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գունավորությունը,</w:t>
      </w:r>
    </w:p>
    <w:p w14:paraId="0B1656F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լուսային հոսքը,</w:t>
      </w:r>
    </w:p>
    <w:p w14:paraId="73130B3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գունահաղորդման ցուցիչը,</w:t>
      </w:r>
    </w:p>
    <w:p w14:paraId="3CA2DDE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հատկապես արդյունավետ ուլտրամանուշակագույն (UV) ճառագայթումը.</w:t>
      </w:r>
      <w:r>
        <w:rPr>
          <w:rFonts w:ascii="Sylfaen" w:hAnsi="Sylfaen"/>
          <w:sz w:val="24"/>
          <w:szCs w:val="24"/>
        </w:rPr>
        <w:t xml:space="preserve"> </w:t>
      </w:r>
    </w:p>
    <w:p w14:paraId="4F27D05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վառքի ժամանակահատվածը,</w:t>
      </w:r>
    </w:p>
    <w:p w14:paraId="4570894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հզորության գործակիցը,</w:t>
      </w:r>
    </w:p>
    <w:p w14:paraId="094E287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պայծառությունը,</w:t>
      </w:r>
    </w:p>
    <w:p w14:paraId="1672B99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փոխարկման ցիկլերի քանակը՝ նախքան վաղաժամ շարքից դուրս գալը.</w:t>
      </w:r>
    </w:p>
    <w:p w14:paraId="4A45B7D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բռնկման ժամանակահատվածը՝ մինչ</w:t>
      </w:r>
      <w:r>
        <w:rPr>
          <w:rFonts w:ascii="Sylfaen" w:hAnsi="Sylfaen"/>
          <w:sz w:val="24"/>
          <w:szCs w:val="24"/>
        </w:rPr>
        <w:t>եւ</w:t>
      </w:r>
      <w:r w:rsidRPr="00CA27E3">
        <w:rPr>
          <w:rFonts w:ascii="Sylfaen" w:hAnsi="Sylfaen"/>
          <w:sz w:val="24"/>
          <w:szCs w:val="24"/>
        </w:rPr>
        <w:t xml:space="preserve"> լրիվ լուսային հոսքի 60 %-ին հասնելը («ոչ» նշումը թույլատրելի է, եթե ժամանակը 1 վրկ-ից կարճ է տ</w:t>
      </w:r>
      <w:r>
        <w:rPr>
          <w:rFonts w:ascii="Sylfaen" w:hAnsi="Sylfaen"/>
          <w:sz w:val="24"/>
          <w:szCs w:val="24"/>
        </w:rPr>
        <w:t>եւ</w:t>
      </w:r>
      <w:r w:rsidRPr="00CA27E3">
        <w:rPr>
          <w:rFonts w:ascii="Sylfaen" w:hAnsi="Sylfaen"/>
          <w:sz w:val="24"/>
          <w:szCs w:val="24"/>
        </w:rPr>
        <w:t xml:space="preserve">ում). </w:t>
      </w:r>
    </w:p>
    <w:p w14:paraId="6FAA3D2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համապատասխան նշում, եթե լամպի լուսային հոսքի կարգավորումը անհնար է կամ հնարավոր է միայն կարգավորման որոշակի տեսակի օգնությամբ.</w:t>
      </w:r>
    </w:p>
    <w:p w14:paraId="70F89B5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համապատասխան նշում, եթե լամպը նախատեսված է հատուկ, ոչ</w:t>
      </w:r>
      <w:r w:rsidR="0077719B" w:rsidRPr="0077719B">
        <w:rPr>
          <w:rFonts w:ascii="Sylfaen" w:hAnsi="Sylfaen"/>
          <w:sz w:val="24"/>
          <w:szCs w:val="24"/>
        </w:rPr>
        <w:t> </w:t>
      </w:r>
      <w:r w:rsidRPr="00CA27E3">
        <w:rPr>
          <w:rFonts w:ascii="Sylfaen" w:hAnsi="Sylfaen"/>
          <w:sz w:val="24"/>
          <w:szCs w:val="24"/>
        </w:rPr>
        <w:t>ստանդարտ պայմաններում շահագործման համար (օրինակ՝ շրջակա միջավայրի ջերմաստիճանը Ta ≠ 25 °C է)։</w:t>
      </w:r>
    </w:p>
    <w:p w14:paraId="0C6B5B6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Համապատասխանության գնահատման տեխնիկական փաստաթղթերում հարկ է անհրաժեշտության դեպքում բերել այնպիսի տեխնիկական բնութագրեր, որոնց հիման վրա լամպը պիտանի է համարվում փաթեթվածքի վրա նշված հատուկ նշանակության համար։ </w:t>
      </w:r>
    </w:p>
    <w:p w14:paraId="0D9E4454" w14:textId="77777777" w:rsidR="0077719B" w:rsidRDefault="0077719B">
      <w:pPr>
        <w:rPr>
          <w:rFonts w:ascii="Sylfaen" w:eastAsia="Times New Roman" w:hAnsi="Sylfaen" w:cs="Sylfaen"/>
          <w:color w:val="auto"/>
        </w:rPr>
      </w:pPr>
      <w:r>
        <w:rPr>
          <w:rFonts w:ascii="Sylfaen" w:hAnsi="Sylfaen" w:cs="Sylfaen"/>
        </w:rPr>
        <w:br w:type="page"/>
      </w:r>
    </w:p>
    <w:p w14:paraId="0BB0100D" w14:textId="77777777" w:rsidR="00CA27E3" w:rsidRPr="00CA27E3" w:rsidRDefault="00CA27E3" w:rsidP="0077719B">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IV. Էլեկտրական լամպերի էներգետիկ արդյունավետության պարամետրերի թույլատրելի շեղումները դրանց շրջանառության դրվելուց հետո փորձարկումներ (չափումներ) անցկացնելիս </w:t>
      </w:r>
    </w:p>
    <w:p w14:paraId="7C648BC6"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8.</w:t>
      </w:r>
      <w:r w:rsidR="0077719B" w:rsidRPr="0077719B">
        <w:rPr>
          <w:rFonts w:ascii="Sylfaen" w:hAnsi="Sylfaen"/>
          <w:sz w:val="24"/>
          <w:szCs w:val="24"/>
        </w:rPr>
        <w:tab/>
      </w:r>
      <w:r w:rsidRPr="00CA27E3">
        <w:rPr>
          <w:rFonts w:ascii="Sylfaen" w:hAnsi="Sylfaen"/>
          <w:sz w:val="24"/>
          <w:szCs w:val="24"/>
        </w:rPr>
        <w:t xml:space="preserve">Էլեկտրական լամպերը շրջանառության մեջ դնելուց հետո դրանց փորձարկումներ (չափումներ) անցկացնելիս պետք է փորձարկվի մեկ մոդելի </w:t>
      </w:r>
      <w:r>
        <w:rPr>
          <w:rFonts w:ascii="Sylfaen" w:hAnsi="Sylfaen"/>
          <w:sz w:val="24"/>
          <w:szCs w:val="24"/>
        </w:rPr>
        <w:t>եւ</w:t>
      </w:r>
      <w:r w:rsidRPr="00CA27E3">
        <w:rPr>
          <w:rFonts w:ascii="Sylfaen" w:hAnsi="Sylfaen"/>
          <w:sz w:val="24"/>
          <w:szCs w:val="24"/>
        </w:rPr>
        <w:t xml:space="preserve"> մեկ արտադրողի կողմից արտադրված արտադրանքի առնվազն 20 նմուշից բաղկացած խմբաքանակը։</w:t>
      </w:r>
      <w:r>
        <w:rPr>
          <w:rFonts w:ascii="Sylfaen" w:hAnsi="Sylfaen"/>
          <w:sz w:val="24"/>
          <w:szCs w:val="24"/>
        </w:rPr>
        <w:t xml:space="preserve">  </w:t>
      </w:r>
      <w:r w:rsidRPr="00CA27E3">
        <w:rPr>
          <w:rFonts w:ascii="Sylfaen" w:hAnsi="Sylfaen"/>
          <w:sz w:val="24"/>
          <w:szCs w:val="24"/>
        </w:rPr>
        <w:t xml:space="preserve">Արտադրանքի նմուշների պարամետրերի չափված արժեքները </w:t>
      </w:r>
      <w:r>
        <w:rPr>
          <w:rFonts w:ascii="Sylfaen" w:hAnsi="Sylfaen"/>
          <w:sz w:val="24"/>
          <w:szCs w:val="24"/>
        </w:rPr>
        <w:t>եւ</w:t>
      </w:r>
      <w:r w:rsidRPr="00CA27E3">
        <w:rPr>
          <w:rFonts w:ascii="Sylfaen" w:hAnsi="Sylfaen"/>
          <w:sz w:val="24"/>
          <w:szCs w:val="24"/>
        </w:rPr>
        <w:t xml:space="preserve"> բնութագրերը պետք է համապատասխանեն արտադրողի կողմից հայտարարված անվանական արժեքներին </w:t>
      </w:r>
      <w:r>
        <w:rPr>
          <w:rFonts w:ascii="Sylfaen" w:hAnsi="Sylfaen"/>
          <w:sz w:val="24"/>
          <w:szCs w:val="24"/>
        </w:rPr>
        <w:t>եւ</w:t>
      </w:r>
      <w:r w:rsidRPr="00CA27E3">
        <w:rPr>
          <w:rFonts w:ascii="Sylfaen" w:hAnsi="Sylfaen"/>
          <w:sz w:val="24"/>
          <w:szCs w:val="24"/>
        </w:rPr>
        <w:t xml:space="preserve"> ավելի քան 10-%-ով չշեղվեն սույն պայմաններում նշված բնութագրերի սահմանային արժեքներից։ </w:t>
      </w:r>
    </w:p>
    <w:p w14:paraId="38532EF4" w14:textId="77777777" w:rsidR="00CA27E3" w:rsidRPr="00DC5495"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 xml:space="preserve">Այլ դեպքերում էլեկտրական լամպի տվյալ մոդելը հարկավոր է դիտարկել որպես տեխնիկական կանոնակարգի պահանջներին չհամապատասխանող։ </w:t>
      </w:r>
    </w:p>
    <w:p w14:paraId="6A3D2293" w14:textId="77777777" w:rsidR="0077719B" w:rsidRPr="00DC5495" w:rsidRDefault="0077719B" w:rsidP="0077719B">
      <w:pPr>
        <w:pStyle w:val="a0"/>
        <w:shd w:val="clear" w:color="auto" w:fill="auto"/>
        <w:spacing w:after="160"/>
        <w:ind w:firstLine="567"/>
        <w:jc w:val="center"/>
        <w:rPr>
          <w:rFonts w:ascii="Sylfaen" w:hAnsi="Sylfaen" w:cs="Sylfaen"/>
          <w:sz w:val="24"/>
          <w:szCs w:val="24"/>
        </w:rPr>
      </w:pPr>
      <w:r w:rsidRPr="00DC5495">
        <w:rPr>
          <w:rFonts w:ascii="Sylfaen" w:hAnsi="Sylfaen"/>
          <w:sz w:val="24"/>
          <w:szCs w:val="24"/>
        </w:rPr>
        <w:t>____________</w:t>
      </w:r>
    </w:p>
    <w:p w14:paraId="46645CBC" w14:textId="77777777" w:rsidR="00066F60" w:rsidRDefault="00066F60" w:rsidP="00CA27E3">
      <w:pPr>
        <w:spacing w:after="160" w:line="360" w:lineRule="auto"/>
        <w:rPr>
          <w:rFonts w:ascii="Sylfaen" w:hAnsi="Sylfaen"/>
        </w:rPr>
      </w:pPr>
    </w:p>
    <w:p w14:paraId="13467164" w14:textId="77777777" w:rsidR="00066F60" w:rsidRDefault="00066F60" w:rsidP="00CA27E3">
      <w:pPr>
        <w:spacing w:after="160" w:line="360" w:lineRule="auto"/>
        <w:rPr>
          <w:rFonts w:ascii="Sylfaen" w:hAnsi="Sylfaen"/>
        </w:rPr>
        <w:sectPr w:rsidR="00066F60" w:rsidSect="0027701C">
          <w:pgSz w:w="11907" w:h="16840" w:code="9"/>
          <w:pgMar w:top="1418" w:right="1418" w:bottom="1418" w:left="1418" w:header="0" w:footer="397" w:gutter="0"/>
          <w:pgNumType w:start="1"/>
          <w:cols w:space="720"/>
          <w:noEndnote/>
          <w:titlePg/>
          <w:docGrid w:linePitch="360"/>
        </w:sectPr>
      </w:pPr>
    </w:p>
    <w:p w14:paraId="1078BBAF" w14:textId="77777777" w:rsidR="00CA27E3" w:rsidRPr="00CA27E3" w:rsidRDefault="00CA27E3" w:rsidP="005F2963">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10</w:t>
      </w:r>
    </w:p>
    <w:p w14:paraId="02C4DE74" w14:textId="77777777" w:rsidR="00CA27E3" w:rsidRPr="00CA27E3" w:rsidRDefault="00CA27E3" w:rsidP="005F2963">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t xml:space="preserve">Եվրասիական տնտեսական </w:t>
      </w:r>
      <w:r w:rsidR="00C27E22" w:rsidRPr="00C27E22">
        <w:rPr>
          <w:rFonts w:ascii="Sylfaen" w:hAnsi="Sylfaen"/>
          <w:sz w:val="24"/>
          <w:szCs w:val="24"/>
        </w:rPr>
        <w:br/>
      </w:r>
      <w:r w:rsidRPr="00CA27E3">
        <w:rPr>
          <w:rFonts w:ascii="Sylfaen" w:hAnsi="Sylfaen"/>
          <w:sz w:val="24"/>
          <w:szCs w:val="24"/>
        </w:rPr>
        <w:t>միության տեխնիկական կանոնակարգի</w:t>
      </w:r>
      <w:r w:rsidR="0077719B" w:rsidRPr="0077719B">
        <w:rPr>
          <w:rFonts w:ascii="Sylfaen" w:hAnsi="Sylfaen"/>
          <w:sz w:val="24"/>
          <w:szCs w:val="24"/>
        </w:rPr>
        <w:t xml:space="preserve"> </w:t>
      </w:r>
      <w:r w:rsidRPr="00CA27E3">
        <w:rPr>
          <w:rFonts w:ascii="Sylfaen" w:hAnsi="Sylfaen"/>
          <w:sz w:val="24"/>
          <w:szCs w:val="24"/>
        </w:rPr>
        <w:t>«Էներգասպառող սարքվածքների էներգետիկ արդյունավետությանը ներկայացվող պահանջների մասին» (ԵԱՏՄ ՏԿ</w:t>
      </w:r>
      <w:r w:rsidR="0077719B" w:rsidRPr="0077719B">
        <w:rPr>
          <w:rFonts w:ascii="Sylfaen" w:hAnsi="Sylfaen"/>
          <w:sz w:val="24"/>
          <w:szCs w:val="24"/>
        </w:rPr>
        <w:tab/>
      </w:r>
      <w:r w:rsidRPr="00CA27E3">
        <w:rPr>
          <w:rFonts w:ascii="Sylfaen" w:hAnsi="Sylfaen"/>
          <w:sz w:val="24"/>
          <w:szCs w:val="24"/>
        </w:rPr>
        <w:t>/20</w:t>
      </w:r>
      <w:r w:rsidR="0077719B" w:rsidRPr="0077719B">
        <w:rPr>
          <w:rFonts w:ascii="Sylfaen" w:hAnsi="Sylfaen"/>
          <w:sz w:val="24"/>
          <w:szCs w:val="24"/>
        </w:rPr>
        <w:tab/>
      </w:r>
      <w:r w:rsidRPr="00CA27E3">
        <w:rPr>
          <w:rFonts w:ascii="Sylfaen" w:hAnsi="Sylfaen"/>
          <w:sz w:val="24"/>
          <w:szCs w:val="24"/>
        </w:rPr>
        <w:t>)</w:t>
      </w:r>
    </w:p>
    <w:p w14:paraId="5596AC41" w14:textId="77777777" w:rsidR="00CA27E3" w:rsidRPr="00CA27E3" w:rsidRDefault="00CA27E3" w:rsidP="00CA27E3">
      <w:pPr>
        <w:pStyle w:val="11"/>
        <w:shd w:val="clear" w:color="auto" w:fill="auto"/>
        <w:spacing w:after="160" w:line="360" w:lineRule="auto"/>
        <w:outlineLvl w:val="9"/>
        <w:rPr>
          <w:rFonts w:ascii="Sylfaen" w:hAnsi="Sylfaen" w:cs="Sylfaen"/>
          <w:sz w:val="24"/>
          <w:szCs w:val="24"/>
        </w:rPr>
      </w:pPr>
    </w:p>
    <w:p w14:paraId="105B2896" w14:textId="77777777" w:rsidR="00CA27E3" w:rsidRPr="00CA27E3" w:rsidRDefault="00CA27E3" w:rsidP="0077719B">
      <w:pPr>
        <w:pStyle w:val="11"/>
        <w:shd w:val="clear" w:color="auto" w:fill="auto"/>
        <w:spacing w:after="160" w:line="360" w:lineRule="auto"/>
        <w:ind w:left="567" w:right="566"/>
        <w:outlineLvl w:val="9"/>
        <w:rPr>
          <w:rFonts w:ascii="Sylfaen" w:hAnsi="Sylfaen" w:cs="Sylfaen"/>
          <w:sz w:val="24"/>
          <w:szCs w:val="24"/>
        </w:rPr>
      </w:pPr>
      <w:r w:rsidRPr="00CA27E3">
        <w:rPr>
          <w:rFonts w:ascii="Sylfaen" w:hAnsi="Sylfaen"/>
          <w:sz w:val="24"/>
          <w:szCs w:val="24"/>
        </w:rPr>
        <w:t>ՊԱՀԱՆՋՆԵՐ</w:t>
      </w:r>
    </w:p>
    <w:p w14:paraId="1430CD59" w14:textId="77777777" w:rsidR="00CA27E3" w:rsidRDefault="00CA27E3" w:rsidP="0077719B">
      <w:pPr>
        <w:pStyle w:val="11"/>
        <w:shd w:val="clear" w:color="auto" w:fill="auto"/>
        <w:spacing w:after="160" w:line="360" w:lineRule="auto"/>
        <w:ind w:left="567" w:right="566"/>
        <w:outlineLvl w:val="9"/>
        <w:rPr>
          <w:rFonts w:ascii="Sylfaen" w:hAnsi="Sylfaen"/>
          <w:sz w:val="24"/>
          <w:szCs w:val="24"/>
        </w:rPr>
      </w:pPr>
      <w:r w:rsidRPr="00CA27E3">
        <w:rPr>
          <w:rFonts w:ascii="Sylfaen" w:hAnsi="Sylfaen"/>
          <w:sz w:val="24"/>
          <w:szCs w:val="24"/>
        </w:rPr>
        <w:t xml:space="preserve">արտաքին սնուցման աղբյուրների </w:t>
      </w:r>
      <w:r w:rsidR="0077719B" w:rsidRPr="0077719B">
        <w:rPr>
          <w:rFonts w:ascii="Sylfaen" w:hAnsi="Sylfaen"/>
          <w:sz w:val="24"/>
          <w:szCs w:val="24"/>
        </w:rPr>
        <w:br/>
      </w:r>
      <w:r w:rsidRPr="00CA27E3">
        <w:rPr>
          <w:rFonts w:ascii="Sylfaen" w:hAnsi="Sylfaen"/>
          <w:sz w:val="24"/>
          <w:szCs w:val="24"/>
        </w:rPr>
        <w:t xml:space="preserve">էներգետիկ արդյունավետությանը ներկայացվող </w:t>
      </w:r>
    </w:p>
    <w:p w14:paraId="2F42946B" w14:textId="77777777" w:rsidR="00066F60" w:rsidRPr="00CA27E3" w:rsidRDefault="00066F60" w:rsidP="00CA27E3">
      <w:pPr>
        <w:pStyle w:val="11"/>
        <w:shd w:val="clear" w:color="auto" w:fill="auto"/>
        <w:spacing w:after="160" w:line="360" w:lineRule="auto"/>
        <w:outlineLvl w:val="9"/>
        <w:rPr>
          <w:rFonts w:ascii="Sylfaen" w:hAnsi="Sylfaen" w:cs="Sylfaen"/>
          <w:sz w:val="24"/>
          <w:szCs w:val="24"/>
        </w:rPr>
      </w:pPr>
    </w:p>
    <w:p w14:paraId="2844927B"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 Կիրառության ոլորտը</w:t>
      </w:r>
    </w:p>
    <w:p w14:paraId="69B448B4"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77719B" w:rsidRPr="0077719B">
        <w:rPr>
          <w:rFonts w:ascii="Sylfaen" w:hAnsi="Sylfaen"/>
          <w:sz w:val="24"/>
          <w:szCs w:val="24"/>
        </w:rPr>
        <w:tab/>
      </w:r>
      <w:r w:rsidRPr="00CA27E3">
        <w:rPr>
          <w:rFonts w:ascii="Sylfaen" w:hAnsi="Sylfaen"/>
          <w:sz w:val="24"/>
          <w:szCs w:val="24"/>
        </w:rPr>
        <w:t>Սույն պայմանները տարածվում են Եվրասիական տնտեսական միության (այսուհետ՝ Միություն) մաքսային տարածքում շրջանառության մեջ դրվող արտաքին սնուցման աղբյուրների վրա` բացառությամբ</w:t>
      </w:r>
      <w:r>
        <w:rPr>
          <w:rFonts w:ascii="Sylfaen" w:hAnsi="Sylfaen"/>
          <w:sz w:val="24"/>
          <w:szCs w:val="24"/>
        </w:rPr>
        <w:t xml:space="preserve"> </w:t>
      </w:r>
    </w:p>
    <w:p w14:paraId="4456214B"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77719B" w:rsidRPr="0077719B">
        <w:rPr>
          <w:rFonts w:ascii="Sylfaen" w:hAnsi="Sylfaen"/>
          <w:sz w:val="24"/>
          <w:szCs w:val="24"/>
        </w:rPr>
        <w:tab/>
      </w:r>
      <w:r w:rsidRPr="00CA27E3">
        <w:rPr>
          <w:rFonts w:ascii="Sylfaen" w:hAnsi="Sylfaen"/>
          <w:sz w:val="24"/>
          <w:szCs w:val="24"/>
        </w:rPr>
        <w:t>լարման կերպափոխիչների,</w:t>
      </w:r>
    </w:p>
    <w:p w14:paraId="37481669"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77719B" w:rsidRPr="0077719B">
        <w:rPr>
          <w:rFonts w:ascii="Sylfaen" w:hAnsi="Sylfaen"/>
          <w:sz w:val="24"/>
          <w:szCs w:val="24"/>
        </w:rPr>
        <w:tab/>
      </w:r>
      <w:r w:rsidRPr="00CA27E3">
        <w:rPr>
          <w:rFonts w:ascii="Sylfaen" w:hAnsi="Sylfaen"/>
          <w:sz w:val="24"/>
          <w:szCs w:val="24"/>
        </w:rPr>
        <w:t>անխափան սնուցման աղբյուրների,</w:t>
      </w:r>
    </w:p>
    <w:p w14:paraId="63907DA7"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77719B" w:rsidRPr="0077719B">
        <w:rPr>
          <w:rFonts w:ascii="Sylfaen" w:hAnsi="Sylfaen"/>
          <w:sz w:val="24"/>
          <w:szCs w:val="24"/>
        </w:rPr>
        <w:tab/>
      </w:r>
      <w:r w:rsidRPr="00CA27E3">
        <w:rPr>
          <w:rFonts w:ascii="Sylfaen" w:hAnsi="Sylfaen"/>
          <w:sz w:val="24"/>
          <w:szCs w:val="24"/>
        </w:rPr>
        <w:t xml:space="preserve">կուտակիչ մարտկոցների համար լիցքավորման սարքվածքների, </w:t>
      </w:r>
    </w:p>
    <w:p w14:paraId="393162C2"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77719B" w:rsidRPr="0077719B">
        <w:rPr>
          <w:rFonts w:ascii="Sylfaen" w:hAnsi="Sylfaen"/>
          <w:sz w:val="24"/>
          <w:szCs w:val="24"/>
        </w:rPr>
        <w:tab/>
      </w:r>
      <w:r w:rsidRPr="00CA27E3">
        <w:rPr>
          <w:rFonts w:ascii="Sylfaen" w:hAnsi="Sylfaen"/>
          <w:sz w:val="24"/>
          <w:szCs w:val="24"/>
        </w:rPr>
        <w:t>հալոգեն լամպերի համար կերպափոխիչների,</w:t>
      </w:r>
    </w:p>
    <w:p w14:paraId="36A68651"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77719B" w:rsidRPr="0077719B">
        <w:rPr>
          <w:rFonts w:ascii="Sylfaen" w:hAnsi="Sylfaen"/>
          <w:sz w:val="24"/>
          <w:szCs w:val="24"/>
        </w:rPr>
        <w:tab/>
      </w:r>
      <w:r w:rsidRPr="00CA27E3">
        <w:rPr>
          <w:rFonts w:ascii="Sylfaen" w:hAnsi="Sylfaen"/>
          <w:sz w:val="24"/>
          <w:szCs w:val="24"/>
        </w:rPr>
        <w:t>բժշկական սարքավորումների համար արտաքին սնուցման աղբյուրների,</w:t>
      </w:r>
    </w:p>
    <w:p w14:paraId="2D7BA319" w14:textId="77777777" w:rsidR="00CA27E3" w:rsidRPr="00CA27E3" w:rsidRDefault="00CA27E3" w:rsidP="00C27E22">
      <w:pPr>
        <w:pStyle w:val="a0"/>
        <w:shd w:val="clear" w:color="auto" w:fill="auto"/>
        <w:tabs>
          <w:tab w:val="left" w:pos="1134"/>
          <w:tab w:val="left" w:pos="8222"/>
          <w:tab w:val="left" w:pos="8931"/>
        </w:tabs>
        <w:spacing w:after="160"/>
        <w:ind w:firstLine="567"/>
        <w:jc w:val="both"/>
        <w:rPr>
          <w:rFonts w:ascii="Sylfaen" w:hAnsi="Sylfaen" w:cs="Sylfaen"/>
          <w:sz w:val="24"/>
          <w:szCs w:val="24"/>
        </w:rPr>
      </w:pPr>
      <w:r w:rsidRPr="0077719B">
        <w:rPr>
          <w:rFonts w:ascii="Sylfaen" w:hAnsi="Sylfaen"/>
          <w:spacing w:val="-6"/>
          <w:sz w:val="24"/>
          <w:szCs w:val="24"/>
        </w:rPr>
        <w:t>զ)</w:t>
      </w:r>
      <w:r w:rsidR="0077719B" w:rsidRPr="0077719B">
        <w:rPr>
          <w:rFonts w:ascii="Sylfaen" w:hAnsi="Sylfaen"/>
          <w:spacing w:val="-6"/>
          <w:sz w:val="24"/>
          <w:szCs w:val="24"/>
        </w:rPr>
        <w:tab/>
      </w:r>
      <w:r w:rsidRPr="0077719B">
        <w:rPr>
          <w:rFonts w:ascii="Sylfaen" w:hAnsi="Sylfaen"/>
          <w:spacing w:val="-6"/>
          <w:sz w:val="24"/>
          <w:szCs w:val="24"/>
        </w:rPr>
        <w:t>արտաքին սնուցման աղբյուրների, որոնք շրջանառության մեջ են դրվում Միության մաքսային տարածքում «Էներգասպառող սարքվածքների էներգետիկ արդյունավետությանը ներկայացվող պահանջների մասին» (ԵԱՏՄ ՏԿ</w:t>
      </w:r>
      <w:r w:rsidR="0077719B" w:rsidRPr="0077719B">
        <w:rPr>
          <w:rFonts w:ascii="Sylfaen" w:hAnsi="Sylfaen"/>
          <w:sz w:val="24"/>
          <w:szCs w:val="24"/>
        </w:rPr>
        <w:tab/>
      </w:r>
      <w:r w:rsidRPr="00CA27E3">
        <w:rPr>
          <w:rFonts w:ascii="Sylfaen" w:hAnsi="Sylfaen"/>
          <w:sz w:val="24"/>
          <w:szCs w:val="24"/>
        </w:rPr>
        <w:t>/20</w:t>
      </w:r>
      <w:r w:rsidR="0077719B" w:rsidRPr="0077719B">
        <w:rPr>
          <w:rFonts w:ascii="Sylfaen" w:hAnsi="Sylfaen"/>
          <w:sz w:val="24"/>
          <w:szCs w:val="24"/>
        </w:rPr>
        <w:tab/>
      </w:r>
      <w:r w:rsidRPr="00CA27E3">
        <w:rPr>
          <w:rFonts w:ascii="Sylfaen" w:hAnsi="Sylfaen"/>
          <w:sz w:val="24"/>
          <w:szCs w:val="24"/>
        </w:rPr>
        <w:t xml:space="preserve">) Միության տեխնիկական կանոնակարգն (այսուհետ՝ տեխնիկական կանոնակարգ) </w:t>
      </w:r>
      <w:r w:rsidRPr="00CA27E3">
        <w:rPr>
          <w:rFonts w:ascii="Sylfaen" w:hAnsi="Sylfaen"/>
          <w:sz w:val="24"/>
          <w:szCs w:val="24"/>
        </w:rPr>
        <w:lastRenderedPageBreak/>
        <w:t xml:space="preserve">ուժի մեջ մտնելու պահից 4 տարվա ընթացքում՝ որպես տեխնիկական կանոնակարգն ուժի մեջ մտնելուց առաջ Միության տարածքում շրջանառության մեջ դրված սարքավորումների պահեստամասեր, պայմանով, որ արտաքին սնուցման աղբյուրի շահագործման փաստաթղթերում նույնականացվել է սարքավորումը, որի հետ աշխատելու համար նախատեսված են սնուցման նշված աղբյուրները։ </w:t>
      </w:r>
    </w:p>
    <w:p w14:paraId="7B2CCF7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w:t>
      </w:r>
      <w:r>
        <w:rPr>
          <w:rFonts w:ascii="Sylfaen" w:hAnsi="Sylfaen"/>
          <w:sz w:val="24"/>
          <w:szCs w:val="24"/>
        </w:rPr>
        <w:t xml:space="preserve"> </w:t>
      </w:r>
      <w:r w:rsidRPr="00CA27E3">
        <w:rPr>
          <w:rFonts w:ascii="Sylfaen" w:hAnsi="Sylfaen"/>
          <w:sz w:val="24"/>
          <w:szCs w:val="24"/>
        </w:rPr>
        <w:t>արտաքին սնուցման աղբյուրների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արտաքին սնուցման աղբյուրները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01202330" w14:textId="77777777" w:rsidR="00CA27E3" w:rsidRPr="00CA27E3" w:rsidRDefault="00CA27E3" w:rsidP="00CA27E3">
      <w:pPr>
        <w:spacing w:after="160" w:line="360" w:lineRule="auto"/>
        <w:rPr>
          <w:rFonts w:ascii="Sylfaen" w:hAnsi="Sylfaen" w:cs="Sylfaen"/>
        </w:rPr>
      </w:pPr>
    </w:p>
    <w:p w14:paraId="48F28DD4"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1C37C9FF"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77719B" w:rsidRPr="0077719B">
        <w:rPr>
          <w:rFonts w:ascii="Sylfaen" w:hAnsi="Sylfaen"/>
          <w:sz w:val="24"/>
          <w:szCs w:val="24"/>
        </w:rPr>
        <w:tab/>
      </w:r>
      <w:r w:rsidRPr="00CA27E3">
        <w:rPr>
          <w:rFonts w:ascii="Sylfaen" w:hAnsi="Sylfaen"/>
          <w:sz w:val="24"/>
          <w:szCs w:val="24"/>
        </w:rPr>
        <w:t>Սույն պահանջները կիրառելու նպատակներով օգտագործվում են</w:t>
      </w:r>
      <w:r>
        <w:rPr>
          <w:rFonts w:ascii="Sylfaen" w:hAnsi="Sylfaen"/>
          <w:sz w:val="24"/>
          <w:szCs w:val="24"/>
        </w:rPr>
        <w:t xml:space="preserve"> </w:t>
      </w:r>
      <w:r w:rsidRPr="00CA27E3">
        <w:rPr>
          <w:rFonts w:ascii="Sylfaen" w:hAnsi="Sylfaen"/>
          <w:sz w:val="24"/>
          <w:szCs w:val="24"/>
        </w:rPr>
        <w:t>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234D019F" w14:textId="77777777" w:rsidR="00CA27E3" w:rsidRPr="0077719B" w:rsidRDefault="0077719B"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ակտիվ ռեժիմ</w:t>
      </w:r>
      <w:r w:rsidR="00CA27E3" w:rsidRPr="0077719B">
        <w:rPr>
          <w:rFonts w:ascii="Sylfaen" w:hAnsi="Sylfaen"/>
          <w:b/>
          <w:sz w:val="24"/>
          <w:szCs w:val="24"/>
        </w:rPr>
        <w:t>՝</w:t>
      </w:r>
      <w:r w:rsidR="00CA27E3" w:rsidRPr="00CA27E3">
        <w:rPr>
          <w:rFonts w:ascii="Sylfaen" w:hAnsi="Sylfaen"/>
          <w:sz w:val="24"/>
          <w:szCs w:val="24"/>
        </w:rPr>
        <w:t xml:space="preserve"> ռեժիմ, որի դեպքում արտաքին սնուցման աղբյուրի մուտքի վրա էլեկտրական ցանցից հաղորդվել է լարում, իսկ ելքը միացված է բեռնվածքին.</w:t>
      </w:r>
      <w:r>
        <w:rPr>
          <w:rFonts w:ascii="Sylfaen" w:hAnsi="Sylfaen"/>
          <w:sz w:val="24"/>
          <w:szCs w:val="24"/>
        </w:rPr>
        <w:t xml:space="preserve"> </w:t>
      </w:r>
    </w:p>
    <w:p w14:paraId="5C43FD43" w14:textId="77777777" w:rsidR="00CA27E3" w:rsidRPr="00CA27E3" w:rsidRDefault="0077719B"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արտաքին սնուցման աղբյուր</w:t>
      </w:r>
      <w:r w:rsidR="00CA27E3" w:rsidRPr="00CA27E3">
        <w:rPr>
          <w:rFonts w:ascii="Sylfaen" w:hAnsi="Sylfaen"/>
          <w:sz w:val="24"/>
          <w:szCs w:val="24"/>
        </w:rPr>
        <w:t>՝ սարքվածք, որը բավարարում է հետ</w:t>
      </w:r>
      <w:r w:rsidR="00CA27E3">
        <w:rPr>
          <w:rFonts w:ascii="Sylfaen" w:hAnsi="Sylfaen"/>
          <w:sz w:val="24"/>
          <w:szCs w:val="24"/>
        </w:rPr>
        <w:t>եւ</w:t>
      </w:r>
      <w:r w:rsidR="00CA27E3" w:rsidRPr="00CA27E3">
        <w:rPr>
          <w:rFonts w:ascii="Sylfaen" w:hAnsi="Sylfaen"/>
          <w:sz w:val="24"/>
          <w:szCs w:val="24"/>
        </w:rPr>
        <w:t>յալ բոլոր պայմանները՝</w:t>
      </w:r>
    </w:p>
    <w:p w14:paraId="3757DEA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նախատեսված է սնուցման ցանցի փոփոխական հոսանքի մուտքային լարումը ավելի ցածր ելքային լարման կերպափոխելու համար.</w:t>
      </w:r>
      <w:r>
        <w:rPr>
          <w:rFonts w:ascii="Sylfaen" w:hAnsi="Sylfaen"/>
          <w:sz w:val="24"/>
          <w:szCs w:val="24"/>
        </w:rPr>
        <w:t xml:space="preserve"> </w:t>
      </w:r>
    </w:p>
    <w:p w14:paraId="4104F14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ունակ է իրականացնելու հաստատուն կամ փոփոխական հոսանքի մուտքային լարման կերպափոխումը ելքային լարման (հաստատուն կամ փոփոխական հոսանքի արտաքին սնուցման աղբյուրներ). </w:t>
      </w:r>
    </w:p>
    <w:p w14:paraId="75A7FC8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նախատեսված է հիմնական բեռնվածքի դեր կատարող՝ դրանից առանձին՝ սնուցվող էլեկտրական սարքավորման հետ օգտագործելու համար.</w:t>
      </w:r>
      <w:r>
        <w:rPr>
          <w:rFonts w:ascii="Sylfaen" w:hAnsi="Sylfaen"/>
          <w:sz w:val="24"/>
          <w:szCs w:val="24"/>
        </w:rPr>
        <w:t xml:space="preserve"> </w:t>
      </w:r>
    </w:p>
    <w:p w14:paraId="488F2CB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պարփակված է հիմնական բեռնվածքի սնուցվող սարքավորումից առանձին ֆիզիկական թաղանթի (պատյանի) մեջ. </w:t>
      </w:r>
    </w:p>
    <w:p w14:paraId="37B4584E" w14:textId="77777777" w:rsidR="00CA27E3" w:rsidRPr="0077719B"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սնուցվող սարքավորման հետ միացված է հանովի կամ կոշտ ամրակցված միաժանի-բնիկային էլեկտրական միացումների, մալուխի, լարի, հաղորդալարի կամ միակցիչ այլ սարքվածքի միջոցով.</w:t>
      </w:r>
      <w:r w:rsidR="0077719B">
        <w:rPr>
          <w:rFonts w:ascii="Sylfaen" w:hAnsi="Sylfaen"/>
          <w:sz w:val="24"/>
          <w:szCs w:val="24"/>
        </w:rPr>
        <w:t xml:space="preserve"> </w:t>
      </w:r>
    </w:p>
    <w:p w14:paraId="1CAC75A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անվանական ելքային հզորությունը չի գերազանցում 250 Վտ-ը.</w:t>
      </w:r>
    </w:p>
    <w:p w14:paraId="1F2ABF9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նախատեսված է կենցաղային </w:t>
      </w:r>
      <w:r>
        <w:rPr>
          <w:rFonts w:ascii="Sylfaen" w:hAnsi="Sylfaen"/>
          <w:sz w:val="24"/>
          <w:szCs w:val="24"/>
        </w:rPr>
        <w:t>եւ</w:t>
      </w:r>
      <w:r w:rsidRPr="00CA27E3">
        <w:rPr>
          <w:rFonts w:ascii="Sylfaen" w:hAnsi="Sylfaen"/>
          <w:sz w:val="24"/>
          <w:szCs w:val="24"/>
        </w:rPr>
        <w:t xml:space="preserve"> գրասենյակային էլեկտրական այն սարքավորումների հետ օգտագործելու համար, որոնք ներառված են տեխնիկական կանոնակարգի թիվ 5 </w:t>
      </w:r>
      <w:r>
        <w:rPr>
          <w:rFonts w:ascii="Sylfaen" w:hAnsi="Sylfaen"/>
          <w:sz w:val="24"/>
          <w:szCs w:val="24"/>
        </w:rPr>
        <w:t>եւ</w:t>
      </w:r>
      <w:r w:rsidRPr="00CA27E3">
        <w:rPr>
          <w:rFonts w:ascii="Sylfaen" w:hAnsi="Sylfaen"/>
          <w:sz w:val="24"/>
          <w:szCs w:val="24"/>
        </w:rPr>
        <w:t xml:space="preserve"> թիվ 17 հավելվածների կիրառության բնագավառում. </w:t>
      </w:r>
    </w:p>
    <w:p w14:paraId="4605E777" w14:textId="77777777" w:rsidR="00CA27E3" w:rsidRPr="0077719B" w:rsidRDefault="00CA27E3"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 xml:space="preserve">կուտակիչ </w:t>
      </w:r>
      <w:r w:rsidR="0077719B" w:rsidRPr="0077719B">
        <w:rPr>
          <w:rFonts w:ascii="Sylfaen" w:hAnsi="Sylfaen"/>
          <w:b/>
          <w:sz w:val="24"/>
          <w:szCs w:val="24"/>
        </w:rPr>
        <w:t>մարտկոցի լիցքավորման սարքվածք</w:t>
      </w:r>
      <w:r w:rsidRPr="0077719B">
        <w:rPr>
          <w:rFonts w:ascii="Sylfaen" w:hAnsi="Sylfaen"/>
          <w:b/>
          <w:sz w:val="24"/>
          <w:szCs w:val="24"/>
        </w:rPr>
        <w:t>՝</w:t>
      </w:r>
      <w:r w:rsidRPr="00CA27E3">
        <w:rPr>
          <w:rFonts w:ascii="Sylfaen" w:hAnsi="Sylfaen"/>
          <w:sz w:val="24"/>
          <w:szCs w:val="24"/>
        </w:rPr>
        <w:t xml:space="preserve"> սարքվածք, որն իր ելքային ինտերֆեյսի վրա անմիջապես միացվում է հանովի կուտակիչ մարտկոցի բ</w:t>
      </w:r>
      <w:r>
        <w:rPr>
          <w:rFonts w:ascii="Sylfaen" w:hAnsi="Sylfaen"/>
          <w:sz w:val="24"/>
          <w:szCs w:val="24"/>
        </w:rPr>
        <w:t>եւ</w:t>
      </w:r>
      <w:r w:rsidRPr="00CA27E3">
        <w:rPr>
          <w:rFonts w:ascii="Sylfaen" w:hAnsi="Sylfaen"/>
          <w:sz w:val="24"/>
          <w:szCs w:val="24"/>
        </w:rPr>
        <w:t>եռներին.</w:t>
      </w:r>
      <w:r>
        <w:rPr>
          <w:rFonts w:ascii="Sylfaen" w:hAnsi="Sylfaen"/>
          <w:sz w:val="24"/>
          <w:szCs w:val="24"/>
        </w:rPr>
        <w:t xml:space="preserve"> </w:t>
      </w:r>
    </w:p>
    <w:p w14:paraId="6B8D9C9D" w14:textId="77777777" w:rsidR="00CA27E3" w:rsidRPr="00CA27E3" w:rsidRDefault="0077719B"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անխափան սնուցման աղբյուր</w:t>
      </w:r>
      <w:r w:rsidR="00CA27E3" w:rsidRPr="0077719B">
        <w:rPr>
          <w:rFonts w:ascii="Sylfaen" w:hAnsi="Sylfaen"/>
          <w:b/>
          <w:sz w:val="24"/>
          <w:szCs w:val="24"/>
        </w:rPr>
        <w:t>՝</w:t>
      </w:r>
      <w:r w:rsidR="00CA27E3" w:rsidRPr="00CA27E3">
        <w:rPr>
          <w:rFonts w:ascii="Sylfaen" w:hAnsi="Sylfaen"/>
          <w:sz w:val="24"/>
          <w:szCs w:val="24"/>
        </w:rPr>
        <w:t xml:space="preserve"> սարքվածք, որն ավտոմատ կերպով ապահովում է պահուստային սնուցումը՝ ցանցում լարումը կրիտիկականից ցածր մակարդակի ընկնելու դեպքում.</w:t>
      </w:r>
      <w:r w:rsidR="00CA27E3">
        <w:rPr>
          <w:rFonts w:ascii="Sylfaen" w:hAnsi="Sylfaen"/>
          <w:sz w:val="24"/>
          <w:szCs w:val="24"/>
        </w:rPr>
        <w:t xml:space="preserve"> </w:t>
      </w:r>
    </w:p>
    <w:p w14:paraId="32BE31D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ակտիվ ռեժիմում արտաքին սնուցման աղբյուրի օգտակ</w:t>
      </w:r>
      <w:r w:rsidR="0077719B" w:rsidRPr="0077719B">
        <w:rPr>
          <w:rFonts w:ascii="Sylfaen" w:hAnsi="Sylfaen"/>
          <w:b/>
          <w:sz w:val="24"/>
          <w:szCs w:val="24"/>
        </w:rPr>
        <w:t>ար գործողության գործակիցը (ՕԳԳ)</w:t>
      </w:r>
      <w:r w:rsidRPr="0077719B">
        <w:rPr>
          <w:rFonts w:ascii="Sylfaen" w:hAnsi="Sylfaen"/>
          <w:b/>
          <w:sz w:val="24"/>
          <w:szCs w:val="24"/>
        </w:rPr>
        <w:t>՝</w:t>
      </w:r>
      <w:r w:rsidRPr="00CA27E3">
        <w:rPr>
          <w:rFonts w:ascii="Sylfaen" w:hAnsi="Sylfaen"/>
          <w:sz w:val="24"/>
          <w:szCs w:val="24"/>
        </w:rPr>
        <w:t xml:space="preserve"> ակտիվ ռեժիմում արտաքին սնուցման աղբյուրով ապահովվող հզորության </w:t>
      </w:r>
      <w:r>
        <w:rPr>
          <w:rFonts w:ascii="Sylfaen" w:hAnsi="Sylfaen"/>
          <w:sz w:val="24"/>
          <w:szCs w:val="24"/>
        </w:rPr>
        <w:t>եւ</w:t>
      </w:r>
      <w:r w:rsidRPr="00CA27E3">
        <w:rPr>
          <w:rFonts w:ascii="Sylfaen" w:hAnsi="Sylfaen"/>
          <w:sz w:val="24"/>
          <w:szCs w:val="24"/>
        </w:rPr>
        <w:t xml:space="preserve"> ակտիվ ռեժիմում արտաքին սնուցման աղբյուրի կողմից սպառվող մուտքային հզորության հարաբերությունը.</w:t>
      </w:r>
    </w:p>
    <w:p w14:paraId="4589DF4A" w14:textId="77777777" w:rsidR="0077719B" w:rsidRDefault="00CA27E3" w:rsidP="00CA27E3">
      <w:pPr>
        <w:pStyle w:val="a0"/>
        <w:shd w:val="clear" w:color="auto" w:fill="auto"/>
        <w:spacing w:after="160"/>
        <w:ind w:firstLine="567"/>
        <w:jc w:val="both"/>
        <w:rPr>
          <w:rFonts w:ascii="Sylfaen" w:hAnsi="Sylfaen"/>
          <w:spacing w:val="-4"/>
          <w:sz w:val="24"/>
          <w:szCs w:val="24"/>
        </w:rPr>
      </w:pPr>
      <w:r w:rsidRPr="0077719B">
        <w:rPr>
          <w:rFonts w:ascii="Sylfaen" w:hAnsi="Sylfaen"/>
          <w:b/>
          <w:spacing w:val="-4"/>
          <w:sz w:val="24"/>
          <w:szCs w:val="24"/>
        </w:rPr>
        <w:t>ցածր</w:t>
      </w:r>
      <w:r w:rsidR="0077719B" w:rsidRPr="0077719B">
        <w:rPr>
          <w:rFonts w:ascii="Sylfaen" w:hAnsi="Sylfaen"/>
          <w:b/>
          <w:spacing w:val="-4"/>
          <w:sz w:val="24"/>
          <w:szCs w:val="24"/>
        </w:rPr>
        <w:t>ավոլտ՝ արտաքին սնուցման աղբյուր</w:t>
      </w:r>
      <w:r w:rsidRPr="0077719B">
        <w:rPr>
          <w:rFonts w:ascii="Sylfaen" w:hAnsi="Sylfaen"/>
          <w:b/>
          <w:spacing w:val="-4"/>
          <w:sz w:val="24"/>
          <w:szCs w:val="24"/>
        </w:rPr>
        <w:t>՝</w:t>
      </w:r>
      <w:r w:rsidRPr="0077719B">
        <w:rPr>
          <w:rFonts w:ascii="Sylfaen" w:hAnsi="Sylfaen"/>
          <w:spacing w:val="-4"/>
          <w:sz w:val="24"/>
          <w:szCs w:val="24"/>
        </w:rPr>
        <w:t xml:space="preserve"> արտաքին սնուցման աղբյուր 6 Վ-ից պակաս անվանական ելքային լարմամբ եւ 550 մԱ-ից ոչ պակաս անվանական ելքային հոսանքով.</w:t>
      </w:r>
    </w:p>
    <w:p w14:paraId="5547F4D8" w14:textId="77777777" w:rsidR="0077719B" w:rsidRDefault="0077719B">
      <w:pPr>
        <w:rPr>
          <w:rFonts w:ascii="Sylfaen" w:eastAsia="Times New Roman" w:hAnsi="Sylfaen" w:cs="Times New Roman"/>
          <w:color w:val="auto"/>
          <w:spacing w:val="-4"/>
        </w:rPr>
      </w:pPr>
      <w:r>
        <w:rPr>
          <w:rFonts w:ascii="Sylfaen" w:hAnsi="Sylfaen"/>
          <w:spacing w:val="-4"/>
        </w:rPr>
        <w:br w:type="page"/>
      </w:r>
    </w:p>
    <w:p w14:paraId="4488EFF0" w14:textId="77777777" w:rsidR="00CA27E3" w:rsidRPr="0077719B" w:rsidRDefault="00CA27E3"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lastRenderedPageBreak/>
        <w:t>անվ</w:t>
      </w:r>
      <w:r w:rsidR="0077719B" w:rsidRPr="0077719B">
        <w:rPr>
          <w:rFonts w:ascii="Sylfaen" w:hAnsi="Sylfaen"/>
          <w:b/>
          <w:sz w:val="24"/>
          <w:szCs w:val="24"/>
        </w:rPr>
        <w:t>անական ելքային հզորություն (</w:t>
      </w:r>
      <w:r w:rsidR="0077719B" w:rsidRPr="00C27E22">
        <w:rPr>
          <w:rFonts w:ascii="Sylfaen" w:hAnsi="Sylfaen"/>
          <w:b/>
          <w:i/>
          <w:sz w:val="24"/>
          <w:szCs w:val="24"/>
        </w:rPr>
        <w:t>Ро</w:t>
      </w:r>
      <w:r w:rsidR="0077719B" w:rsidRPr="0077719B">
        <w:rPr>
          <w:rFonts w:ascii="Sylfaen" w:hAnsi="Sylfaen"/>
          <w:b/>
          <w:sz w:val="24"/>
          <w:szCs w:val="24"/>
        </w:rPr>
        <w:t>)</w:t>
      </w:r>
      <w:r w:rsidRPr="0077719B">
        <w:rPr>
          <w:rFonts w:ascii="Sylfaen" w:hAnsi="Sylfaen"/>
          <w:b/>
          <w:sz w:val="24"/>
          <w:szCs w:val="24"/>
        </w:rPr>
        <w:t>՝</w:t>
      </w:r>
      <w:r w:rsidRPr="00CA27E3">
        <w:rPr>
          <w:rFonts w:ascii="Sylfaen" w:hAnsi="Sylfaen"/>
          <w:sz w:val="24"/>
          <w:szCs w:val="24"/>
        </w:rPr>
        <w:t xml:space="preserve"> արտադրողի կողմից սահմանված ելքային հզորությունը. </w:t>
      </w:r>
    </w:p>
    <w:p w14:paraId="5469B27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հ</w:t>
      </w:r>
      <w:r w:rsidR="0077719B" w:rsidRPr="0077719B">
        <w:rPr>
          <w:rFonts w:ascii="Sylfaen" w:hAnsi="Sylfaen"/>
          <w:b/>
          <w:sz w:val="24"/>
          <w:szCs w:val="24"/>
        </w:rPr>
        <w:t>ալոգեն լամպերի համար կերպափոխիչ</w:t>
      </w:r>
      <w:r w:rsidRPr="0077719B">
        <w:rPr>
          <w:rFonts w:ascii="Sylfaen" w:hAnsi="Sylfaen"/>
          <w:b/>
          <w:sz w:val="24"/>
          <w:szCs w:val="24"/>
        </w:rPr>
        <w:t>՝</w:t>
      </w:r>
      <w:r w:rsidRPr="00CA27E3">
        <w:rPr>
          <w:rFonts w:ascii="Sylfaen" w:hAnsi="Sylfaen"/>
          <w:sz w:val="24"/>
          <w:szCs w:val="24"/>
        </w:rPr>
        <w:t xml:space="preserve"> արտաքին սնուցման աղբյուր, որն օգտագործվում է գերցածրավոլտ վոլֆրամային հալոգեն լամպերի հետ. </w:t>
      </w:r>
    </w:p>
    <w:p w14:paraId="75F13940" w14:textId="77777777" w:rsidR="00CA27E3" w:rsidRPr="0077719B" w:rsidRDefault="0077719B"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լարման կերպափոխիչ</w:t>
      </w:r>
      <w:r w:rsidR="00CA27E3" w:rsidRPr="0077719B">
        <w:rPr>
          <w:rFonts w:ascii="Sylfaen" w:hAnsi="Sylfaen"/>
          <w:b/>
          <w:sz w:val="24"/>
          <w:szCs w:val="24"/>
        </w:rPr>
        <w:t>՝</w:t>
      </w:r>
      <w:r w:rsidR="00CA27E3" w:rsidRPr="00CA27E3">
        <w:rPr>
          <w:rFonts w:ascii="Sylfaen" w:hAnsi="Sylfaen"/>
          <w:sz w:val="24"/>
          <w:szCs w:val="24"/>
        </w:rPr>
        <w:t xml:space="preserve"> սարքվածք, որը փոփոխական հոսանքի 220 Վ-ից մինչ</w:t>
      </w:r>
      <w:r w:rsidR="00CA27E3">
        <w:rPr>
          <w:rFonts w:ascii="Sylfaen" w:hAnsi="Sylfaen"/>
          <w:sz w:val="24"/>
          <w:szCs w:val="24"/>
        </w:rPr>
        <w:t>եւ</w:t>
      </w:r>
      <w:r w:rsidR="00CA27E3" w:rsidRPr="00CA27E3">
        <w:rPr>
          <w:rFonts w:ascii="Sylfaen" w:hAnsi="Sylfaen"/>
          <w:sz w:val="24"/>
          <w:szCs w:val="24"/>
        </w:rPr>
        <w:t xml:space="preserve"> 240 Վ անվանական արժեքներով ցանցի ելքային լարումը կերպափոխում է էլեկտրացանցի ելքային բնութագրերին նման բնութագրերով փոփոխական հոսանքի 110 Վ-ից մինչ</w:t>
      </w:r>
      <w:r w:rsidR="00CA27E3">
        <w:rPr>
          <w:rFonts w:ascii="Sylfaen" w:hAnsi="Sylfaen"/>
          <w:sz w:val="24"/>
          <w:szCs w:val="24"/>
        </w:rPr>
        <w:t>եւ</w:t>
      </w:r>
      <w:r w:rsidR="00CA27E3" w:rsidRPr="00CA27E3">
        <w:rPr>
          <w:rFonts w:ascii="Sylfaen" w:hAnsi="Sylfaen"/>
          <w:sz w:val="24"/>
          <w:szCs w:val="24"/>
        </w:rPr>
        <w:t xml:space="preserve"> 127 Վ անվանական արժեքներով ելքային լարման.</w:t>
      </w:r>
      <w:r w:rsidR="00CA27E3">
        <w:rPr>
          <w:rFonts w:ascii="Sylfaen" w:hAnsi="Sylfaen"/>
          <w:sz w:val="24"/>
          <w:szCs w:val="24"/>
        </w:rPr>
        <w:t xml:space="preserve"> </w:t>
      </w:r>
    </w:p>
    <w:p w14:paraId="422E5645" w14:textId="77777777" w:rsidR="00CA27E3" w:rsidRPr="00CA27E3" w:rsidRDefault="0077719B" w:rsidP="00CA27E3">
      <w:pPr>
        <w:pStyle w:val="a0"/>
        <w:shd w:val="clear" w:color="auto" w:fill="auto"/>
        <w:spacing w:after="160"/>
        <w:ind w:firstLine="567"/>
        <w:jc w:val="both"/>
        <w:rPr>
          <w:rFonts w:ascii="Sylfaen" w:hAnsi="Sylfaen" w:cs="Sylfaen"/>
          <w:sz w:val="24"/>
          <w:szCs w:val="24"/>
        </w:rPr>
      </w:pPr>
      <w:r w:rsidRPr="0077719B">
        <w:rPr>
          <w:rFonts w:ascii="Sylfaen" w:hAnsi="Sylfaen"/>
          <w:b/>
          <w:sz w:val="24"/>
          <w:szCs w:val="24"/>
        </w:rPr>
        <w:t>պարապ ընթացքի ռեժիմ</w:t>
      </w:r>
      <w:r w:rsidR="00CA27E3" w:rsidRPr="00CA27E3">
        <w:rPr>
          <w:rFonts w:ascii="Sylfaen" w:hAnsi="Sylfaen"/>
          <w:sz w:val="24"/>
          <w:szCs w:val="24"/>
        </w:rPr>
        <w:t>՝ ռեժիմ, որի դեպքում արտաքին սնուցման աղբյուրի մուտքի վրա էլեկտրական ցանցից մատուցվել է լարում, իսկ դրա ելքերին միացված չէ ոչ մի բեռնվածք.</w:t>
      </w:r>
    </w:p>
    <w:p w14:paraId="06B05F0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77719B">
        <w:rPr>
          <w:rFonts w:ascii="Sylfaen" w:hAnsi="Sylfaen"/>
          <w:b/>
          <w:spacing w:val="-6"/>
          <w:sz w:val="24"/>
          <w:szCs w:val="24"/>
        </w:rPr>
        <w:t>արտաքին սնուց</w:t>
      </w:r>
      <w:r w:rsidR="0077719B" w:rsidRPr="0077719B">
        <w:rPr>
          <w:rFonts w:ascii="Sylfaen" w:hAnsi="Sylfaen"/>
          <w:b/>
          <w:spacing w:val="-6"/>
          <w:sz w:val="24"/>
          <w:szCs w:val="24"/>
        </w:rPr>
        <w:t>ման աղբյուրի ՕԳԳ-ի միջին արժեքը</w:t>
      </w:r>
      <w:r w:rsidRPr="0077719B">
        <w:rPr>
          <w:rFonts w:ascii="Sylfaen" w:hAnsi="Sylfaen"/>
          <w:b/>
          <w:spacing w:val="-6"/>
          <w:sz w:val="24"/>
          <w:szCs w:val="24"/>
        </w:rPr>
        <w:t>՝</w:t>
      </w:r>
      <w:r w:rsidRPr="0077719B">
        <w:rPr>
          <w:rFonts w:ascii="Sylfaen" w:hAnsi="Sylfaen"/>
          <w:spacing w:val="-6"/>
          <w:sz w:val="24"/>
          <w:szCs w:val="24"/>
        </w:rPr>
        <w:t xml:space="preserve"> 25 %, 50 %, 75 %, եւ 100 % անվանական ելքային հզորության դեպքում արտաքին սնուցման աղբյուրի ՕԳԳ-ի միջին</w:t>
      </w:r>
      <w:r w:rsidRPr="00CA27E3">
        <w:rPr>
          <w:rFonts w:ascii="Sylfaen" w:hAnsi="Sylfaen"/>
          <w:sz w:val="24"/>
          <w:szCs w:val="24"/>
        </w:rPr>
        <w:t xml:space="preserve"> արժեքը։</w:t>
      </w:r>
    </w:p>
    <w:p w14:paraId="373A275F"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4D05383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III. Արտաքին սնուցման աղբյուրների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սահմանման առանձնահատկությունները</w:t>
      </w:r>
    </w:p>
    <w:p w14:paraId="5C4A3B25"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77719B" w:rsidRPr="0077719B">
        <w:rPr>
          <w:rFonts w:ascii="Sylfaen" w:hAnsi="Sylfaen"/>
          <w:sz w:val="24"/>
          <w:szCs w:val="24"/>
        </w:rPr>
        <w:tab/>
      </w:r>
      <w:r w:rsidRPr="00CA27E3">
        <w:rPr>
          <w:rFonts w:ascii="Sylfaen" w:hAnsi="Sylfaen"/>
          <w:sz w:val="24"/>
          <w:szCs w:val="24"/>
        </w:rPr>
        <w:t>Պարապ ընթացքի ռեժիմում արտաքին սնուցման աղբյուրների էներգասպառումը չպետք է գերազանցի 1-ին աղյուսակում նշված սահմանային արժեքները։</w:t>
      </w:r>
    </w:p>
    <w:p w14:paraId="26CBD7E1" w14:textId="77777777" w:rsidR="0077719B" w:rsidRDefault="0077719B">
      <w:pPr>
        <w:rPr>
          <w:rFonts w:ascii="Sylfaen" w:eastAsia="Times New Roman" w:hAnsi="Sylfaen" w:cs="Sylfaen"/>
          <w:color w:val="auto"/>
        </w:rPr>
      </w:pPr>
      <w:r>
        <w:rPr>
          <w:rFonts w:ascii="Sylfaen" w:hAnsi="Sylfaen" w:cs="Sylfaen"/>
        </w:rPr>
        <w:br w:type="page"/>
      </w:r>
    </w:p>
    <w:p w14:paraId="7525999E" w14:textId="77777777" w:rsidR="00CA27E3" w:rsidRPr="00CA27E3" w:rsidRDefault="00CA27E3" w:rsidP="00CA27E3">
      <w:pPr>
        <w:pStyle w:val="a0"/>
        <w:shd w:val="clear" w:color="auto" w:fill="auto"/>
        <w:spacing w:after="160"/>
        <w:ind w:left="1140" w:firstLine="0"/>
        <w:jc w:val="right"/>
        <w:rPr>
          <w:rFonts w:ascii="Sylfaen" w:hAnsi="Sylfaen" w:cs="Sylfaen"/>
          <w:sz w:val="24"/>
          <w:szCs w:val="24"/>
        </w:rPr>
      </w:pPr>
      <w:r w:rsidRPr="00CA27E3">
        <w:rPr>
          <w:rFonts w:ascii="Sylfaen" w:hAnsi="Sylfaen"/>
          <w:sz w:val="24"/>
          <w:szCs w:val="24"/>
        </w:rPr>
        <w:lastRenderedPageBreak/>
        <w:t>Աղյուսակ 1</w:t>
      </w:r>
    </w:p>
    <w:p w14:paraId="3E833C28" w14:textId="77777777" w:rsidR="00CA27E3" w:rsidRPr="00CA27E3" w:rsidRDefault="00CA27E3" w:rsidP="0077719B">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Պարապ ընթացքի ռեժիմում էներգասպառման առավելագույն թույլատրելի արժեքները</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2400"/>
        <w:gridCol w:w="2434"/>
        <w:gridCol w:w="2366"/>
        <w:gridCol w:w="2386"/>
      </w:tblGrid>
      <w:tr w:rsidR="00CA27E3" w:rsidRPr="00066F60" w14:paraId="0A575110" w14:textId="77777777" w:rsidTr="00C27E22">
        <w:trPr>
          <w:jc w:val="center"/>
        </w:trPr>
        <w:tc>
          <w:tcPr>
            <w:tcW w:w="2400" w:type="dxa"/>
            <w:vMerge w:val="restart"/>
            <w:tcBorders>
              <w:top w:val="single" w:sz="4" w:space="0" w:color="auto"/>
              <w:left w:val="single" w:sz="4" w:space="0" w:color="auto"/>
            </w:tcBorders>
            <w:shd w:val="clear" w:color="auto" w:fill="FFFFFF"/>
            <w:vAlign w:val="center"/>
          </w:tcPr>
          <w:p w14:paraId="4BA7AAD0"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Արտաքին</w:t>
            </w:r>
            <w:r w:rsidRPr="00066F60" w:rsidDel="003F28BF">
              <w:rPr>
                <w:rFonts w:ascii="Sylfaen" w:hAnsi="Sylfaen"/>
                <w:sz w:val="20"/>
                <w:szCs w:val="20"/>
              </w:rPr>
              <w:t xml:space="preserve"> </w:t>
            </w:r>
            <w:r w:rsidRPr="00066F60">
              <w:rPr>
                <w:rFonts w:ascii="Sylfaen" w:hAnsi="Sylfaen"/>
                <w:sz w:val="20"/>
                <w:szCs w:val="20"/>
              </w:rPr>
              <w:t>սնուցման աղբյուրի անվանական ելքային հզորությունը</w:t>
            </w:r>
          </w:p>
        </w:tc>
        <w:tc>
          <w:tcPr>
            <w:tcW w:w="7186" w:type="dxa"/>
            <w:gridSpan w:val="3"/>
            <w:tcBorders>
              <w:top w:val="single" w:sz="4" w:space="0" w:color="auto"/>
              <w:left w:val="single" w:sz="4" w:space="0" w:color="auto"/>
              <w:right w:val="single" w:sz="4" w:space="0" w:color="auto"/>
            </w:tcBorders>
            <w:shd w:val="clear" w:color="auto" w:fill="FFFFFF"/>
            <w:vAlign w:val="center"/>
          </w:tcPr>
          <w:p w14:paraId="7A50D70F"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Պարապ ընթացքի ռեժիմում էներգասպառումը</w:t>
            </w:r>
          </w:p>
        </w:tc>
      </w:tr>
      <w:tr w:rsidR="00CA27E3" w:rsidRPr="00066F60" w14:paraId="3A5F2302" w14:textId="77777777" w:rsidTr="00C27E22">
        <w:trPr>
          <w:jc w:val="center"/>
        </w:trPr>
        <w:tc>
          <w:tcPr>
            <w:tcW w:w="2400" w:type="dxa"/>
            <w:vMerge/>
            <w:tcBorders>
              <w:left w:val="single" w:sz="4" w:space="0" w:color="auto"/>
            </w:tcBorders>
            <w:shd w:val="clear" w:color="auto" w:fill="FFFFFF"/>
            <w:vAlign w:val="center"/>
          </w:tcPr>
          <w:p w14:paraId="52CD9AF8" w14:textId="77777777" w:rsidR="00CA27E3" w:rsidRPr="00066F60" w:rsidRDefault="00CA27E3" w:rsidP="0077719B">
            <w:pPr>
              <w:spacing w:after="120"/>
              <w:jc w:val="center"/>
              <w:rPr>
                <w:rFonts w:ascii="Sylfaen" w:hAnsi="Sylfaen" w:cs="Sylfaen"/>
                <w:sz w:val="20"/>
                <w:szCs w:val="20"/>
              </w:rPr>
            </w:pPr>
          </w:p>
        </w:tc>
        <w:tc>
          <w:tcPr>
            <w:tcW w:w="4800" w:type="dxa"/>
            <w:gridSpan w:val="2"/>
            <w:tcBorders>
              <w:top w:val="single" w:sz="4" w:space="0" w:color="auto"/>
              <w:left w:val="single" w:sz="4" w:space="0" w:color="auto"/>
            </w:tcBorders>
            <w:shd w:val="clear" w:color="auto" w:fill="FFFFFF"/>
            <w:vAlign w:val="center"/>
          </w:tcPr>
          <w:p w14:paraId="34BEF2DD" w14:textId="77777777" w:rsidR="00CA27E3" w:rsidRPr="00066F60" w:rsidRDefault="00CA27E3" w:rsidP="0077719B">
            <w:pPr>
              <w:pStyle w:val="a4"/>
              <w:shd w:val="clear" w:color="auto" w:fill="auto"/>
              <w:spacing w:after="120" w:line="240" w:lineRule="auto"/>
              <w:ind w:right="128" w:firstLine="0"/>
              <w:jc w:val="center"/>
              <w:rPr>
                <w:rFonts w:ascii="Sylfaen" w:hAnsi="Sylfaen" w:cs="Sylfaen"/>
                <w:sz w:val="20"/>
                <w:szCs w:val="20"/>
              </w:rPr>
            </w:pPr>
            <w:r w:rsidRPr="00066F60">
              <w:rPr>
                <w:rFonts w:ascii="Sylfaen" w:hAnsi="Sylfaen"/>
                <w:sz w:val="20"/>
                <w:szCs w:val="20"/>
              </w:rPr>
              <w:t>արտաքին սնուցման աղբյուրներ` բացի սնուցման ցածրավոլտ աղբյուրներից</w:t>
            </w:r>
          </w:p>
        </w:tc>
        <w:tc>
          <w:tcPr>
            <w:tcW w:w="2386" w:type="dxa"/>
            <w:vMerge w:val="restart"/>
            <w:tcBorders>
              <w:top w:val="single" w:sz="4" w:space="0" w:color="auto"/>
              <w:left w:val="single" w:sz="4" w:space="0" w:color="auto"/>
              <w:right w:val="single" w:sz="4" w:space="0" w:color="auto"/>
            </w:tcBorders>
            <w:shd w:val="clear" w:color="auto" w:fill="FFFFFF"/>
            <w:vAlign w:val="center"/>
          </w:tcPr>
          <w:p w14:paraId="1C77C8CD"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ցածրավոլտ արտաքին սնուցման աղբյուրներ՝</w:t>
            </w:r>
          </w:p>
        </w:tc>
      </w:tr>
      <w:tr w:rsidR="00CA27E3" w:rsidRPr="00066F60" w14:paraId="31093CF2" w14:textId="77777777" w:rsidTr="00C27E22">
        <w:trPr>
          <w:jc w:val="center"/>
        </w:trPr>
        <w:tc>
          <w:tcPr>
            <w:tcW w:w="2400" w:type="dxa"/>
            <w:vMerge/>
            <w:tcBorders>
              <w:left w:val="single" w:sz="4" w:space="0" w:color="auto"/>
            </w:tcBorders>
            <w:shd w:val="clear" w:color="auto" w:fill="FFFFFF"/>
          </w:tcPr>
          <w:p w14:paraId="6ECEE8F4" w14:textId="77777777" w:rsidR="00CA27E3" w:rsidRPr="00066F60" w:rsidRDefault="00CA27E3" w:rsidP="00066F60">
            <w:pPr>
              <w:spacing w:after="120"/>
              <w:rPr>
                <w:rFonts w:ascii="Sylfaen" w:hAnsi="Sylfaen" w:cs="Sylfaen"/>
                <w:sz w:val="20"/>
                <w:szCs w:val="20"/>
              </w:rPr>
            </w:pPr>
          </w:p>
        </w:tc>
        <w:tc>
          <w:tcPr>
            <w:tcW w:w="2434" w:type="dxa"/>
            <w:tcBorders>
              <w:top w:val="single" w:sz="4" w:space="0" w:color="auto"/>
              <w:left w:val="single" w:sz="4" w:space="0" w:color="auto"/>
            </w:tcBorders>
            <w:shd w:val="clear" w:color="auto" w:fill="FFFFFF"/>
          </w:tcPr>
          <w:p w14:paraId="12CBC1B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փոփոխական հոսանքի</w:t>
            </w:r>
          </w:p>
        </w:tc>
        <w:tc>
          <w:tcPr>
            <w:tcW w:w="2366" w:type="dxa"/>
            <w:tcBorders>
              <w:top w:val="single" w:sz="4" w:space="0" w:color="auto"/>
              <w:left w:val="single" w:sz="4" w:space="0" w:color="auto"/>
            </w:tcBorders>
            <w:shd w:val="clear" w:color="auto" w:fill="FFFFFF"/>
          </w:tcPr>
          <w:p w14:paraId="2DD27041"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հաստատուն հոսանքի</w:t>
            </w:r>
          </w:p>
        </w:tc>
        <w:tc>
          <w:tcPr>
            <w:tcW w:w="2386" w:type="dxa"/>
            <w:vMerge/>
            <w:tcBorders>
              <w:left w:val="single" w:sz="4" w:space="0" w:color="auto"/>
              <w:right w:val="single" w:sz="4" w:space="0" w:color="auto"/>
            </w:tcBorders>
            <w:shd w:val="clear" w:color="auto" w:fill="FFFFFF"/>
          </w:tcPr>
          <w:p w14:paraId="7D2935FE" w14:textId="77777777" w:rsidR="00CA27E3" w:rsidRPr="00066F60" w:rsidRDefault="00CA27E3" w:rsidP="00066F60">
            <w:pPr>
              <w:spacing w:after="120"/>
              <w:rPr>
                <w:rFonts w:ascii="Sylfaen" w:hAnsi="Sylfaen" w:cs="Sylfaen"/>
                <w:sz w:val="20"/>
                <w:szCs w:val="20"/>
              </w:rPr>
            </w:pPr>
          </w:p>
        </w:tc>
      </w:tr>
      <w:tr w:rsidR="00CA27E3" w:rsidRPr="00066F60" w14:paraId="7EEB35F3" w14:textId="77777777" w:rsidTr="00C27E22">
        <w:trPr>
          <w:jc w:val="center"/>
        </w:trPr>
        <w:tc>
          <w:tcPr>
            <w:tcW w:w="2400" w:type="dxa"/>
            <w:tcBorders>
              <w:top w:val="single" w:sz="4" w:space="0" w:color="auto"/>
              <w:left w:val="single" w:sz="4" w:space="0" w:color="auto"/>
            </w:tcBorders>
            <w:shd w:val="clear" w:color="auto" w:fill="FFFFFF"/>
            <w:vAlign w:val="center"/>
          </w:tcPr>
          <w:p w14:paraId="4A73EA81"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0</w:t>
            </w:r>
            <w:r w:rsidRPr="00066F60">
              <w:rPr>
                <w:rFonts w:ascii="Sylfaen" w:hAnsi="Sylfaen"/>
                <w:sz w:val="20"/>
                <w:szCs w:val="20"/>
              </w:rPr>
              <w:t xml:space="preserve"> ≤ 51,0 Վտ-ի</w:t>
            </w:r>
          </w:p>
        </w:tc>
        <w:tc>
          <w:tcPr>
            <w:tcW w:w="2434" w:type="dxa"/>
            <w:tcBorders>
              <w:top w:val="single" w:sz="4" w:space="0" w:color="auto"/>
              <w:left w:val="single" w:sz="4" w:space="0" w:color="auto"/>
            </w:tcBorders>
            <w:shd w:val="clear" w:color="auto" w:fill="FFFFFF"/>
            <w:vAlign w:val="center"/>
          </w:tcPr>
          <w:p w14:paraId="5BF8217E"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0,50 Վտ</w:t>
            </w:r>
          </w:p>
        </w:tc>
        <w:tc>
          <w:tcPr>
            <w:tcW w:w="2366" w:type="dxa"/>
            <w:tcBorders>
              <w:top w:val="single" w:sz="4" w:space="0" w:color="auto"/>
              <w:left w:val="single" w:sz="4" w:space="0" w:color="auto"/>
            </w:tcBorders>
            <w:shd w:val="clear" w:color="auto" w:fill="FFFFFF"/>
            <w:vAlign w:val="center"/>
          </w:tcPr>
          <w:p w14:paraId="5929B550"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0,30 Վտ</w:t>
            </w:r>
          </w:p>
        </w:tc>
        <w:tc>
          <w:tcPr>
            <w:tcW w:w="2386" w:type="dxa"/>
            <w:tcBorders>
              <w:top w:val="single" w:sz="4" w:space="0" w:color="auto"/>
              <w:left w:val="single" w:sz="4" w:space="0" w:color="auto"/>
              <w:right w:val="single" w:sz="4" w:space="0" w:color="auto"/>
            </w:tcBorders>
            <w:shd w:val="clear" w:color="auto" w:fill="FFFFFF"/>
            <w:vAlign w:val="center"/>
          </w:tcPr>
          <w:p w14:paraId="301DB666"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0,30 Վտ</w:t>
            </w:r>
          </w:p>
        </w:tc>
      </w:tr>
      <w:tr w:rsidR="00CA27E3" w:rsidRPr="00066F60" w14:paraId="17230CBF" w14:textId="77777777" w:rsidTr="00C27E22">
        <w:trPr>
          <w:jc w:val="center"/>
        </w:trPr>
        <w:tc>
          <w:tcPr>
            <w:tcW w:w="2400" w:type="dxa"/>
            <w:tcBorders>
              <w:top w:val="single" w:sz="4" w:space="0" w:color="auto"/>
              <w:left w:val="single" w:sz="4" w:space="0" w:color="auto"/>
              <w:bottom w:val="single" w:sz="4" w:space="0" w:color="auto"/>
            </w:tcBorders>
            <w:shd w:val="clear" w:color="auto" w:fill="FFFFFF"/>
            <w:vAlign w:val="center"/>
          </w:tcPr>
          <w:p w14:paraId="2081B5BF"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0</w:t>
            </w:r>
            <w:r w:rsidRPr="00066F60">
              <w:rPr>
                <w:rFonts w:ascii="Sylfaen" w:hAnsi="Sylfaen"/>
                <w:sz w:val="20"/>
                <w:szCs w:val="20"/>
              </w:rPr>
              <w:t xml:space="preserve"> ≤ 51,0 Վտ-ի</w:t>
            </w:r>
          </w:p>
        </w:tc>
        <w:tc>
          <w:tcPr>
            <w:tcW w:w="2434" w:type="dxa"/>
            <w:tcBorders>
              <w:top w:val="single" w:sz="4" w:space="0" w:color="auto"/>
              <w:left w:val="single" w:sz="4" w:space="0" w:color="auto"/>
              <w:bottom w:val="single" w:sz="4" w:space="0" w:color="auto"/>
            </w:tcBorders>
            <w:shd w:val="clear" w:color="auto" w:fill="FFFFFF"/>
            <w:vAlign w:val="center"/>
          </w:tcPr>
          <w:p w14:paraId="2B262DA4"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0,50 Վտ</w:t>
            </w:r>
          </w:p>
        </w:tc>
        <w:tc>
          <w:tcPr>
            <w:tcW w:w="2366" w:type="dxa"/>
            <w:tcBorders>
              <w:top w:val="single" w:sz="4" w:space="0" w:color="auto"/>
              <w:left w:val="single" w:sz="4" w:space="0" w:color="auto"/>
              <w:bottom w:val="single" w:sz="4" w:space="0" w:color="auto"/>
            </w:tcBorders>
            <w:shd w:val="clear" w:color="auto" w:fill="FFFFFF"/>
            <w:vAlign w:val="center"/>
          </w:tcPr>
          <w:p w14:paraId="72B1AA77"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0,50 Վտ</w:t>
            </w:r>
          </w:p>
        </w:tc>
        <w:tc>
          <w:tcPr>
            <w:tcW w:w="2386" w:type="dxa"/>
            <w:tcBorders>
              <w:top w:val="single" w:sz="4" w:space="0" w:color="auto"/>
              <w:left w:val="single" w:sz="4" w:space="0" w:color="auto"/>
              <w:bottom w:val="single" w:sz="4" w:space="0" w:color="auto"/>
              <w:right w:val="single" w:sz="4" w:space="0" w:color="auto"/>
            </w:tcBorders>
            <w:shd w:val="clear" w:color="auto" w:fill="FFFFFF"/>
            <w:vAlign w:val="center"/>
          </w:tcPr>
          <w:p w14:paraId="24E598C9"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պահանջ չկա</w:t>
            </w:r>
          </w:p>
        </w:tc>
      </w:tr>
    </w:tbl>
    <w:p w14:paraId="36ACB7EE" w14:textId="77777777" w:rsidR="00CA27E3" w:rsidRPr="00CA27E3" w:rsidRDefault="00CA27E3" w:rsidP="00CA27E3">
      <w:pPr>
        <w:spacing w:after="160" w:line="360" w:lineRule="auto"/>
        <w:rPr>
          <w:rFonts w:ascii="Sylfaen" w:hAnsi="Sylfaen" w:cs="Sylfaen"/>
        </w:rPr>
      </w:pPr>
    </w:p>
    <w:p w14:paraId="1B18F650" w14:textId="77777777" w:rsidR="00CA27E3" w:rsidRPr="00DC5495" w:rsidRDefault="00CA27E3" w:rsidP="0077719B">
      <w:pPr>
        <w:pStyle w:val="a0"/>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4.</w:t>
      </w:r>
      <w:r w:rsidR="0077719B" w:rsidRPr="0077719B">
        <w:rPr>
          <w:rFonts w:ascii="Sylfaen" w:hAnsi="Sylfaen"/>
          <w:sz w:val="24"/>
          <w:szCs w:val="24"/>
        </w:rPr>
        <w:tab/>
      </w:r>
      <w:r w:rsidRPr="00CA27E3">
        <w:rPr>
          <w:rFonts w:ascii="Sylfaen" w:hAnsi="Sylfaen"/>
          <w:sz w:val="24"/>
          <w:szCs w:val="24"/>
        </w:rPr>
        <w:t>Արտաքին</w:t>
      </w:r>
      <w:r w:rsidRPr="00CA27E3" w:rsidDel="003F28BF">
        <w:rPr>
          <w:rFonts w:ascii="Sylfaen" w:hAnsi="Sylfaen"/>
          <w:sz w:val="24"/>
          <w:szCs w:val="24"/>
        </w:rPr>
        <w:t xml:space="preserve"> </w:t>
      </w:r>
      <w:r w:rsidRPr="00CA27E3">
        <w:rPr>
          <w:rFonts w:ascii="Sylfaen" w:hAnsi="Sylfaen"/>
          <w:sz w:val="24"/>
          <w:szCs w:val="24"/>
        </w:rPr>
        <w:t xml:space="preserve">սնուցման աղբյուրի ՕԳԳ-ի միջին արժեքը չպետք է լինի 2-րդ աղյուսակում նշված սահմանային արժեքներից ցածր։ </w:t>
      </w:r>
    </w:p>
    <w:p w14:paraId="27AE0E2A" w14:textId="77777777" w:rsidR="0077719B" w:rsidRPr="00DC5495" w:rsidRDefault="0077719B" w:rsidP="0077719B">
      <w:pPr>
        <w:pStyle w:val="a0"/>
        <w:shd w:val="clear" w:color="auto" w:fill="auto"/>
        <w:tabs>
          <w:tab w:val="left" w:pos="1134"/>
        </w:tabs>
        <w:spacing w:after="160"/>
        <w:ind w:firstLine="567"/>
        <w:jc w:val="both"/>
        <w:rPr>
          <w:rFonts w:ascii="Sylfaen" w:hAnsi="Sylfaen" w:cs="Sylfaen"/>
          <w:sz w:val="24"/>
          <w:szCs w:val="24"/>
        </w:rPr>
      </w:pPr>
    </w:p>
    <w:p w14:paraId="5B623673"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2</w:t>
      </w:r>
    </w:p>
    <w:p w14:paraId="61CFC7C5" w14:textId="77777777" w:rsidR="00CA27E3" w:rsidRPr="00CA27E3" w:rsidRDefault="00CA27E3" w:rsidP="0077719B">
      <w:pPr>
        <w:pStyle w:val="a2"/>
        <w:shd w:val="clear" w:color="auto" w:fill="auto"/>
        <w:spacing w:after="160" w:line="360" w:lineRule="auto"/>
        <w:jc w:val="center"/>
        <w:rPr>
          <w:rFonts w:ascii="Sylfaen" w:hAnsi="Sylfaen" w:cs="Sylfaen"/>
          <w:sz w:val="24"/>
          <w:szCs w:val="24"/>
        </w:rPr>
      </w:pPr>
      <w:r w:rsidRPr="00CA27E3">
        <w:rPr>
          <w:rFonts w:ascii="Sylfaen" w:hAnsi="Sylfaen"/>
          <w:sz w:val="24"/>
          <w:szCs w:val="24"/>
        </w:rPr>
        <w:t>ՕԳԳ-ի նվազագույն թույլատրելի միջին արժեքները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158"/>
        <w:gridCol w:w="3158"/>
        <w:gridCol w:w="3163"/>
      </w:tblGrid>
      <w:tr w:rsidR="00CA27E3" w:rsidRPr="00066F60" w14:paraId="6DF97461" w14:textId="77777777" w:rsidTr="00CA27E3">
        <w:trPr>
          <w:jc w:val="center"/>
        </w:trPr>
        <w:tc>
          <w:tcPr>
            <w:tcW w:w="3158" w:type="dxa"/>
            <w:vMerge w:val="restart"/>
            <w:tcBorders>
              <w:top w:val="single" w:sz="4" w:space="0" w:color="auto"/>
              <w:left w:val="single" w:sz="4" w:space="0" w:color="auto"/>
            </w:tcBorders>
            <w:shd w:val="clear" w:color="auto" w:fill="FFFFFF"/>
            <w:vAlign w:val="center"/>
          </w:tcPr>
          <w:p w14:paraId="7B2FC347"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Արտաքին սնուցման աղբյուրի անվանական հզորությունը</w:t>
            </w:r>
          </w:p>
        </w:tc>
        <w:tc>
          <w:tcPr>
            <w:tcW w:w="6321" w:type="dxa"/>
            <w:gridSpan w:val="2"/>
            <w:tcBorders>
              <w:top w:val="single" w:sz="4" w:space="0" w:color="auto"/>
              <w:left w:val="single" w:sz="4" w:space="0" w:color="auto"/>
              <w:right w:val="single" w:sz="4" w:space="0" w:color="auto"/>
            </w:tcBorders>
            <w:shd w:val="clear" w:color="auto" w:fill="FFFFFF"/>
          </w:tcPr>
          <w:p w14:paraId="72637E84" w14:textId="77777777" w:rsidR="00CA27E3" w:rsidRPr="00066F60" w:rsidRDefault="00CA27E3" w:rsidP="0077719B">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ՕԳԳ-ի միջին արժեքը</w:t>
            </w:r>
          </w:p>
        </w:tc>
      </w:tr>
      <w:tr w:rsidR="00CA27E3" w:rsidRPr="00066F60" w14:paraId="73B4C883" w14:textId="77777777" w:rsidTr="00CA27E3">
        <w:trPr>
          <w:jc w:val="center"/>
        </w:trPr>
        <w:tc>
          <w:tcPr>
            <w:tcW w:w="3158" w:type="dxa"/>
            <w:vMerge/>
            <w:tcBorders>
              <w:left w:val="single" w:sz="4" w:space="0" w:color="auto"/>
            </w:tcBorders>
            <w:shd w:val="clear" w:color="auto" w:fill="FFFFFF"/>
          </w:tcPr>
          <w:p w14:paraId="15F292C5" w14:textId="77777777" w:rsidR="00CA27E3" w:rsidRPr="00066F60" w:rsidRDefault="00CA27E3" w:rsidP="0077719B">
            <w:pPr>
              <w:spacing w:after="120"/>
              <w:jc w:val="center"/>
              <w:rPr>
                <w:rFonts w:ascii="Sylfaen" w:hAnsi="Sylfaen" w:cs="Sylfaen"/>
                <w:sz w:val="20"/>
                <w:szCs w:val="20"/>
              </w:rPr>
            </w:pPr>
          </w:p>
        </w:tc>
        <w:tc>
          <w:tcPr>
            <w:tcW w:w="3158" w:type="dxa"/>
            <w:tcBorders>
              <w:top w:val="single" w:sz="4" w:space="0" w:color="auto"/>
              <w:left w:val="single" w:sz="4" w:space="0" w:color="auto"/>
            </w:tcBorders>
            <w:shd w:val="clear" w:color="auto" w:fill="FFFFFF"/>
          </w:tcPr>
          <w:p w14:paraId="15F547D7" w14:textId="77777777" w:rsidR="00CA27E3" w:rsidRPr="00066F60" w:rsidRDefault="00CA27E3" w:rsidP="0077719B">
            <w:pPr>
              <w:pStyle w:val="a4"/>
              <w:shd w:val="clear" w:color="auto" w:fill="auto"/>
              <w:spacing w:after="120" w:line="240" w:lineRule="auto"/>
              <w:ind w:left="18" w:firstLine="0"/>
              <w:jc w:val="center"/>
              <w:rPr>
                <w:rFonts w:ascii="Sylfaen" w:hAnsi="Sylfaen" w:cs="Sylfaen"/>
                <w:sz w:val="20"/>
                <w:szCs w:val="20"/>
              </w:rPr>
            </w:pPr>
            <w:r w:rsidRPr="00066F60">
              <w:rPr>
                <w:rFonts w:ascii="Sylfaen" w:hAnsi="Sylfaen"/>
                <w:sz w:val="20"/>
                <w:szCs w:val="20"/>
              </w:rPr>
              <w:t>արտաքին սնուցման աղբյուրներ՝ բացի ցածրավոլտ աղբյուրներից</w:t>
            </w:r>
          </w:p>
        </w:tc>
        <w:tc>
          <w:tcPr>
            <w:tcW w:w="3163" w:type="dxa"/>
            <w:tcBorders>
              <w:top w:val="single" w:sz="4" w:space="0" w:color="auto"/>
              <w:left w:val="single" w:sz="4" w:space="0" w:color="auto"/>
              <w:right w:val="single" w:sz="4" w:space="0" w:color="auto"/>
            </w:tcBorders>
            <w:shd w:val="clear" w:color="auto" w:fill="FFFFFF"/>
          </w:tcPr>
          <w:p w14:paraId="7DD1C663" w14:textId="77777777" w:rsidR="00CA27E3" w:rsidRPr="00066F60" w:rsidRDefault="00CA27E3" w:rsidP="0077719B">
            <w:pPr>
              <w:pStyle w:val="a4"/>
              <w:shd w:val="clear" w:color="auto" w:fill="auto"/>
              <w:spacing w:after="120" w:line="240" w:lineRule="auto"/>
              <w:ind w:right="193" w:firstLine="0"/>
              <w:jc w:val="center"/>
              <w:rPr>
                <w:rFonts w:ascii="Sylfaen" w:hAnsi="Sylfaen" w:cs="Sylfaen"/>
                <w:sz w:val="20"/>
                <w:szCs w:val="20"/>
              </w:rPr>
            </w:pPr>
            <w:r w:rsidRPr="00066F60">
              <w:rPr>
                <w:rFonts w:ascii="Sylfaen" w:hAnsi="Sylfaen"/>
                <w:sz w:val="20"/>
                <w:szCs w:val="20"/>
              </w:rPr>
              <w:t>ցածրավոլտ արտաքին սնուցման աղբյուրներ</w:t>
            </w:r>
          </w:p>
        </w:tc>
      </w:tr>
      <w:tr w:rsidR="00CA27E3" w:rsidRPr="00066F60" w14:paraId="66BC282B" w14:textId="77777777" w:rsidTr="00CA27E3">
        <w:trPr>
          <w:jc w:val="center"/>
        </w:trPr>
        <w:tc>
          <w:tcPr>
            <w:tcW w:w="3158" w:type="dxa"/>
            <w:tcBorders>
              <w:top w:val="single" w:sz="4" w:space="0" w:color="auto"/>
              <w:left w:val="single" w:sz="4" w:space="0" w:color="auto"/>
            </w:tcBorders>
            <w:shd w:val="clear" w:color="auto" w:fill="FFFFFF"/>
          </w:tcPr>
          <w:p w14:paraId="797D2FDD"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0</w:t>
            </w:r>
            <w:r w:rsidRPr="00066F60">
              <w:rPr>
                <w:rFonts w:ascii="Sylfaen" w:hAnsi="Sylfaen"/>
                <w:sz w:val="20"/>
                <w:szCs w:val="20"/>
              </w:rPr>
              <w:t xml:space="preserve"> ≤ 1,0 Վտ-ի</w:t>
            </w:r>
          </w:p>
        </w:tc>
        <w:tc>
          <w:tcPr>
            <w:tcW w:w="3158" w:type="dxa"/>
            <w:tcBorders>
              <w:top w:val="single" w:sz="4" w:space="0" w:color="auto"/>
              <w:left w:val="single" w:sz="4" w:space="0" w:color="auto"/>
            </w:tcBorders>
            <w:shd w:val="clear" w:color="auto" w:fill="FFFFFF"/>
          </w:tcPr>
          <w:p w14:paraId="52A22F3D"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0,480 × P</w:t>
            </w:r>
            <w:r w:rsidRPr="00066F60">
              <w:rPr>
                <w:rFonts w:ascii="Sylfaen" w:hAnsi="Sylfaen"/>
                <w:sz w:val="20"/>
                <w:szCs w:val="20"/>
                <w:vertAlign w:val="subscript"/>
              </w:rPr>
              <w:t>0</w:t>
            </w:r>
            <w:r w:rsidRPr="00066F60">
              <w:rPr>
                <w:rFonts w:ascii="Sylfaen" w:hAnsi="Sylfaen"/>
                <w:sz w:val="20"/>
                <w:szCs w:val="20"/>
              </w:rPr>
              <w:t>+ 0,140</w:t>
            </w:r>
          </w:p>
        </w:tc>
        <w:tc>
          <w:tcPr>
            <w:tcW w:w="3163" w:type="dxa"/>
            <w:tcBorders>
              <w:top w:val="single" w:sz="4" w:space="0" w:color="auto"/>
              <w:left w:val="single" w:sz="4" w:space="0" w:color="auto"/>
              <w:right w:val="single" w:sz="4" w:space="0" w:color="auto"/>
            </w:tcBorders>
            <w:shd w:val="clear" w:color="auto" w:fill="FFFFFF"/>
          </w:tcPr>
          <w:p w14:paraId="32FB1E0A"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0,497 × P</w:t>
            </w:r>
            <w:r w:rsidRPr="00066F60">
              <w:rPr>
                <w:rFonts w:ascii="Sylfaen" w:hAnsi="Sylfaen"/>
                <w:sz w:val="20"/>
                <w:szCs w:val="20"/>
                <w:vertAlign w:val="subscript"/>
              </w:rPr>
              <w:t>0</w:t>
            </w:r>
            <w:r w:rsidRPr="00066F60">
              <w:rPr>
                <w:rFonts w:ascii="Sylfaen" w:hAnsi="Sylfaen"/>
                <w:sz w:val="20"/>
                <w:szCs w:val="20"/>
              </w:rPr>
              <w:t>+ 0,067</w:t>
            </w:r>
          </w:p>
        </w:tc>
      </w:tr>
      <w:tr w:rsidR="00CA27E3" w:rsidRPr="00066F60" w14:paraId="33C82BBA" w14:textId="77777777" w:rsidTr="00CA27E3">
        <w:trPr>
          <w:jc w:val="center"/>
        </w:trPr>
        <w:tc>
          <w:tcPr>
            <w:tcW w:w="3158" w:type="dxa"/>
            <w:tcBorders>
              <w:top w:val="single" w:sz="4" w:space="0" w:color="auto"/>
              <w:left w:val="single" w:sz="4" w:space="0" w:color="auto"/>
            </w:tcBorders>
            <w:shd w:val="clear" w:color="auto" w:fill="FFFFFF"/>
          </w:tcPr>
          <w:p w14:paraId="5B5DDED9"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1,0 Վտ &lt; P</w:t>
            </w:r>
            <w:r w:rsidRPr="00066F60">
              <w:rPr>
                <w:rFonts w:ascii="Sylfaen" w:hAnsi="Sylfaen"/>
                <w:sz w:val="20"/>
                <w:szCs w:val="20"/>
                <w:vertAlign w:val="subscript"/>
              </w:rPr>
              <w:t>0</w:t>
            </w:r>
            <w:r w:rsidRPr="00066F60">
              <w:rPr>
                <w:rFonts w:ascii="Sylfaen" w:hAnsi="Sylfaen"/>
                <w:sz w:val="20"/>
                <w:szCs w:val="20"/>
              </w:rPr>
              <w:t xml:space="preserve"> ≤ 51,0 Վտ-ի</w:t>
            </w:r>
          </w:p>
        </w:tc>
        <w:tc>
          <w:tcPr>
            <w:tcW w:w="3158" w:type="dxa"/>
            <w:tcBorders>
              <w:top w:val="single" w:sz="4" w:space="0" w:color="auto"/>
              <w:left w:val="single" w:sz="4" w:space="0" w:color="auto"/>
            </w:tcBorders>
            <w:shd w:val="clear" w:color="auto" w:fill="FFFFFF"/>
          </w:tcPr>
          <w:p w14:paraId="3B3B13E2"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0,063 × In (P</w:t>
            </w:r>
            <w:r w:rsidRPr="00066F60">
              <w:rPr>
                <w:rFonts w:ascii="Sylfaen" w:hAnsi="Sylfaen"/>
                <w:sz w:val="20"/>
                <w:szCs w:val="20"/>
                <w:vertAlign w:val="subscript"/>
              </w:rPr>
              <w:t>0</w:t>
            </w:r>
            <w:r w:rsidRPr="00066F60">
              <w:rPr>
                <w:rFonts w:ascii="Sylfaen" w:hAnsi="Sylfaen"/>
                <w:sz w:val="20"/>
                <w:szCs w:val="20"/>
              </w:rPr>
              <w:t>) + 0,622</w:t>
            </w:r>
          </w:p>
        </w:tc>
        <w:tc>
          <w:tcPr>
            <w:tcW w:w="3163" w:type="dxa"/>
            <w:tcBorders>
              <w:top w:val="single" w:sz="4" w:space="0" w:color="auto"/>
              <w:left w:val="single" w:sz="4" w:space="0" w:color="auto"/>
              <w:right w:val="single" w:sz="4" w:space="0" w:color="auto"/>
            </w:tcBorders>
            <w:shd w:val="clear" w:color="auto" w:fill="FFFFFF"/>
          </w:tcPr>
          <w:p w14:paraId="647691E7"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0,075 × In (P</w:t>
            </w:r>
            <w:r w:rsidRPr="00066F60">
              <w:rPr>
                <w:rFonts w:ascii="Sylfaen" w:hAnsi="Sylfaen"/>
                <w:sz w:val="20"/>
                <w:szCs w:val="20"/>
                <w:vertAlign w:val="subscript"/>
              </w:rPr>
              <w:t>0</w:t>
            </w:r>
            <w:r w:rsidRPr="00066F60">
              <w:rPr>
                <w:rFonts w:ascii="Sylfaen" w:hAnsi="Sylfaen"/>
                <w:sz w:val="20"/>
                <w:szCs w:val="20"/>
              </w:rPr>
              <w:t>) + 0,561</w:t>
            </w:r>
          </w:p>
        </w:tc>
      </w:tr>
      <w:tr w:rsidR="00CA27E3" w:rsidRPr="00066F60" w14:paraId="7F329C65" w14:textId="77777777" w:rsidTr="00CA27E3">
        <w:trPr>
          <w:jc w:val="center"/>
        </w:trPr>
        <w:tc>
          <w:tcPr>
            <w:tcW w:w="3158" w:type="dxa"/>
            <w:tcBorders>
              <w:top w:val="single" w:sz="4" w:space="0" w:color="auto"/>
              <w:left w:val="single" w:sz="4" w:space="0" w:color="auto"/>
              <w:bottom w:val="single" w:sz="4" w:space="0" w:color="auto"/>
            </w:tcBorders>
            <w:shd w:val="clear" w:color="auto" w:fill="FFFFFF"/>
          </w:tcPr>
          <w:p w14:paraId="21424C20"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Р</w:t>
            </w:r>
            <w:r w:rsidRPr="00066F60">
              <w:rPr>
                <w:rFonts w:ascii="Sylfaen" w:hAnsi="Sylfaen"/>
                <w:sz w:val="20"/>
                <w:szCs w:val="20"/>
                <w:vertAlign w:val="subscript"/>
              </w:rPr>
              <w:t>0</w:t>
            </w:r>
            <w:r w:rsidRPr="00066F60">
              <w:rPr>
                <w:rFonts w:ascii="Sylfaen" w:hAnsi="Sylfaen"/>
                <w:sz w:val="20"/>
                <w:szCs w:val="20"/>
              </w:rPr>
              <w:t xml:space="preserve"> &gt; 51,0 Վտ-ի</w:t>
            </w:r>
          </w:p>
        </w:tc>
        <w:tc>
          <w:tcPr>
            <w:tcW w:w="3158" w:type="dxa"/>
            <w:tcBorders>
              <w:top w:val="single" w:sz="4" w:space="0" w:color="auto"/>
              <w:left w:val="single" w:sz="4" w:space="0" w:color="auto"/>
              <w:bottom w:val="single" w:sz="4" w:space="0" w:color="auto"/>
            </w:tcBorders>
            <w:shd w:val="clear" w:color="auto" w:fill="FFFFFF"/>
          </w:tcPr>
          <w:p w14:paraId="076F1B08"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0,870</w:t>
            </w:r>
          </w:p>
        </w:tc>
        <w:tc>
          <w:tcPr>
            <w:tcW w:w="3163" w:type="dxa"/>
            <w:tcBorders>
              <w:top w:val="single" w:sz="4" w:space="0" w:color="auto"/>
              <w:left w:val="single" w:sz="4" w:space="0" w:color="auto"/>
              <w:bottom w:val="single" w:sz="4" w:space="0" w:color="auto"/>
              <w:right w:val="single" w:sz="4" w:space="0" w:color="auto"/>
            </w:tcBorders>
            <w:shd w:val="clear" w:color="auto" w:fill="FFFFFF"/>
          </w:tcPr>
          <w:p w14:paraId="4C6CA63F" w14:textId="77777777" w:rsidR="00CA27E3" w:rsidRPr="00066F60" w:rsidRDefault="00CA27E3" w:rsidP="00066F60">
            <w:pPr>
              <w:pStyle w:val="a4"/>
              <w:shd w:val="clear" w:color="auto" w:fill="auto"/>
              <w:spacing w:after="120" w:line="240" w:lineRule="auto"/>
              <w:ind w:firstLine="0"/>
              <w:jc w:val="center"/>
              <w:rPr>
                <w:rFonts w:ascii="Sylfaen" w:hAnsi="Sylfaen" w:cs="Sylfaen"/>
                <w:sz w:val="20"/>
                <w:szCs w:val="20"/>
              </w:rPr>
            </w:pPr>
            <w:r w:rsidRPr="00066F60">
              <w:rPr>
                <w:rFonts w:ascii="Sylfaen" w:hAnsi="Sylfaen"/>
                <w:sz w:val="20"/>
                <w:szCs w:val="20"/>
              </w:rPr>
              <w:t>0,860</w:t>
            </w:r>
          </w:p>
        </w:tc>
      </w:tr>
    </w:tbl>
    <w:p w14:paraId="53A6C2E8" w14:textId="77777777" w:rsidR="00066F60" w:rsidRDefault="00066F60" w:rsidP="00CA27E3">
      <w:pPr>
        <w:pStyle w:val="a0"/>
        <w:shd w:val="clear" w:color="auto" w:fill="auto"/>
        <w:spacing w:after="160"/>
        <w:ind w:firstLine="567"/>
        <w:jc w:val="both"/>
        <w:rPr>
          <w:rFonts w:ascii="Sylfaen" w:hAnsi="Sylfaen"/>
          <w:sz w:val="24"/>
          <w:szCs w:val="24"/>
        </w:rPr>
      </w:pPr>
    </w:p>
    <w:p w14:paraId="3F900DA1" w14:textId="77777777" w:rsidR="00CA27E3" w:rsidRPr="0077719B"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77719B" w:rsidRPr="0077719B">
        <w:rPr>
          <w:rFonts w:ascii="Sylfaen" w:hAnsi="Sylfaen"/>
          <w:sz w:val="24"/>
          <w:szCs w:val="24"/>
        </w:rPr>
        <w:tab/>
      </w:r>
      <w:r w:rsidRPr="00CA27E3">
        <w:rPr>
          <w:rFonts w:ascii="Sylfaen" w:hAnsi="Sylfaen"/>
          <w:sz w:val="24"/>
          <w:szCs w:val="24"/>
        </w:rPr>
        <w:t>0,50-ին Վտ-ին հավասար կամ այն գերազանցող հզորության չափումներն անհրաժեշտ է իրականացնել</w:t>
      </w:r>
      <w:r>
        <w:rPr>
          <w:rFonts w:ascii="Sylfaen" w:hAnsi="Sylfaen"/>
          <w:sz w:val="24"/>
          <w:szCs w:val="24"/>
        </w:rPr>
        <w:t xml:space="preserve"> </w:t>
      </w:r>
      <w:r w:rsidRPr="00CA27E3">
        <w:rPr>
          <w:rFonts w:ascii="Sylfaen" w:hAnsi="Sylfaen"/>
          <w:sz w:val="24"/>
          <w:szCs w:val="24"/>
        </w:rPr>
        <w:t>2 %-ց պակաս կամ դրան հավասար անորոշությամբ՝ 95 % վստահության մակարդակի դեպքում։</w:t>
      </w:r>
      <w:r>
        <w:rPr>
          <w:rFonts w:ascii="Sylfaen" w:hAnsi="Sylfaen"/>
          <w:sz w:val="24"/>
          <w:szCs w:val="24"/>
        </w:rPr>
        <w:t xml:space="preserve"> </w:t>
      </w:r>
    </w:p>
    <w:p w14:paraId="1467C10B" w14:textId="77777777" w:rsidR="0077719B" w:rsidRDefault="00CA27E3" w:rsidP="0077719B">
      <w:pPr>
        <w:pStyle w:val="a0"/>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6.</w:t>
      </w:r>
      <w:r w:rsidR="0077719B" w:rsidRPr="0077719B">
        <w:rPr>
          <w:rFonts w:ascii="Sylfaen" w:hAnsi="Sylfaen"/>
          <w:sz w:val="24"/>
          <w:szCs w:val="24"/>
        </w:rPr>
        <w:tab/>
      </w:r>
      <w:r w:rsidRPr="00CA27E3">
        <w:rPr>
          <w:rFonts w:ascii="Sylfaen" w:hAnsi="Sylfaen"/>
          <w:sz w:val="24"/>
          <w:szCs w:val="24"/>
        </w:rPr>
        <w:t>0,50 Վտ-ից պակաս հզորության չափումները անհրաժեշտ է իրականացնել</w:t>
      </w:r>
      <w:r>
        <w:rPr>
          <w:rFonts w:ascii="Sylfaen" w:hAnsi="Sylfaen"/>
          <w:sz w:val="24"/>
          <w:szCs w:val="24"/>
        </w:rPr>
        <w:t xml:space="preserve"> </w:t>
      </w:r>
      <w:r w:rsidRPr="00CA27E3">
        <w:rPr>
          <w:rFonts w:ascii="Sylfaen" w:hAnsi="Sylfaen"/>
          <w:sz w:val="24"/>
          <w:szCs w:val="24"/>
        </w:rPr>
        <w:t>0,01 Վտ-ից պակաս կամ դրան հավասար</w:t>
      </w:r>
      <w:r>
        <w:rPr>
          <w:rFonts w:ascii="Sylfaen" w:hAnsi="Sylfaen"/>
          <w:sz w:val="24"/>
          <w:szCs w:val="24"/>
        </w:rPr>
        <w:t xml:space="preserve"> </w:t>
      </w:r>
      <w:r w:rsidRPr="00CA27E3">
        <w:rPr>
          <w:rFonts w:ascii="Sylfaen" w:hAnsi="Sylfaen"/>
          <w:sz w:val="24"/>
          <w:szCs w:val="24"/>
        </w:rPr>
        <w:t>անորոշությամբ՝ 95 % վստահության մակարդակի դեպքում։</w:t>
      </w:r>
    </w:p>
    <w:p w14:paraId="6B657785" w14:textId="77777777" w:rsidR="0077719B" w:rsidRDefault="0077719B">
      <w:pPr>
        <w:rPr>
          <w:rFonts w:ascii="Sylfaen" w:eastAsia="Times New Roman" w:hAnsi="Sylfaen" w:cs="Times New Roman"/>
          <w:color w:val="auto"/>
        </w:rPr>
      </w:pPr>
      <w:r>
        <w:rPr>
          <w:rFonts w:ascii="Sylfaen" w:hAnsi="Sylfaen"/>
        </w:rPr>
        <w:br w:type="page"/>
      </w:r>
    </w:p>
    <w:p w14:paraId="2EA70FD2" w14:textId="77777777" w:rsidR="00CA27E3" w:rsidRPr="00CA27E3" w:rsidRDefault="00CA27E3" w:rsidP="00C27E2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7.</w:t>
      </w:r>
      <w:r w:rsidR="0077719B" w:rsidRPr="0077719B">
        <w:rPr>
          <w:rFonts w:ascii="Sylfaen" w:hAnsi="Sylfaen"/>
          <w:sz w:val="24"/>
          <w:szCs w:val="24"/>
        </w:rPr>
        <w:tab/>
      </w:r>
      <w:r w:rsidRPr="00CA27E3">
        <w:rPr>
          <w:rFonts w:ascii="Sylfaen" w:hAnsi="Sylfaen"/>
          <w:sz w:val="24"/>
          <w:szCs w:val="24"/>
        </w:rPr>
        <w:t xml:space="preserve">Տեխնիկական կանոնակարգի 13-րդ կետով նախատեսված՝ արտաքին սնուցման աղբյուրներին կցվող շահագործման փաստաթղթերը պետք է պարունակեն դրանց բնութագրերի </w:t>
      </w:r>
      <w:r>
        <w:rPr>
          <w:rFonts w:ascii="Sylfaen" w:hAnsi="Sylfaen"/>
          <w:sz w:val="24"/>
          <w:szCs w:val="24"/>
        </w:rPr>
        <w:t>եւ</w:t>
      </w:r>
      <w:r w:rsidRPr="00CA27E3">
        <w:rPr>
          <w:rFonts w:ascii="Sylfaen" w:hAnsi="Sylfaen"/>
          <w:sz w:val="24"/>
          <w:szCs w:val="24"/>
        </w:rPr>
        <w:t xml:space="preserve"> պարամետրերի մասին</w:t>
      </w:r>
      <w:r w:rsidR="00C27E22" w:rsidRPr="00C27E22">
        <w:rPr>
          <w:rFonts w:ascii="Sylfaen" w:hAnsi="Sylfaen"/>
          <w:sz w:val="24"/>
          <w:szCs w:val="24"/>
        </w:rPr>
        <w:t xml:space="preserve"> </w:t>
      </w:r>
      <w:r w:rsidRPr="00CA27E3">
        <w:rPr>
          <w:rFonts w:ascii="Sylfaen" w:hAnsi="Sylfaen"/>
          <w:sz w:val="24"/>
          <w:szCs w:val="24"/>
        </w:rPr>
        <w:t>հետ</w:t>
      </w:r>
      <w:r>
        <w:rPr>
          <w:rFonts w:ascii="Sylfaen" w:hAnsi="Sylfaen"/>
          <w:sz w:val="24"/>
          <w:szCs w:val="24"/>
        </w:rPr>
        <w:t>եւ</w:t>
      </w:r>
      <w:r w:rsidRPr="00CA27E3">
        <w:rPr>
          <w:rFonts w:ascii="Sylfaen" w:hAnsi="Sylfaen"/>
          <w:sz w:val="24"/>
          <w:szCs w:val="24"/>
        </w:rPr>
        <w:t>յալ տեղեկությունները՝</w:t>
      </w:r>
    </w:p>
    <w:p w14:paraId="5A16B159" w14:textId="77777777" w:rsidR="00CA27E3" w:rsidRPr="00CA27E3"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ա)</w:t>
      </w:r>
      <w:r w:rsidR="0077719B" w:rsidRPr="0077719B">
        <w:rPr>
          <w:rFonts w:ascii="Sylfaen" w:hAnsi="Sylfaen"/>
          <w:sz w:val="24"/>
          <w:szCs w:val="24"/>
        </w:rPr>
        <w:tab/>
      </w:r>
      <w:r w:rsidRPr="00CA27E3">
        <w:rPr>
          <w:rFonts w:ascii="Sylfaen" w:hAnsi="Sylfaen"/>
          <w:sz w:val="24"/>
          <w:szCs w:val="24"/>
        </w:rPr>
        <w:t xml:space="preserve">անվանական մուտքային լարումը. </w:t>
      </w:r>
    </w:p>
    <w:p w14:paraId="339E76CE" w14:textId="77777777" w:rsidR="00CA27E3" w:rsidRPr="00CA27E3"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բ)</w:t>
      </w:r>
      <w:r w:rsidR="0077719B" w:rsidRPr="0077719B">
        <w:rPr>
          <w:rFonts w:ascii="Sylfaen" w:hAnsi="Sylfaen"/>
          <w:sz w:val="24"/>
          <w:szCs w:val="24"/>
        </w:rPr>
        <w:tab/>
      </w:r>
      <w:r w:rsidRPr="00CA27E3">
        <w:rPr>
          <w:rFonts w:ascii="Sylfaen" w:hAnsi="Sylfaen"/>
          <w:sz w:val="24"/>
          <w:szCs w:val="24"/>
        </w:rPr>
        <w:t>անվանական ելքային լարումը.</w:t>
      </w:r>
    </w:p>
    <w:p w14:paraId="61407DA6" w14:textId="77777777" w:rsidR="00CA27E3" w:rsidRPr="00CA27E3"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գ)</w:t>
      </w:r>
      <w:r w:rsidR="0077719B" w:rsidRPr="0077719B">
        <w:rPr>
          <w:rFonts w:ascii="Sylfaen" w:hAnsi="Sylfaen"/>
          <w:sz w:val="24"/>
          <w:szCs w:val="24"/>
        </w:rPr>
        <w:tab/>
      </w:r>
      <w:r w:rsidRPr="00CA27E3">
        <w:rPr>
          <w:rFonts w:ascii="Sylfaen" w:hAnsi="Sylfaen"/>
          <w:sz w:val="24"/>
          <w:szCs w:val="24"/>
        </w:rPr>
        <w:t>անվանական ելքային հզորությունը.</w:t>
      </w:r>
    </w:p>
    <w:p w14:paraId="022127B8" w14:textId="77777777" w:rsidR="00CA27E3" w:rsidRPr="00CA27E3"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դ)</w:t>
      </w:r>
      <w:r w:rsidR="0077719B" w:rsidRPr="0077719B">
        <w:rPr>
          <w:rFonts w:ascii="Sylfaen" w:hAnsi="Sylfaen"/>
          <w:sz w:val="24"/>
          <w:szCs w:val="24"/>
        </w:rPr>
        <w:tab/>
      </w:r>
      <w:r w:rsidRPr="00CA27E3">
        <w:rPr>
          <w:rFonts w:ascii="Sylfaen" w:hAnsi="Sylfaen"/>
          <w:sz w:val="24"/>
          <w:szCs w:val="24"/>
        </w:rPr>
        <w:t>պարապ ընթացքի ռեժիմում էներգասպառումը.</w:t>
      </w:r>
    </w:p>
    <w:p w14:paraId="4CFD6C39" w14:textId="77777777" w:rsidR="00CA27E3" w:rsidRPr="00CA27E3"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ե)</w:t>
      </w:r>
      <w:r w:rsidR="0077719B" w:rsidRPr="0077719B">
        <w:rPr>
          <w:rFonts w:ascii="Sylfaen" w:hAnsi="Sylfaen"/>
          <w:sz w:val="24"/>
          <w:szCs w:val="24"/>
        </w:rPr>
        <w:tab/>
      </w:r>
      <w:r w:rsidRPr="00CA27E3">
        <w:rPr>
          <w:rFonts w:ascii="Sylfaen" w:hAnsi="Sylfaen"/>
          <w:sz w:val="24"/>
          <w:szCs w:val="24"/>
        </w:rPr>
        <w:t>ՕԳԳ-ն.</w:t>
      </w:r>
    </w:p>
    <w:p w14:paraId="312DB142" w14:textId="77777777" w:rsidR="00CA27E3" w:rsidRPr="00CA27E3"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զ)</w:t>
      </w:r>
      <w:r w:rsidR="0077719B" w:rsidRPr="0077719B">
        <w:rPr>
          <w:rFonts w:ascii="Sylfaen" w:hAnsi="Sylfaen"/>
          <w:sz w:val="24"/>
          <w:szCs w:val="24"/>
        </w:rPr>
        <w:tab/>
      </w:r>
      <w:r w:rsidRPr="00CA27E3">
        <w:rPr>
          <w:rFonts w:ascii="Sylfaen" w:hAnsi="Sylfaen"/>
          <w:sz w:val="24"/>
          <w:szCs w:val="24"/>
        </w:rPr>
        <w:t>ՕԳԳ-ի միջին արժեքը։</w:t>
      </w:r>
    </w:p>
    <w:p w14:paraId="40F606B2" w14:textId="77777777" w:rsidR="00CA27E3" w:rsidRPr="00C27E22" w:rsidRDefault="00CA27E3" w:rsidP="0077719B">
      <w:pPr>
        <w:pStyle w:val="a0"/>
        <w:shd w:val="clear" w:color="auto" w:fill="auto"/>
        <w:tabs>
          <w:tab w:val="left" w:pos="1134"/>
        </w:tabs>
        <w:spacing w:after="160" w:line="348" w:lineRule="auto"/>
        <w:ind w:firstLine="567"/>
        <w:jc w:val="both"/>
        <w:rPr>
          <w:rFonts w:ascii="Sylfaen" w:hAnsi="Sylfaen" w:cs="Sylfaen"/>
          <w:sz w:val="24"/>
          <w:szCs w:val="24"/>
        </w:rPr>
      </w:pPr>
      <w:r w:rsidRPr="00CA27E3">
        <w:rPr>
          <w:rFonts w:ascii="Sylfaen" w:hAnsi="Sylfaen"/>
          <w:sz w:val="24"/>
          <w:szCs w:val="24"/>
        </w:rPr>
        <w:t>8.</w:t>
      </w:r>
      <w:r w:rsidR="0077719B" w:rsidRPr="0077719B">
        <w:rPr>
          <w:rFonts w:ascii="Sylfaen" w:hAnsi="Sylfaen"/>
          <w:sz w:val="24"/>
          <w:szCs w:val="24"/>
        </w:rPr>
        <w:tab/>
      </w:r>
      <w:r w:rsidRPr="00CA27E3">
        <w:rPr>
          <w:rFonts w:ascii="Sylfaen" w:hAnsi="Sylfaen"/>
          <w:sz w:val="24"/>
          <w:szCs w:val="24"/>
        </w:rPr>
        <w:t>Տեխնիկական կանոնակարգի 23-րդ կետի «ա» ենթակետում նշված՝ արտաքին սնուցման աղբյուրների համար կցվող փաստաթղթերի փաթեթում պետք է լրացուցիչ ներառվեն հետ</w:t>
      </w:r>
      <w:r>
        <w:rPr>
          <w:rFonts w:ascii="Sylfaen" w:hAnsi="Sylfaen"/>
          <w:sz w:val="24"/>
          <w:szCs w:val="24"/>
        </w:rPr>
        <w:t>եւ</w:t>
      </w:r>
      <w:r w:rsidRPr="00CA27E3">
        <w:rPr>
          <w:rFonts w:ascii="Sylfaen" w:hAnsi="Sylfaen"/>
          <w:sz w:val="24"/>
          <w:szCs w:val="24"/>
        </w:rPr>
        <w:t>յալ տեղեկությունները՝</w:t>
      </w:r>
      <w:r>
        <w:rPr>
          <w:rFonts w:ascii="Sylfaen" w:hAnsi="Sylfaen"/>
          <w:sz w:val="24"/>
          <w:szCs w:val="24"/>
        </w:rPr>
        <w:t xml:space="preserve"> </w:t>
      </w:r>
    </w:p>
    <w:p w14:paraId="396BACB6" w14:textId="77777777" w:rsidR="00CA27E3" w:rsidRPr="00CA27E3" w:rsidRDefault="00CA27E3" w:rsidP="0077719B">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էներգասպառումը փորձարկելու (չափելու ) համար կիրառվող մեթոդները.</w:t>
      </w:r>
    </w:p>
    <w:p w14:paraId="72CD97FB" w14:textId="77777777" w:rsidR="00CA27E3" w:rsidRPr="00CA27E3" w:rsidRDefault="00CA27E3" w:rsidP="0077719B">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ելքային հոսանքի (Մա-ով) </w:t>
      </w:r>
      <w:r>
        <w:rPr>
          <w:rFonts w:ascii="Sylfaen" w:hAnsi="Sylfaen"/>
          <w:sz w:val="24"/>
          <w:szCs w:val="24"/>
        </w:rPr>
        <w:t>եւ</w:t>
      </w:r>
      <w:r w:rsidRPr="00CA27E3">
        <w:rPr>
          <w:rFonts w:ascii="Sylfaen" w:hAnsi="Sylfaen"/>
          <w:sz w:val="24"/>
          <w:szCs w:val="24"/>
        </w:rPr>
        <w:t xml:space="preserve"> ելքային լարման (Վ-ով) միջին քառակուսային արժեքները (25 ± 2) %, (50 ± 2) %, (75 ± 2) % </w:t>
      </w:r>
      <w:r>
        <w:rPr>
          <w:rFonts w:ascii="Sylfaen" w:hAnsi="Sylfaen"/>
          <w:sz w:val="24"/>
          <w:szCs w:val="24"/>
        </w:rPr>
        <w:t>եւ</w:t>
      </w:r>
      <w:r w:rsidRPr="00CA27E3">
        <w:rPr>
          <w:rFonts w:ascii="Sylfaen" w:hAnsi="Sylfaen"/>
          <w:sz w:val="24"/>
          <w:szCs w:val="24"/>
        </w:rPr>
        <w:t xml:space="preserve"> (100 ± 2) % անվանական ելքային հոսանքի համար.</w:t>
      </w:r>
    </w:p>
    <w:p w14:paraId="544C7E87" w14:textId="77777777" w:rsidR="00CA27E3" w:rsidRPr="00CA27E3" w:rsidRDefault="00CA27E3" w:rsidP="0077719B">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ակտիվ ռեժիմում ելքային հզորության </w:t>
      </w:r>
      <w:r>
        <w:rPr>
          <w:rFonts w:ascii="Sylfaen" w:hAnsi="Sylfaen"/>
          <w:sz w:val="24"/>
          <w:szCs w:val="24"/>
        </w:rPr>
        <w:t>եւ</w:t>
      </w:r>
      <w:r w:rsidRPr="00CA27E3">
        <w:rPr>
          <w:rFonts w:ascii="Sylfaen" w:hAnsi="Sylfaen"/>
          <w:sz w:val="24"/>
          <w:szCs w:val="24"/>
        </w:rPr>
        <w:t xml:space="preserve"> սպառվող հզորության արժեքները (25 ± 2) %, (50 ± 2) %, (75 ± 2) % </w:t>
      </w:r>
      <w:r>
        <w:rPr>
          <w:rFonts w:ascii="Sylfaen" w:hAnsi="Sylfaen"/>
          <w:sz w:val="24"/>
          <w:szCs w:val="24"/>
        </w:rPr>
        <w:t>եւ</w:t>
      </w:r>
      <w:r w:rsidRPr="00CA27E3">
        <w:rPr>
          <w:rFonts w:ascii="Sylfaen" w:hAnsi="Sylfaen"/>
          <w:sz w:val="24"/>
          <w:szCs w:val="24"/>
        </w:rPr>
        <w:t xml:space="preserve"> (100 ± 2) % անվանական ելքային հոսանքի դեպքում.</w:t>
      </w:r>
    </w:p>
    <w:p w14:paraId="159EF51C" w14:textId="77777777" w:rsidR="00CA27E3" w:rsidRPr="00CA27E3" w:rsidRDefault="00CA27E3" w:rsidP="0077719B">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մուտքային լարման (Վ-ով) </w:t>
      </w:r>
      <w:r>
        <w:rPr>
          <w:rFonts w:ascii="Sylfaen" w:hAnsi="Sylfaen"/>
          <w:sz w:val="24"/>
          <w:szCs w:val="24"/>
        </w:rPr>
        <w:t>եւ</w:t>
      </w:r>
      <w:r w:rsidRPr="00CA27E3">
        <w:rPr>
          <w:rFonts w:ascii="Sylfaen" w:hAnsi="Sylfaen"/>
          <w:sz w:val="24"/>
          <w:szCs w:val="24"/>
        </w:rPr>
        <w:t xml:space="preserve"> մուտքային հզորության (Վ-ով) միջին </w:t>
      </w:r>
      <w:r w:rsidRPr="00C27E22">
        <w:rPr>
          <w:rFonts w:ascii="Sylfaen" w:hAnsi="Sylfaen"/>
          <w:spacing w:val="-6"/>
          <w:sz w:val="24"/>
          <w:szCs w:val="24"/>
        </w:rPr>
        <w:t>քառակուսային արժեքները 0 % (առանց բեռնվածքի), (25 ± 2) %, (50 ± 2) %, (75 ± 2) % եւ (100</w:t>
      </w:r>
      <w:r w:rsidRPr="00CA27E3">
        <w:rPr>
          <w:rFonts w:ascii="Sylfaen" w:hAnsi="Sylfaen"/>
          <w:sz w:val="24"/>
          <w:szCs w:val="24"/>
        </w:rPr>
        <w:t xml:space="preserve"> ± 2) % անվանական ելքային հոսանքի դեպքում.</w:t>
      </w:r>
    </w:p>
    <w:p w14:paraId="0E2DF483" w14:textId="77777777" w:rsidR="00CA27E3" w:rsidRPr="00CA27E3" w:rsidRDefault="00CA27E3" w:rsidP="0077719B">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էլեկտրասնուցման ցանցի ներդաշնակ բաղադրիչների գումարային գործակիցը </w:t>
      </w:r>
      <w:r>
        <w:rPr>
          <w:rFonts w:ascii="Sylfaen" w:hAnsi="Sylfaen"/>
          <w:sz w:val="24"/>
          <w:szCs w:val="24"/>
        </w:rPr>
        <w:t>եւ</w:t>
      </w:r>
      <w:r w:rsidRPr="00CA27E3">
        <w:rPr>
          <w:rFonts w:ascii="Sylfaen" w:hAnsi="Sylfaen"/>
          <w:sz w:val="24"/>
          <w:szCs w:val="24"/>
        </w:rPr>
        <w:t xml:space="preserve"> հզորության իրական գործակիցը 0 % (առանց բեռնվածքի), (25 ± 2) %, (50 ± 2) %, (75 ± 2) % </w:t>
      </w:r>
      <w:r>
        <w:rPr>
          <w:rFonts w:ascii="Sylfaen" w:hAnsi="Sylfaen"/>
          <w:sz w:val="24"/>
          <w:szCs w:val="24"/>
        </w:rPr>
        <w:t>եւ</w:t>
      </w:r>
      <w:r w:rsidRPr="00CA27E3">
        <w:rPr>
          <w:rFonts w:ascii="Sylfaen" w:hAnsi="Sylfaen"/>
          <w:sz w:val="24"/>
          <w:szCs w:val="24"/>
        </w:rPr>
        <w:t xml:space="preserve"> (100 ± 2) % անվանական ելքային հոսանքի դեպքում:</w:t>
      </w:r>
    </w:p>
    <w:p w14:paraId="140A080E" w14:textId="77777777" w:rsidR="00CA27E3" w:rsidRPr="00CA27E3" w:rsidRDefault="00CA27E3" w:rsidP="00CA27E3">
      <w:pPr>
        <w:pStyle w:val="a0"/>
        <w:shd w:val="clear" w:color="auto" w:fill="auto"/>
        <w:spacing w:after="160"/>
        <w:ind w:left="567" w:right="559" w:firstLine="0"/>
        <w:jc w:val="center"/>
        <w:rPr>
          <w:rFonts w:ascii="Sylfaen" w:hAnsi="Sylfaen" w:cs="Sylfaen"/>
          <w:sz w:val="24"/>
          <w:szCs w:val="24"/>
        </w:rPr>
      </w:pPr>
      <w:r w:rsidRPr="00CA27E3">
        <w:rPr>
          <w:rFonts w:ascii="Sylfaen" w:hAnsi="Sylfaen"/>
          <w:sz w:val="24"/>
          <w:szCs w:val="24"/>
        </w:rPr>
        <w:lastRenderedPageBreak/>
        <w:t>IV. Արտաքին սնուցման աղբյուրների էներգետիկ արդյունավետության պարամետրերի թույլատրելի շեղումները դրանց շրջանառության դրվելուց հետո փորձարկումներ (չափումներ) անցկացնելիս</w:t>
      </w:r>
    </w:p>
    <w:p w14:paraId="5FE3B8FB" w14:textId="77777777" w:rsidR="00CA27E3" w:rsidRPr="00CA27E3" w:rsidRDefault="00CA27E3" w:rsidP="0077719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77719B" w:rsidRPr="0077719B">
        <w:rPr>
          <w:rFonts w:ascii="Sylfaen" w:hAnsi="Sylfaen"/>
          <w:sz w:val="24"/>
          <w:szCs w:val="24"/>
        </w:rPr>
        <w:tab/>
      </w:r>
      <w:r w:rsidRPr="00CA27E3">
        <w:rPr>
          <w:rFonts w:ascii="Sylfaen" w:hAnsi="Sylfaen"/>
          <w:sz w:val="24"/>
          <w:szCs w:val="24"/>
        </w:rPr>
        <w:t xml:space="preserve">Արտաքին սնուցման աղբյուրները շրջանառության մեջ դնելուց հետո դրանց փորձարկումներ (չափումներ) անցկացնելիս պետք է փորձարկվի արտաքին սնուցման աղբյուրի յուրաքանչյուր մոդելի արտաքին սնուցման աղբյուրի 1 տիպային նմուշ (օրինակ)։ </w:t>
      </w:r>
    </w:p>
    <w:p w14:paraId="3E3C625B" w14:textId="77777777" w:rsidR="00CA27E3" w:rsidRPr="0077719B"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Արտաքին սնուցման աղբյուրի մոդելը համարվում է սույն պայմաններին համապատասխանող, եթե պարապ ընթացքի ռեժիմում սպառվող հզորությունը չի գերազանցում սույն պայմանների 3-րդ կետով սահմանված թույլատրելի սահմանային արժեքն ավելի քան 0,10 Վտ-ով, իսկ ՕԳԳ-ի միջին արժեքը սույն պայմանների 4-րդ կետով սահմանված թույլատրելի սահմանային արժեքից ավելի քան 5 % -ով ցածր չէ։</w:t>
      </w:r>
      <w:r>
        <w:rPr>
          <w:rFonts w:ascii="Sylfaen" w:hAnsi="Sylfaen"/>
          <w:sz w:val="24"/>
          <w:szCs w:val="24"/>
        </w:rPr>
        <w:t xml:space="preserve"> </w:t>
      </w:r>
    </w:p>
    <w:p w14:paraId="2D96097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ստացված արժեքները չեն համապատասխանում նշված արժեքներին, ապա փորձարկումները (չափումները) անհրաժեշտ է անցկացնել տվյալ մոդելի արտաքին սնուցման աղբյուրի 3 լրացուցիչ նմուշների նկատմամբ։ Արտաքին սնուցման աղբյուրի մոդելը համարվում է սույն պայմաններին համապատասխանող, եթե այս 3 նմուշների չափումների արդյունքների միջին արժեքը չի գերազանցում սույն կետի երկրորդ պարբերությունում նշված սահմանային արժեքներն ավելի քան մեկ արժեքով։</w:t>
      </w:r>
    </w:p>
    <w:p w14:paraId="6FF6BE60" w14:textId="77777777" w:rsidR="00CA27E3" w:rsidRPr="00DC5495"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Այլ դեպքերում արտաքին սնուցման աղբյուրի տվյալ մոդելը անհրաժեշտ է դիտարկել որպես տեխնիկական կանոնակարգի պահանջներին չհամապատասխանող։</w:t>
      </w:r>
    </w:p>
    <w:p w14:paraId="67F24B07" w14:textId="77777777" w:rsidR="0077719B" w:rsidRPr="00003F9A" w:rsidRDefault="0077719B" w:rsidP="0077719B">
      <w:pPr>
        <w:pStyle w:val="a0"/>
        <w:shd w:val="clear" w:color="auto" w:fill="auto"/>
        <w:spacing w:after="160"/>
        <w:ind w:firstLine="0"/>
        <w:jc w:val="center"/>
        <w:rPr>
          <w:rFonts w:ascii="Sylfaen" w:hAnsi="Sylfaen"/>
          <w:sz w:val="24"/>
          <w:szCs w:val="24"/>
        </w:rPr>
      </w:pPr>
      <w:r w:rsidRPr="00003F9A">
        <w:rPr>
          <w:rFonts w:ascii="Sylfaen" w:hAnsi="Sylfaen"/>
          <w:sz w:val="24"/>
          <w:szCs w:val="24"/>
        </w:rPr>
        <w:t>_____________</w:t>
      </w:r>
    </w:p>
    <w:p w14:paraId="553549F2" w14:textId="77777777" w:rsidR="00066F60" w:rsidRDefault="00066F60" w:rsidP="00CA27E3">
      <w:pPr>
        <w:pStyle w:val="a0"/>
        <w:shd w:val="clear" w:color="auto" w:fill="auto"/>
        <w:spacing w:after="160"/>
        <w:ind w:firstLine="567"/>
        <w:jc w:val="both"/>
        <w:rPr>
          <w:rFonts w:ascii="Sylfaen" w:hAnsi="Sylfaen"/>
          <w:sz w:val="24"/>
          <w:szCs w:val="24"/>
        </w:rPr>
      </w:pPr>
    </w:p>
    <w:p w14:paraId="7862B329" w14:textId="77777777" w:rsidR="00066F60" w:rsidRDefault="00066F60" w:rsidP="00CA27E3">
      <w:pPr>
        <w:pStyle w:val="a0"/>
        <w:shd w:val="clear" w:color="auto" w:fill="auto"/>
        <w:spacing w:after="160"/>
        <w:ind w:firstLine="567"/>
        <w:jc w:val="both"/>
        <w:rPr>
          <w:rFonts w:ascii="Sylfaen" w:hAnsi="Sylfaen" w:cs="Sylfaen"/>
          <w:sz w:val="24"/>
          <w:szCs w:val="24"/>
        </w:rPr>
        <w:sectPr w:rsidR="00066F60" w:rsidSect="0027701C">
          <w:pgSz w:w="11907" w:h="16840" w:code="9"/>
          <w:pgMar w:top="1418" w:right="1418" w:bottom="1418" w:left="1418" w:header="0" w:footer="538" w:gutter="0"/>
          <w:pgNumType w:start="1"/>
          <w:cols w:space="720"/>
          <w:noEndnote/>
          <w:titlePg/>
          <w:docGrid w:linePitch="360"/>
        </w:sectPr>
      </w:pPr>
    </w:p>
    <w:p w14:paraId="7D801B76" w14:textId="77777777" w:rsidR="00CA27E3" w:rsidRPr="00CA27E3" w:rsidRDefault="00CA27E3" w:rsidP="00D303C2">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11</w:t>
      </w:r>
    </w:p>
    <w:p w14:paraId="36AA698A" w14:textId="77777777" w:rsidR="00CA27E3" w:rsidRPr="00CA27E3" w:rsidRDefault="00CA27E3" w:rsidP="00D303C2">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t xml:space="preserve">Եվրասիական տնտեսական </w:t>
      </w:r>
      <w:r w:rsidR="00C27E22" w:rsidRPr="00C27E22">
        <w:rPr>
          <w:rFonts w:ascii="Sylfaen" w:hAnsi="Sylfaen"/>
          <w:sz w:val="24"/>
          <w:szCs w:val="24"/>
        </w:rPr>
        <w:br/>
      </w:r>
      <w:r w:rsidRPr="00CA27E3">
        <w:rPr>
          <w:rFonts w:ascii="Sylfaen" w:hAnsi="Sylfaen"/>
          <w:sz w:val="24"/>
          <w:szCs w:val="24"/>
        </w:rPr>
        <w:t>միության տեխնիկական կանոնակարգի</w:t>
      </w:r>
      <w:r w:rsidR="00D303C2" w:rsidRPr="00D303C2">
        <w:rPr>
          <w:rFonts w:ascii="Sylfaen" w:hAnsi="Sylfaen"/>
          <w:sz w:val="24"/>
          <w:szCs w:val="24"/>
        </w:rPr>
        <w:t xml:space="preserve"> </w:t>
      </w:r>
      <w:r w:rsidRPr="00CA27E3">
        <w:rPr>
          <w:rFonts w:ascii="Sylfaen" w:hAnsi="Sylfaen"/>
          <w:sz w:val="24"/>
          <w:szCs w:val="24"/>
        </w:rPr>
        <w:t>«Էներգասպառող սարքվածքների էներգետիկ արդյունավետությանը ներկայացվող պահանջների մասին» (ԵԱՏՄ ՏԿ</w:t>
      </w:r>
      <w:r w:rsidR="00D303C2" w:rsidRPr="00D303C2">
        <w:rPr>
          <w:rFonts w:ascii="Sylfaen" w:hAnsi="Sylfaen"/>
          <w:sz w:val="24"/>
          <w:szCs w:val="24"/>
        </w:rPr>
        <w:tab/>
      </w:r>
      <w:r w:rsidRPr="00CA27E3">
        <w:rPr>
          <w:rFonts w:ascii="Sylfaen" w:hAnsi="Sylfaen"/>
          <w:sz w:val="24"/>
          <w:szCs w:val="24"/>
        </w:rPr>
        <w:t>/20</w:t>
      </w:r>
      <w:r w:rsidR="00D303C2" w:rsidRPr="00D303C2">
        <w:rPr>
          <w:rFonts w:ascii="Sylfaen" w:hAnsi="Sylfaen"/>
          <w:sz w:val="24"/>
          <w:szCs w:val="24"/>
        </w:rPr>
        <w:tab/>
      </w:r>
      <w:r w:rsidRPr="00CA27E3">
        <w:rPr>
          <w:rFonts w:ascii="Sylfaen" w:hAnsi="Sylfaen"/>
          <w:sz w:val="24"/>
          <w:szCs w:val="24"/>
        </w:rPr>
        <w:t>)</w:t>
      </w:r>
    </w:p>
    <w:p w14:paraId="429FADB9" w14:textId="77777777" w:rsidR="00CA27E3" w:rsidRPr="00CA27E3" w:rsidRDefault="00CA27E3" w:rsidP="00CA27E3">
      <w:pPr>
        <w:pStyle w:val="11"/>
        <w:shd w:val="clear" w:color="auto" w:fill="auto"/>
        <w:spacing w:after="160" w:line="360" w:lineRule="auto"/>
        <w:outlineLvl w:val="9"/>
        <w:rPr>
          <w:rFonts w:ascii="Sylfaen" w:hAnsi="Sylfaen" w:cs="Sylfaen"/>
          <w:sz w:val="24"/>
          <w:szCs w:val="24"/>
        </w:rPr>
      </w:pPr>
    </w:p>
    <w:p w14:paraId="02D85CD7" w14:textId="77777777" w:rsidR="00CA27E3" w:rsidRPr="00CA27E3" w:rsidRDefault="00CA27E3" w:rsidP="00D303C2">
      <w:pPr>
        <w:pStyle w:val="11"/>
        <w:shd w:val="clear" w:color="auto" w:fill="auto"/>
        <w:spacing w:after="160" w:line="360" w:lineRule="auto"/>
        <w:ind w:left="567" w:right="566"/>
        <w:outlineLvl w:val="9"/>
        <w:rPr>
          <w:rFonts w:ascii="Sylfaen" w:hAnsi="Sylfaen" w:cs="Sylfaen"/>
          <w:sz w:val="24"/>
          <w:szCs w:val="24"/>
        </w:rPr>
      </w:pPr>
      <w:r w:rsidRPr="00CA27E3">
        <w:rPr>
          <w:rFonts w:ascii="Sylfaen" w:hAnsi="Sylfaen"/>
          <w:sz w:val="24"/>
          <w:szCs w:val="24"/>
        </w:rPr>
        <w:t>ՊԱՀԱՆՋՆԵՐ</w:t>
      </w:r>
    </w:p>
    <w:p w14:paraId="416E5449" w14:textId="77777777" w:rsidR="00CA27E3" w:rsidRPr="00CA27E3" w:rsidRDefault="00CA27E3" w:rsidP="00D303C2">
      <w:pPr>
        <w:pStyle w:val="11"/>
        <w:shd w:val="clear" w:color="auto" w:fill="auto"/>
        <w:spacing w:after="160" w:line="360" w:lineRule="auto"/>
        <w:ind w:left="567" w:right="566"/>
        <w:outlineLvl w:val="9"/>
        <w:rPr>
          <w:rFonts w:ascii="Sylfaen" w:hAnsi="Sylfaen" w:cs="Sylfaen"/>
          <w:sz w:val="24"/>
          <w:szCs w:val="24"/>
        </w:rPr>
      </w:pPr>
      <w:r w:rsidRPr="00CA27E3">
        <w:rPr>
          <w:rFonts w:ascii="Sylfaen" w:hAnsi="Sylfaen"/>
          <w:sz w:val="24"/>
          <w:szCs w:val="24"/>
        </w:rPr>
        <w:t>շրջանառու պոմպերի էներգետիկ արդյունավետությանը ներկայացվող</w:t>
      </w:r>
    </w:p>
    <w:p w14:paraId="40A4467E"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793135A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 Կիրառության ոլորտը</w:t>
      </w:r>
    </w:p>
    <w:p w14:paraId="6FE508E2"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D303C2" w:rsidRPr="00D303C2">
        <w:rPr>
          <w:rFonts w:ascii="Sylfaen" w:hAnsi="Sylfaen"/>
          <w:sz w:val="24"/>
          <w:szCs w:val="24"/>
        </w:rPr>
        <w:tab/>
      </w:r>
      <w:r w:rsidRPr="00CA27E3">
        <w:rPr>
          <w:rFonts w:ascii="Sylfaen" w:hAnsi="Sylfaen"/>
          <w:sz w:val="24"/>
          <w:szCs w:val="24"/>
        </w:rPr>
        <w:t xml:space="preserve">Սույն պայմանները տարածվում են Եվրասիական տնտեսական միության (այսուհետ՝ Միություն) մաքսային տարածքում շրջանառության մեջ դրվող հերմետիկ (անխցուկային) ինքնավար </w:t>
      </w:r>
      <w:r>
        <w:rPr>
          <w:rFonts w:ascii="Sylfaen" w:hAnsi="Sylfaen"/>
          <w:sz w:val="24"/>
          <w:szCs w:val="24"/>
        </w:rPr>
        <w:t>եւ</w:t>
      </w:r>
      <w:r w:rsidRPr="00CA27E3">
        <w:rPr>
          <w:rFonts w:ascii="Sylfaen" w:hAnsi="Sylfaen"/>
          <w:sz w:val="24"/>
          <w:szCs w:val="24"/>
        </w:rPr>
        <w:t xml:space="preserve"> ինտեգրված (այլ սարքավորման մեջ ներկառուցված) շրջանառու պոմպերի վրա՝ բացառությամբ հետ</w:t>
      </w:r>
      <w:r>
        <w:rPr>
          <w:rFonts w:ascii="Sylfaen" w:hAnsi="Sylfaen"/>
          <w:sz w:val="24"/>
          <w:szCs w:val="24"/>
        </w:rPr>
        <w:t>եւ</w:t>
      </w:r>
      <w:r w:rsidRPr="00CA27E3">
        <w:rPr>
          <w:rFonts w:ascii="Sylfaen" w:hAnsi="Sylfaen"/>
          <w:sz w:val="24"/>
          <w:szCs w:val="24"/>
        </w:rPr>
        <w:t xml:space="preserve">յալ շրջանառու պոմպերի՝ </w:t>
      </w:r>
    </w:p>
    <w:p w14:paraId="4092BA9E"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 xml:space="preserve">խմելու ջրի համար, որոնց փաթեթվածքի վրա </w:t>
      </w:r>
      <w:r>
        <w:rPr>
          <w:rFonts w:ascii="Sylfaen" w:hAnsi="Sylfaen"/>
          <w:sz w:val="24"/>
          <w:szCs w:val="24"/>
        </w:rPr>
        <w:t>եւ</w:t>
      </w:r>
      <w:r w:rsidRPr="00CA27E3">
        <w:rPr>
          <w:rFonts w:ascii="Sylfaen" w:hAnsi="Sylfaen"/>
          <w:sz w:val="24"/>
          <w:szCs w:val="24"/>
        </w:rPr>
        <w:t xml:space="preserve"> դրանց կից ներկայացվող շահագործման փաստաթղթերում առկա է նշում առ այն, որ տվյալ շրջանառու պոմպը նախատեսված է միայն խմելու ջրի համար. </w:t>
      </w:r>
    </w:p>
    <w:p w14:paraId="580E0442" w14:textId="77777777" w:rsidR="00CA27E3" w:rsidRPr="00CA27E3" w:rsidRDefault="00CA27E3" w:rsidP="00C27E22">
      <w:pPr>
        <w:pStyle w:val="a0"/>
        <w:shd w:val="clear" w:color="auto" w:fill="auto"/>
        <w:tabs>
          <w:tab w:val="left" w:pos="1134"/>
          <w:tab w:val="left" w:pos="8222"/>
          <w:tab w:val="left" w:pos="8931"/>
        </w:tabs>
        <w:spacing w:after="160" w:line="350" w:lineRule="auto"/>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որոնք շրջանառության մեջ են դրվում Եվրասիական տնտեսական միության</w:t>
      </w:r>
      <w:r>
        <w:rPr>
          <w:rFonts w:ascii="Sylfaen" w:hAnsi="Sylfaen"/>
          <w:sz w:val="24"/>
          <w:szCs w:val="24"/>
        </w:rPr>
        <w:t xml:space="preserve"> </w:t>
      </w:r>
      <w:r w:rsidRPr="00CA27E3">
        <w:rPr>
          <w:rFonts w:ascii="Sylfaen" w:hAnsi="Sylfaen"/>
          <w:sz w:val="24"/>
          <w:szCs w:val="24"/>
        </w:rPr>
        <w:t>մաքսային տարածքում «Էներգասպառող սարքվածքների էներգետիկ արդյունավետությանը ներկայացվող պահանջների մասին» (ԵԱՏՄ ՏԿ</w:t>
      </w:r>
      <w:r w:rsidR="00D303C2" w:rsidRPr="00D303C2">
        <w:rPr>
          <w:rFonts w:ascii="Sylfaen" w:hAnsi="Sylfaen"/>
          <w:sz w:val="24"/>
          <w:szCs w:val="24"/>
        </w:rPr>
        <w:tab/>
      </w:r>
      <w:r w:rsidRPr="00CA27E3">
        <w:rPr>
          <w:rFonts w:ascii="Sylfaen" w:hAnsi="Sylfaen"/>
          <w:sz w:val="24"/>
          <w:szCs w:val="24"/>
        </w:rPr>
        <w:t>/20</w:t>
      </w:r>
      <w:r w:rsidR="00D303C2" w:rsidRPr="00D303C2">
        <w:rPr>
          <w:rFonts w:ascii="Sylfaen" w:hAnsi="Sylfaen"/>
          <w:sz w:val="24"/>
          <w:szCs w:val="24"/>
        </w:rPr>
        <w:tab/>
      </w:r>
      <w:r w:rsidRPr="00CA27E3">
        <w:rPr>
          <w:rFonts w:ascii="Sylfaen" w:hAnsi="Sylfaen"/>
          <w:sz w:val="24"/>
          <w:szCs w:val="24"/>
        </w:rPr>
        <w:t xml:space="preserve">) Միության տեխնիկական կանոնակարգն (այսուհետ՝ տեխնիկական կանոնակարգ) ուժի մեջ մտնելու պահից 5 տարվա ընթացքում՝ որպես տեխնիկական կանոնակարգն ուժի մեջ մտնելուց առաջ Եվրասիական տնտեսական միության մաքսային տարածքում շրջանառության մեջ դրված այլ սարքավորումներում ներկառուցված շրջանառու պոմպերին փոխարինող պահեստամասեր, պայմանով, </w:t>
      </w:r>
      <w:r w:rsidRPr="00CA27E3">
        <w:rPr>
          <w:rFonts w:ascii="Sylfaen" w:hAnsi="Sylfaen"/>
          <w:sz w:val="24"/>
          <w:szCs w:val="24"/>
        </w:rPr>
        <w:lastRenderedPageBreak/>
        <w:t>որ այդպիսի ինտեգրված շրջանառու պոմպերի շահագործման փաստաթղթերում նշվել է այն սարքավորումը, որի մեջ ներկառուցման համար նախատեսված են տվյալ պոմպերը։</w:t>
      </w:r>
    </w:p>
    <w:p w14:paraId="2CC62F0B" w14:textId="77777777" w:rsidR="00CA27E3" w:rsidRPr="00CA27E3" w:rsidRDefault="00CA27E3" w:rsidP="00C27E22">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Եթե շրջանառու պոմպերի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շրջանառու պոմպերը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4A079562" w14:textId="77777777" w:rsidR="00CA27E3" w:rsidRPr="00CA27E3" w:rsidRDefault="00CA27E3" w:rsidP="00C27E22">
      <w:pPr>
        <w:pStyle w:val="a0"/>
        <w:shd w:val="clear" w:color="auto" w:fill="auto"/>
        <w:spacing w:after="160" w:line="350" w:lineRule="auto"/>
        <w:ind w:firstLine="0"/>
        <w:jc w:val="center"/>
        <w:rPr>
          <w:rFonts w:ascii="Sylfaen" w:hAnsi="Sylfaen" w:cs="Sylfaen"/>
          <w:sz w:val="24"/>
          <w:szCs w:val="24"/>
        </w:rPr>
      </w:pPr>
    </w:p>
    <w:p w14:paraId="1FFAA905" w14:textId="77777777" w:rsidR="00CA27E3" w:rsidRPr="00CA27E3" w:rsidRDefault="00CA27E3" w:rsidP="00C27E22">
      <w:pPr>
        <w:pStyle w:val="a0"/>
        <w:shd w:val="clear" w:color="auto" w:fill="auto"/>
        <w:spacing w:after="160" w:line="350" w:lineRule="auto"/>
        <w:ind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6E32E52D" w14:textId="77777777" w:rsidR="00CA27E3" w:rsidRPr="00CA27E3" w:rsidRDefault="00CA27E3" w:rsidP="00C27E22">
      <w:pPr>
        <w:pStyle w:val="a0"/>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2.</w:t>
      </w:r>
      <w:r w:rsidR="00D303C2" w:rsidRPr="00D303C2">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318EF0AD" w14:textId="77777777" w:rsidR="00CA27E3" w:rsidRPr="00CA27E3" w:rsidRDefault="00CA27E3" w:rsidP="00C27E22">
      <w:pPr>
        <w:pStyle w:val="a0"/>
        <w:shd w:val="clear" w:color="auto" w:fill="auto"/>
        <w:spacing w:after="160" w:line="350" w:lineRule="auto"/>
        <w:ind w:firstLine="567"/>
        <w:jc w:val="both"/>
        <w:rPr>
          <w:rFonts w:ascii="Sylfaen" w:hAnsi="Sylfaen" w:cs="Sylfaen"/>
          <w:sz w:val="24"/>
          <w:szCs w:val="24"/>
        </w:rPr>
      </w:pPr>
      <w:r w:rsidRPr="00C27E22">
        <w:rPr>
          <w:rFonts w:ascii="Sylfaen" w:hAnsi="Sylfaen"/>
          <w:b/>
          <w:sz w:val="24"/>
          <w:szCs w:val="24"/>
        </w:rPr>
        <w:t>ինքնավար շրջանառու պոմպ՝</w:t>
      </w:r>
      <w:r w:rsidRPr="00CA27E3">
        <w:rPr>
          <w:rFonts w:ascii="Sylfaen" w:hAnsi="Sylfaen"/>
          <w:sz w:val="24"/>
          <w:szCs w:val="24"/>
        </w:rPr>
        <w:t xml:space="preserve"> շրջանառու պոմպ, որն աշխատում է սարքավորումից ինքնավար կերպով.</w:t>
      </w:r>
    </w:p>
    <w:p w14:paraId="53B3E41B" w14:textId="77777777" w:rsidR="00CA27E3" w:rsidRPr="00C27E22" w:rsidRDefault="00CA27E3" w:rsidP="00C27E22">
      <w:pPr>
        <w:pStyle w:val="a0"/>
        <w:shd w:val="clear" w:color="auto" w:fill="auto"/>
        <w:spacing w:after="160" w:line="350" w:lineRule="auto"/>
        <w:ind w:firstLine="567"/>
        <w:jc w:val="both"/>
        <w:rPr>
          <w:rFonts w:ascii="Sylfaen" w:hAnsi="Sylfaen" w:cs="Sylfaen"/>
          <w:sz w:val="24"/>
          <w:szCs w:val="24"/>
        </w:rPr>
      </w:pPr>
      <w:r w:rsidRPr="00C27E22">
        <w:rPr>
          <w:rFonts w:ascii="Sylfaen" w:hAnsi="Sylfaen"/>
          <w:b/>
          <w:sz w:val="24"/>
          <w:szCs w:val="24"/>
        </w:rPr>
        <w:t>սարքավորման մեջ ներկառուցված շրջանառու պոմպ՝</w:t>
      </w:r>
      <w:r w:rsidRPr="00CA27E3">
        <w:rPr>
          <w:rFonts w:ascii="Sylfaen" w:hAnsi="Sylfaen"/>
          <w:sz w:val="24"/>
          <w:szCs w:val="24"/>
        </w:rPr>
        <w:t xml:space="preserve"> շրջանառու պոմպ, որը նախատեսված է որպես սարքավորման մաս աշխատանքի համար, ընդ որում առկա է հետ</w:t>
      </w:r>
      <w:r>
        <w:rPr>
          <w:rFonts w:ascii="Sylfaen" w:hAnsi="Sylfaen"/>
          <w:sz w:val="24"/>
          <w:szCs w:val="24"/>
        </w:rPr>
        <w:t>եւ</w:t>
      </w:r>
      <w:r w:rsidRPr="00CA27E3">
        <w:rPr>
          <w:rFonts w:ascii="Sylfaen" w:hAnsi="Sylfaen"/>
          <w:sz w:val="24"/>
          <w:szCs w:val="24"/>
        </w:rPr>
        <w:t>յալ կառուցվածքային առանձնահատկություններից առնվազն մեկը՝</w:t>
      </w:r>
      <w:r>
        <w:rPr>
          <w:rFonts w:ascii="Sylfaen" w:hAnsi="Sylfaen"/>
          <w:sz w:val="24"/>
          <w:szCs w:val="24"/>
        </w:rPr>
        <w:t xml:space="preserve"> </w:t>
      </w:r>
    </w:p>
    <w:p w14:paraId="3742AFAF" w14:textId="77777777" w:rsidR="00CA27E3" w:rsidRPr="00CA27E3" w:rsidRDefault="00CA27E3" w:rsidP="00C27E22">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պոմպի կորպուսը հարմարեցված է սարքավորման կազմում հավաքակցման </w:t>
      </w:r>
      <w:r>
        <w:rPr>
          <w:rFonts w:ascii="Sylfaen" w:hAnsi="Sylfaen"/>
          <w:sz w:val="24"/>
          <w:szCs w:val="24"/>
        </w:rPr>
        <w:t>եւ</w:t>
      </w:r>
      <w:r w:rsidRPr="00CA27E3">
        <w:rPr>
          <w:rFonts w:ascii="Sylfaen" w:hAnsi="Sylfaen"/>
          <w:sz w:val="24"/>
          <w:szCs w:val="24"/>
        </w:rPr>
        <w:t xml:space="preserve"> օգտագործման համար.</w:t>
      </w:r>
    </w:p>
    <w:p w14:paraId="145A982E" w14:textId="77777777" w:rsidR="00CA27E3" w:rsidRPr="00CA27E3" w:rsidRDefault="00CA27E3" w:rsidP="00C27E22">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շրջանառու պոմպը նախատեսված է արագության կարգավորմամբ սարքավորումն օգտագործելու համար.</w:t>
      </w:r>
    </w:p>
    <w:p w14:paraId="728CDAC0" w14:textId="77777777" w:rsidR="00CA27E3" w:rsidRPr="00CA27E3" w:rsidRDefault="00CA27E3" w:rsidP="00C27E22">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շրջանառու պոմպն ունի անվտանգության այնպիսի բնութագրեր, որոնք հարմարեցված չեն ինքնավար աշխատանքի համար (պաշտպանության IP դաս). </w:t>
      </w:r>
    </w:p>
    <w:p w14:paraId="20B0E0E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շրջանառու պոմպը դիտարկվում է որպես համապատասխանության հաստատման ենթակա սարքավորման մաս.</w:t>
      </w:r>
    </w:p>
    <w:p w14:paraId="3CAFC53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27E22">
        <w:rPr>
          <w:rFonts w:ascii="Sylfaen" w:hAnsi="Sylfaen"/>
          <w:b/>
          <w:sz w:val="24"/>
          <w:szCs w:val="24"/>
        </w:rPr>
        <w:lastRenderedPageBreak/>
        <w:t>հերմետիկ (անխցուկային) շրջանառու պոմպ</w:t>
      </w:r>
      <w:r w:rsidRPr="00CA27E3">
        <w:rPr>
          <w:rFonts w:ascii="Sylfaen" w:hAnsi="Sylfaen"/>
          <w:sz w:val="24"/>
          <w:szCs w:val="24"/>
        </w:rPr>
        <w:t xml:space="preserve">՝ շրջանառու պոմպ, որի </w:t>
      </w:r>
      <w:r w:rsidRPr="00C27E22">
        <w:rPr>
          <w:rFonts w:ascii="Sylfaen" w:hAnsi="Sylfaen"/>
          <w:spacing w:val="-6"/>
          <w:sz w:val="24"/>
          <w:szCs w:val="24"/>
        </w:rPr>
        <w:t>աշխատանքային անիվը անմիջապես միացված է շարժիչի լիսեռին, որն ընկղմված է վերամղվող</w:t>
      </w:r>
      <w:r w:rsidRPr="00CA27E3">
        <w:rPr>
          <w:rFonts w:ascii="Sylfaen" w:hAnsi="Sylfaen"/>
          <w:sz w:val="24"/>
          <w:szCs w:val="24"/>
        </w:rPr>
        <w:t xml:space="preserve"> հեղուկի մեջ.</w:t>
      </w:r>
      <w:r>
        <w:rPr>
          <w:rFonts w:ascii="Sylfaen" w:hAnsi="Sylfaen"/>
          <w:sz w:val="24"/>
          <w:szCs w:val="24"/>
        </w:rPr>
        <w:t xml:space="preserve"> </w:t>
      </w:r>
    </w:p>
    <w:p w14:paraId="3E2DD90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27E22">
        <w:rPr>
          <w:rFonts w:ascii="Sylfaen" w:hAnsi="Sylfaen"/>
          <w:b/>
          <w:sz w:val="24"/>
          <w:szCs w:val="24"/>
        </w:rPr>
        <w:t>պոմպի կորպուս՝</w:t>
      </w:r>
      <w:r w:rsidRPr="00CA27E3">
        <w:rPr>
          <w:rFonts w:ascii="Sylfaen" w:hAnsi="Sylfaen"/>
          <w:sz w:val="24"/>
          <w:szCs w:val="24"/>
        </w:rPr>
        <w:t xml:space="preserve"> թիակավոր պոմպի մաս, որը նախատեսված է ջեռուցման համակարգի խողովակին կամ հովացման բաշխված համակարգի երկրորդային հաղորդաշղթային միացման համար.</w:t>
      </w:r>
    </w:p>
    <w:p w14:paraId="7FEA9EC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27E22">
        <w:rPr>
          <w:rFonts w:ascii="Sylfaen" w:hAnsi="Sylfaen"/>
          <w:b/>
          <w:sz w:val="24"/>
          <w:szCs w:val="24"/>
        </w:rPr>
        <w:t>սարքավորում՝</w:t>
      </w:r>
      <w:r w:rsidRPr="00CA27E3">
        <w:rPr>
          <w:rFonts w:ascii="Sylfaen" w:hAnsi="Sylfaen"/>
          <w:sz w:val="24"/>
          <w:szCs w:val="24"/>
        </w:rPr>
        <w:t xml:space="preserve"> ջերմություն արտադրող </w:t>
      </w:r>
      <w:r>
        <w:rPr>
          <w:rFonts w:ascii="Sylfaen" w:hAnsi="Sylfaen"/>
          <w:sz w:val="24"/>
          <w:szCs w:val="24"/>
        </w:rPr>
        <w:t>եւ</w:t>
      </w:r>
      <w:r w:rsidRPr="00CA27E3">
        <w:rPr>
          <w:rFonts w:ascii="Sylfaen" w:hAnsi="Sylfaen"/>
          <w:sz w:val="24"/>
          <w:szCs w:val="24"/>
        </w:rPr>
        <w:t xml:space="preserve"> (կամ) հաղորդող սարքվածք.</w:t>
      </w:r>
    </w:p>
    <w:p w14:paraId="66DB1B7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27E22">
        <w:rPr>
          <w:rFonts w:ascii="Sylfaen" w:hAnsi="Sylfaen"/>
          <w:b/>
          <w:sz w:val="24"/>
          <w:szCs w:val="24"/>
        </w:rPr>
        <w:t>շրջանառու պոմպ</w:t>
      </w:r>
      <w:r w:rsidRPr="00CA27E3">
        <w:rPr>
          <w:rFonts w:ascii="Sylfaen" w:hAnsi="Sylfaen"/>
          <w:sz w:val="24"/>
          <w:szCs w:val="24"/>
        </w:rPr>
        <w:t>՝ կորպուսով կամ առանց կորպուսի թիակավոր պոմպ, որը հաշվարկված է 1 Վտ-ից մինչ</w:t>
      </w:r>
      <w:r>
        <w:rPr>
          <w:rFonts w:ascii="Sylfaen" w:hAnsi="Sylfaen"/>
          <w:sz w:val="24"/>
          <w:szCs w:val="24"/>
        </w:rPr>
        <w:t>եւ</w:t>
      </w:r>
      <w:r w:rsidRPr="00CA27E3">
        <w:rPr>
          <w:rFonts w:ascii="Sylfaen" w:hAnsi="Sylfaen"/>
          <w:sz w:val="24"/>
          <w:szCs w:val="24"/>
        </w:rPr>
        <w:t xml:space="preserve"> 2 500 Վտ անվանական հիդրավլիկ հզորության համար </w:t>
      </w:r>
      <w:r>
        <w:rPr>
          <w:rFonts w:ascii="Sylfaen" w:hAnsi="Sylfaen"/>
          <w:sz w:val="24"/>
          <w:szCs w:val="24"/>
        </w:rPr>
        <w:t>եւ</w:t>
      </w:r>
      <w:r w:rsidRPr="00CA27E3">
        <w:rPr>
          <w:rFonts w:ascii="Sylfaen" w:hAnsi="Sylfaen"/>
          <w:sz w:val="24"/>
          <w:szCs w:val="24"/>
        </w:rPr>
        <w:t xml:space="preserve"> նախատեսված է ջեռուցման համակարգերում կամ հովացման բաշխված համակարգերի երկրորդային հաղորդաշղթաներում օգտագործման համար.</w:t>
      </w:r>
      <w:r>
        <w:rPr>
          <w:rFonts w:ascii="Sylfaen" w:hAnsi="Sylfaen"/>
          <w:sz w:val="24"/>
          <w:szCs w:val="24"/>
        </w:rPr>
        <w:t xml:space="preserve"> </w:t>
      </w:r>
    </w:p>
    <w:p w14:paraId="7EB90A1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27E22">
        <w:rPr>
          <w:rFonts w:ascii="Sylfaen" w:hAnsi="Sylfaen"/>
          <w:b/>
          <w:sz w:val="24"/>
          <w:szCs w:val="24"/>
        </w:rPr>
        <w:t>խմելու ջրի համար նախատեսված շրջանառու պոմպ</w:t>
      </w:r>
      <w:r w:rsidRPr="00CA27E3">
        <w:rPr>
          <w:rFonts w:ascii="Sylfaen" w:hAnsi="Sylfaen"/>
          <w:sz w:val="24"/>
          <w:szCs w:val="24"/>
        </w:rPr>
        <w:t xml:space="preserve">՝ շրջանառու պոմպ, որը հատուկ մշակված է մարդու կողմից սպառման համար նախատեսված ջրի վերաշրջանառության համակարգում օգտագործման համար։ </w:t>
      </w:r>
    </w:p>
    <w:p w14:paraId="1BC49269"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5F318469" w14:textId="77777777" w:rsidR="00CA27E3" w:rsidRPr="00CA27E3" w:rsidRDefault="00CA27E3" w:rsidP="00D303C2">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III. Շրջանառու պոմպերի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սահմանման առանձնահատկությունները</w:t>
      </w:r>
    </w:p>
    <w:p w14:paraId="09B187D0"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D303C2" w:rsidRPr="00D303C2">
        <w:rPr>
          <w:rFonts w:ascii="Sylfaen" w:hAnsi="Sylfaen"/>
          <w:sz w:val="24"/>
          <w:szCs w:val="24"/>
        </w:rPr>
        <w:tab/>
      </w:r>
      <w:r w:rsidRPr="00CA27E3">
        <w:rPr>
          <w:rFonts w:ascii="Sylfaen" w:hAnsi="Sylfaen"/>
          <w:sz w:val="24"/>
          <w:szCs w:val="24"/>
        </w:rPr>
        <w:t>Արտադրողի կողմից պետք է կատարվի շրջանառու պոմպի էներգետիկ արդյունավետության ցուցիչի (EEI) հաշվարկը՝ անհրաժեշտ փորձարկումներով (չափումներով)։</w:t>
      </w:r>
    </w:p>
    <w:p w14:paraId="7AB3FDF7"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4.</w:t>
      </w:r>
      <w:r w:rsidR="00D303C2" w:rsidRPr="00D303C2">
        <w:rPr>
          <w:rFonts w:ascii="Sylfaen" w:hAnsi="Sylfaen"/>
          <w:sz w:val="24"/>
          <w:szCs w:val="24"/>
        </w:rPr>
        <w:tab/>
      </w:r>
      <w:r w:rsidRPr="00CA27E3">
        <w:rPr>
          <w:rFonts w:ascii="Sylfaen" w:hAnsi="Sylfaen"/>
          <w:sz w:val="24"/>
          <w:szCs w:val="24"/>
        </w:rPr>
        <w:t>Շրջանառու պոմպերի (բացի ար</w:t>
      </w:r>
      <w:r>
        <w:rPr>
          <w:rFonts w:ascii="Sylfaen" w:hAnsi="Sylfaen"/>
          <w:sz w:val="24"/>
          <w:szCs w:val="24"/>
        </w:rPr>
        <w:t>եւ</w:t>
      </w:r>
      <w:r w:rsidRPr="00CA27E3">
        <w:rPr>
          <w:rFonts w:ascii="Sylfaen" w:hAnsi="Sylfaen"/>
          <w:sz w:val="24"/>
          <w:szCs w:val="24"/>
        </w:rPr>
        <w:t xml:space="preserve">ային տաքացուցիչ համակարգերի առաջնային հաղորդաշղթաներում </w:t>
      </w:r>
      <w:r>
        <w:rPr>
          <w:rFonts w:ascii="Sylfaen" w:hAnsi="Sylfaen"/>
          <w:sz w:val="24"/>
          <w:szCs w:val="24"/>
        </w:rPr>
        <w:t>եւ</w:t>
      </w:r>
      <w:r w:rsidRPr="00CA27E3">
        <w:rPr>
          <w:rFonts w:ascii="Sylfaen" w:hAnsi="Sylfaen"/>
          <w:sz w:val="24"/>
          <w:szCs w:val="24"/>
        </w:rPr>
        <w:t xml:space="preserve"> ջերմային պոմպերում օգտագործման համար նախատեսված սարքավորման մեջ ներկառուցված շրջանառու պոմպերի) էներգետիկ արդյունավետության ցուցիչի (EEI) հաշվարկն իրականացվում է հետ</w:t>
      </w:r>
      <w:r>
        <w:rPr>
          <w:rFonts w:ascii="Sylfaen" w:hAnsi="Sylfaen"/>
          <w:sz w:val="24"/>
          <w:szCs w:val="24"/>
        </w:rPr>
        <w:t>եւ</w:t>
      </w:r>
      <w:r w:rsidRPr="00CA27E3">
        <w:rPr>
          <w:rFonts w:ascii="Sylfaen" w:hAnsi="Sylfaen"/>
          <w:sz w:val="24"/>
          <w:szCs w:val="24"/>
        </w:rPr>
        <w:t>յալ կարգով։</w:t>
      </w:r>
    </w:p>
    <w:p w14:paraId="6622F0E7" w14:textId="77777777" w:rsidR="00CA27E3" w:rsidRPr="00C27E22"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Եթե շրջանառու պոմպը կարող է աշխատել 2 կամ ավելի աշխատանքային բնութագրիչներով, որոնք իրենցից ներկայացնում են ճնշման (Н) կախվածությունը մատուցումից (Q), ապա չափումն անհրաժեշտ է կատարել ըստ այն բնութագրիչի, որն ապահովում է Q × H արտադրյալի առավելագույն արժեքների ստացումը։</w:t>
      </w:r>
      <w:r w:rsidR="00C27E22">
        <w:rPr>
          <w:rFonts w:ascii="Sylfaen" w:hAnsi="Sylfaen"/>
          <w:sz w:val="24"/>
          <w:szCs w:val="24"/>
        </w:rPr>
        <w:t xml:space="preserve"> </w:t>
      </w:r>
    </w:p>
    <w:p w14:paraId="6580B7A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Ճնշումը (Н) է ջրային սյան բարձրությունն է մետրով, որն ստեղծվում է </w:t>
      </w:r>
      <w:r w:rsidRPr="00C27E22">
        <w:rPr>
          <w:rFonts w:ascii="Sylfaen" w:hAnsi="Sylfaen"/>
          <w:spacing w:val="-6"/>
          <w:sz w:val="24"/>
          <w:szCs w:val="24"/>
        </w:rPr>
        <w:t>շրջանառու պոմպով տվյալ աշխատանքային կետում։ Մատուցում (Q)՝ նշանակում է շրջանառու</w:t>
      </w:r>
      <w:r w:rsidRPr="00CA27E3">
        <w:rPr>
          <w:rFonts w:ascii="Sylfaen" w:hAnsi="Sylfaen"/>
          <w:sz w:val="24"/>
          <w:szCs w:val="24"/>
        </w:rPr>
        <w:t xml:space="preserve"> պոմպի միջով մ</w:t>
      </w:r>
      <w:r w:rsidRPr="00CA27E3">
        <w:rPr>
          <w:rFonts w:ascii="Sylfaen" w:hAnsi="Sylfaen"/>
          <w:sz w:val="24"/>
          <w:szCs w:val="24"/>
          <w:vertAlign w:val="superscript"/>
        </w:rPr>
        <w:t>3</w:t>
      </w:r>
      <w:r w:rsidRPr="00CA27E3">
        <w:rPr>
          <w:rFonts w:ascii="Sylfaen" w:hAnsi="Sylfaen"/>
          <w:sz w:val="24"/>
          <w:szCs w:val="24"/>
        </w:rPr>
        <w:t>/ժ-ում անցնող ջրի հոսքի ծավալային արագությունը։</w:t>
      </w:r>
    </w:p>
    <w:p w14:paraId="1611F3B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Գտնվում է այն կետը, որտեղ </w:t>
      </w:r>
      <w:r w:rsidRPr="00B0255B">
        <w:rPr>
          <w:rFonts w:ascii="Sylfaen" w:hAnsi="Sylfaen"/>
          <w:sz w:val="24"/>
          <w:szCs w:val="24"/>
        </w:rPr>
        <w:t>Q × H</w:t>
      </w:r>
      <w:r w:rsidRPr="00CA27E3">
        <w:rPr>
          <w:rFonts w:ascii="Sylfaen" w:hAnsi="Sylfaen"/>
          <w:sz w:val="24"/>
          <w:szCs w:val="24"/>
        </w:rPr>
        <w:t xml:space="preserve"> արտադրյալն ունի առավելագույն մեծությունը, </w:t>
      </w:r>
      <w:r>
        <w:rPr>
          <w:rFonts w:ascii="Sylfaen" w:hAnsi="Sylfaen"/>
          <w:sz w:val="24"/>
          <w:szCs w:val="24"/>
        </w:rPr>
        <w:t>եւ</w:t>
      </w:r>
      <w:r w:rsidRPr="00CA27E3">
        <w:rPr>
          <w:rFonts w:ascii="Sylfaen" w:hAnsi="Sylfaen"/>
          <w:sz w:val="24"/>
          <w:szCs w:val="24"/>
        </w:rPr>
        <w:t xml:space="preserve"> սահմանում է մատուցումն ու ճնշումն այդ կետում որպես՝</w:t>
      </w:r>
      <w:r>
        <w:rPr>
          <w:rFonts w:ascii="Sylfaen" w:hAnsi="Sylfaen"/>
          <w:sz w:val="24"/>
          <w:szCs w:val="24"/>
        </w:rPr>
        <w:t xml:space="preserve"> </w:t>
      </w:r>
    </w:p>
    <w:p w14:paraId="49C02F0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Q</w:t>
      </w:r>
      <w:r w:rsidRPr="00CA27E3">
        <w:rPr>
          <w:rFonts w:ascii="Sylfaen" w:hAnsi="Sylfaen"/>
          <w:sz w:val="24"/>
          <w:szCs w:val="24"/>
          <w:vertAlign w:val="subscript"/>
        </w:rPr>
        <w:t>100 %</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Н</w:t>
      </w:r>
      <w:r w:rsidRPr="00CA27E3">
        <w:rPr>
          <w:rFonts w:ascii="Sylfaen" w:hAnsi="Sylfaen"/>
          <w:sz w:val="24"/>
          <w:szCs w:val="24"/>
          <w:vertAlign w:val="subscript"/>
        </w:rPr>
        <w:t>100 %։</w:t>
      </w:r>
    </w:p>
    <w:p w14:paraId="6CD87D6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Հաշվարկվում է այդ կետում հիդրավլիկ հզորությունը (Phyd): </w:t>
      </w:r>
    </w:p>
    <w:p w14:paraId="484EAC4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Հիդրավլիկ հզորությունը մատուցման (Q), ճնշման (Н) </w:t>
      </w:r>
      <w:r>
        <w:rPr>
          <w:rFonts w:ascii="Sylfaen" w:hAnsi="Sylfaen"/>
          <w:sz w:val="24"/>
          <w:szCs w:val="24"/>
        </w:rPr>
        <w:t>եւ</w:t>
      </w:r>
      <w:r w:rsidRPr="00CA27E3">
        <w:rPr>
          <w:rFonts w:ascii="Sylfaen" w:hAnsi="Sylfaen"/>
          <w:sz w:val="24"/>
          <w:szCs w:val="24"/>
        </w:rPr>
        <w:t xml:space="preserve"> գործակցի թվաբանական արտադրյալն է։ </w:t>
      </w:r>
    </w:p>
    <w:p w14:paraId="0D3523DA" w14:textId="77777777" w:rsidR="00CA27E3" w:rsidRPr="00B0255B"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«Phyd»՝ հիդրավլիկ հզորությունը (Վտ-ով), որը հաղորդվում է որոշակի աշխատանքային կետում վերամղվող հեղուկի շրջանառու պոմպով։</w:t>
      </w:r>
      <w:r>
        <w:rPr>
          <w:rFonts w:ascii="Sylfaen" w:hAnsi="Sylfaen"/>
          <w:sz w:val="24"/>
          <w:szCs w:val="24"/>
        </w:rPr>
        <w:t xml:space="preserve"> </w:t>
      </w:r>
    </w:p>
    <w:p w14:paraId="4AAD0AC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Հաշվարկվում է 1 Վտ ≤ </w:t>
      </w:r>
      <w:r w:rsidRPr="00CA27E3">
        <w:rPr>
          <w:rFonts w:ascii="Sylfaen" w:hAnsi="Sylfaen"/>
          <w:i/>
          <w:sz w:val="24"/>
          <w:szCs w:val="24"/>
        </w:rPr>
        <w:t>P</w:t>
      </w:r>
      <w:r w:rsidRPr="00CA27E3">
        <w:rPr>
          <w:rFonts w:ascii="Sylfaen" w:hAnsi="Sylfaen"/>
          <w:i/>
          <w:sz w:val="24"/>
          <w:szCs w:val="24"/>
          <w:vertAlign w:val="subscript"/>
        </w:rPr>
        <w:t>hyd</w:t>
      </w:r>
      <w:r w:rsidRPr="00CA27E3">
        <w:rPr>
          <w:rFonts w:ascii="Sylfaen" w:hAnsi="Sylfaen"/>
          <w:sz w:val="24"/>
          <w:szCs w:val="24"/>
        </w:rPr>
        <w:t xml:space="preserve"> ≤ 2500 Վտ հիդրավլիկ հզորության ընդգրկույթի համար վերահսկիչ հզորությունը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 xml:space="preserve">ով՝ </w:t>
      </w:r>
    </w:p>
    <w:p w14:paraId="6B846BE8" w14:textId="77777777" w:rsidR="00CA27E3" w:rsidRPr="00CA27E3" w:rsidRDefault="00000000" w:rsidP="00CA27E3">
      <w:pPr>
        <w:pStyle w:val="a0"/>
        <w:shd w:val="clear" w:color="auto" w:fill="auto"/>
        <w:spacing w:after="160"/>
        <w:ind w:firstLine="0"/>
        <w:jc w:val="center"/>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ref</m:t>
              </m:r>
            </m:sub>
          </m:sSub>
          <m:r>
            <w:rPr>
              <w:rFonts w:ascii="Cambria Math" w:hAnsi="Sylfaen" w:cs="Sylfaen"/>
              <w:sz w:val="24"/>
              <w:szCs w:val="24"/>
            </w:rPr>
            <m:t>=1,7</m:t>
          </m:r>
          <m:r>
            <w:rPr>
              <w:rFonts w:ascii="Cambria Math" w:hAnsi="Cambria Math" w:cs="Sylfaen"/>
              <w:sz w:val="24"/>
              <w:szCs w:val="24"/>
            </w:rPr>
            <m:t>x</m:t>
          </m:r>
          <m:sSub>
            <m:sSubPr>
              <m:ctrlPr>
                <w:rPr>
                  <w:rFonts w:ascii="Cambria Math" w:hAnsi="Sylfaen" w:cs="Sylfaen"/>
                  <w:i/>
                  <w:sz w:val="24"/>
                  <w:szCs w:val="24"/>
                </w:rPr>
              </m:ctrlPr>
            </m:sSubPr>
            <m:e>
              <m:r>
                <w:rPr>
                  <w:rFonts w:ascii="Cambria Math" w:hAnsi="Cambria Math" w:cs="Sylfaen"/>
                  <w:sz w:val="24"/>
                  <w:szCs w:val="24"/>
                </w:rPr>
                <m:t>P</m:t>
              </m:r>
            </m:e>
            <m:sub>
              <m:r>
                <w:rPr>
                  <w:rFonts w:ascii="Sylfaen" w:hAnsi="Cambria Math" w:cs="Sylfaen"/>
                  <w:sz w:val="24"/>
                  <w:szCs w:val="24"/>
                </w:rPr>
                <m:t>h</m:t>
              </m:r>
              <m:r>
                <w:rPr>
                  <w:rFonts w:ascii="Cambria Math" w:hAnsi="Cambria Math" w:cs="Sylfaen"/>
                  <w:sz w:val="24"/>
                  <w:szCs w:val="24"/>
                </w:rPr>
                <m:t>yd</m:t>
              </m:r>
            </m:sub>
          </m:sSub>
          <m:r>
            <w:rPr>
              <w:rFonts w:ascii="Cambria Math" w:hAnsi="Sylfaen" w:cs="Sylfaen"/>
              <w:sz w:val="24"/>
              <w:szCs w:val="24"/>
            </w:rPr>
            <m:t>+17</m:t>
          </m:r>
          <m:r>
            <w:rPr>
              <w:rFonts w:ascii="Cambria Math" w:hAnsi="Cambria Math" w:cs="Sylfaen"/>
              <w:sz w:val="24"/>
              <w:szCs w:val="24"/>
            </w:rPr>
            <m:t>x</m:t>
          </m:r>
          <m:d>
            <m:dPr>
              <m:ctrlPr>
                <w:rPr>
                  <w:rFonts w:ascii="Cambria Math" w:hAnsi="Sylfaen" w:cs="Sylfaen"/>
                  <w:i/>
                  <w:sz w:val="24"/>
                  <w:szCs w:val="24"/>
                </w:rPr>
              </m:ctrlPr>
            </m:dPr>
            <m:e>
              <m:r>
                <w:rPr>
                  <w:rFonts w:ascii="Cambria Math" w:hAnsi="Sylfaen" w:cs="Sylfaen"/>
                  <w:sz w:val="24"/>
                  <w:szCs w:val="24"/>
                </w:rPr>
                <m:t>1</m:t>
              </m:r>
              <m:r>
                <w:rPr>
                  <w:rFonts w:ascii="Cambria Math" w:hAnsi="Sylfaen" w:cs="Sylfaen"/>
                  <w:sz w:val="24"/>
                  <w:szCs w:val="24"/>
                </w:rPr>
                <m:t>-</m:t>
              </m:r>
              <m:sSup>
                <m:sSupPr>
                  <m:ctrlPr>
                    <w:rPr>
                      <w:rFonts w:ascii="Cambria Math" w:hAnsi="Sylfaen" w:cs="Sylfaen"/>
                      <w:i/>
                      <w:sz w:val="24"/>
                      <w:szCs w:val="24"/>
                    </w:rPr>
                  </m:ctrlPr>
                </m:sSupPr>
                <m:e>
                  <m:r>
                    <w:rPr>
                      <w:rFonts w:ascii="Cambria Math" w:hAnsi="Cambria Math" w:cs="Sylfaen"/>
                      <w:sz w:val="24"/>
                      <w:szCs w:val="24"/>
                    </w:rPr>
                    <m:t>e</m:t>
                  </m:r>
                </m:e>
                <m:sup>
                  <m:r>
                    <w:rPr>
                      <w:rFonts w:ascii="Cambria Math" w:hAnsi="Sylfaen" w:cs="Sylfaen"/>
                      <w:sz w:val="24"/>
                      <w:szCs w:val="24"/>
                    </w:rPr>
                    <m:t>-</m:t>
                  </m:r>
                  <m:r>
                    <w:rPr>
                      <w:rFonts w:ascii="Cambria Math" w:hAnsi="Sylfaen" w:cs="Sylfaen"/>
                      <w:sz w:val="24"/>
                      <w:szCs w:val="24"/>
                    </w:rPr>
                    <m:t>0.3.</m:t>
                  </m:r>
                  <m:sSub>
                    <m:sSubPr>
                      <m:ctrlPr>
                        <w:rPr>
                          <w:rFonts w:ascii="Cambria Math" w:hAnsi="Sylfaen" w:cs="Sylfaen"/>
                          <w:i/>
                          <w:sz w:val="24"/>
                          <w:szCs w:val="24"/>
                        </w:rPr>
                      </m:ctrlPr>
                    </m:sSubPr>
                    <m:e>
                      <m:r>
                        <w:rPr>
                          <w:rFonts w:ascii="Cambria Math" w:hAnsi="Cambria Math" w:cs="Sylfaen"/>
                          <w:sz w:val="24"/>
                          <w:szCs w:val="24"/>
                        </w:rPr>
                        <m:t>P</m:t>
                      </m:r>
                    </m:e>
                    <m:sub>
                      <m:r>
                        <w:rPr>
                          <w:rFonts w:ascii="Sylfaen" w:hAnsi="Cambria Math" w:cs="Sylfaen"/>
                          <w:sz w:val="24"/>
                          <w:szCs w:val="24"/>
                        </w:rPr>
                        <m:t>h</m:t>
                      </m:r>
                      <m:r>
                        <w:rPr>
                          <w:rFonts w:ascii="Cambria Math" w:hAnsi="Cambria Math" w:cs="Sylfaen"/>
                          <w:sz w:val="24"/>
                          <w:szCs w:val="24"/>
                        </w:rPr>
                        <m:t>yd</m:t>
                      </m:r>
                    </m:sub>
                  </m:sSub>
                </m:sup>
              </m:sSup>
            </m:e>
          </m:d>
        </m:oMath>
      </m:oMathPara>
    </w:p>
    <w:p w14:paraId="522C92C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13079A9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 P</w:t>
      </w:r>
      <w:r w:rsidRPr="00CA27E3">
        <w:rPr>
          <w:rFonts w:ascii="Sylfaen" w:hAnsi="Sylfaen"/>
          <w:sz w:val="24"/>
          <w:szCs w:val="24"/>
          <w:vertAlign w:val="subscript"/>
        </w:rPr>
        <w:t>ref</w:t>
      </w:r>
      <w:r w:rsidRPr="00CA27E3">
        <w:rPr>
          <w:rFonts w:ascii="Sylfaen" w:hAnsi="Sylfaen"/>
          <w:sz w:val="24"/>
          <w:szCs w:val="24"/>
        </w:rPr>
        <w:t>՝ շրջանառու պոմպի վերահսկիչ սպառվող հզորությունն է (Վտ-ով)։</w:t>
      </w:r>
      <w:r>
        <w:rPr>
          <w:rFonts w:ascii="Sylfaen" w:hAnsi="Sylfaen"/>
          <w:sz w:val="24"/>
          <w:szCs w:val="24"/>
        </w:rPr>
        <w:t xml:space="preserve"> </w:t>
      </w:r>
    </w:p>
    <w:p w14:paraId="25C1379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Վերահսկիչ հզորությունը շրջանառու պոմպի հիդրավլիկ հզորության </w:t>
      </w:r>
      <w:r>
        <w:rPr>
          <w:rFonts w:ascii="Sylfaen" w:hAnsi="Sylfaen"/>
          <w:sz w:val="24"/>
          <w:szCs w:val="24"/>
        </w:rPr>
        <w:t>եւ</w:t>
      </w:r>
      <w:r w:rsidRPr="00CA27E3">
        <w:rPr>
          <w:rFonts w:ascii="Sylfaen" w:hAnsi="Sylfaen"/>
          <w:sz w:val="24"/>
          <w:szCs w:val="24"/>
        </w:rPr>
        <w:t xml:space="preserve"> սպառվող հզորության հարաբերակցությունն է՝ հաշվի առնելով շրջանառու պոմպի արդյունավետության կախվածությունը դրա չափսից։</w:t>
      </w:r>
      <w:r>
        <w:rPr>
          <w:rFonts w:ascii="Sylfaen" w:hAnsi="Sylfaen"/>
          <w:sz w:val="24"/>
          <w:szCs w:val="24"/>
        </w:rPr>
        <w:t xml:space="preserve"> </w:t>
      </w:r>
    </w:p>
    <w:p w14:paraId="007F6FC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Սահմանում է հենարանային վերահսկիչ գիծը որպես (Q100 %, H100 %) </w:t>
      </w:r>
      <w:r>
        <w:rPr>
          <w:rFonts w:ascii="Sylfaen" w:hAnsi="Sylfaen"/>
          <w:sz w:val="24"/>
          <w:szCs w:val="24"/>
        </w:rPr>
        <w:t>եւ</w:t>
      </w:r>
      <w:r w:rsidRPr="00CA27E3">
        <w:rPr>
          <w:rFonts w:ascii="Sylfaen" w:hAnsi="Sylfaen"/>
          <w:sz w:val="24"/>
          <w:szCs w:val="24"/>
        </w:rPr>
        <w:t xml:space="preserve"> </w:t>
      </w:r>
      <m:oMath>
        <m:d>
          <m:dPr>
            <m:ctrlPr>
              <w:rPr>
                <w:rFonts w:ascii="Cambria Math" w:hAnsi="Sylfaen" w:cs="Sylfaen"/>
                <w:sz w:val="24"/>
                <w:szCs w:val="24"/>
              </w:rPr>
            </m:ctrlPr>
          </m:dPr>
          <m:e>
            <m:sSub>
              <m:sSubPr>
                <m:ctrlPr>
                  <w:rPr>
                    <w:rFonts w:ascii="Cambria Math" w:hAnsi="Sylfaen" w:cs="Sylfaen"/>
                    <w:sz w:val="24"/>
                    <w:szCs w:val="24"/>
                  </w:rPr>
                </m:ctrlPr>
              </m:sSubPr>
              <m:e>
                <m:r>
                  <m:rPr>
                    <m:sty m:val="p"/>
                  </m:rPr>
                  <w:rPr>
                    <w:rFonts w:ascii="Cambria Math" w:hAnsi="Sylfaen" w:cs="Sylfaen"/>
                    <w:sz w:val="24"/>
                    <w:szCs w:val="24"/>
                  </w:rPr>
                  <m:t>Q</m:t>
                </m:r>
              </m:e>
              <m:sub>
                <m:r>
                  <m:rPr>
                    <m:sty m:val="p"/>
                  </m:rPr>
                  <w:rPr>
                    <w:rFonts w:ascii="Cambria Math" w:hAnsi="Sylfaen" w:cs="Sylfaen"/>
                    <w:sz w:val="24"/>
                    <w:szCs w:val="24"/>
                  </w:rPr>
                  <m:t>0%,</m:t>
                </m:r>
              </m:sub>
            </m:sSub>
            <m:f>
              <m:fPr>
                <m:ctrlPr>
                  <w:rPr>
                    <w:rFonts w:ascii="Cambria Math" w:hAnsi="Sylfaen" w:cs="Sylfaen"/>
                    <w:sz w:val="24"/>
                    <w:szCs w:val="24"/>
                  </w:rPr>
                </m:ctrlPr>
              </m:fPr>
              <m:num>
                <m:sSub>
                  <m:sSubPr>
                    <m:ctrlPr>
                      <w:rPr>
                        <w:rFonts w:ascii="Cambria Math" w:hAnsi="Sylfaen" w:cs="Sylfaen"/>
                        <w:sz w:val="24"/>
                        <w:szCs w:val="24"/>
                      </w:rPr>
                    </m:ctrlPr>
                  </m:sSubPr>
                  <m:e>
                    <m:r>
                      <m:rPr>
                        <m:sty m:val="p"/>
                      </m:rPr>
                      <w:rPr>
                        <w:rFonts w:ascii="Cambria Math" w:hAnsi="Sylfaen" w:cs="Sylfaen"/>
                        <w:sz w:val="24"/>
                        <w:szCs w:val="24"/>
                      </w:rPr>
                      <m:t>H</m:t>
                    </m:r>
                  </m:e>
                  <m:sub>
                    <m:r>
                      <m:rPr>
                        <m:sty m:val="p"/>
                      </m:rPr>
                      <w:rPr>
                        <w:rFonts w:ascii="Cambria Math" w:hAnsi="Sylfaen" w:cs="Sylfaen"/>
                        <w:sz w:val="24"/>
                        <w:szCs w:val="24"/>
                      </w:rPr>
                      <m:t>100%</m:t>
                    </m:r>
                  </m:sub>
                </m:sSub>
              </m:num>
              <m:den>
                <m:r>
                  <m:rPr>
                    <m:sty m:val="p"/>
                  </m:rPr>
                  <w:rPr>
                    <w:rFonts w:ascii="Cambria Math" w:hAnsi="Sylfaen" w:cs="Sylfaen"/>
                    <w:sz w:val="24"/>
                    <w:szCs w:val="24"/>
                  </w:rPr>
                  <m:t>2</m:t>
                </m:r>
              </m:den>
            </m:f>
          </m:e>
        </m:d>
      </m:oMath>
      <w:r w:rsidRPr="00CA27E3">
        <w:rPr>
          <w:rFonts w:ascii="Sylfaen" w:hAnsi="Sylfaen"/>
          <w:sz w:val="24"/>
          <w:szCs w:val="24"/>
        </w:rPr>
        <w:t xml:space="preserve"> կետերի միջ</w:t>
      </w:r>
      <w:r>
        <w:rPr>
          <w:rFonts w:ascii="Sylfaen" w:hAnsi="Sylfaen"/>
          <w:sz w:val="24"/>
          <w:szCs w:val="24"/>
        </w:rPr>
        <w:t>եւ</w:t>
      </w:r>
      <w:r w:rsidRPr="00CA27E3">
        <w:rPr>
          <w:rFonts w:ascii="Sylfaen" w:hAnsi="Sylfaen"/>
          <w:sz w:val="24"/>
          <w:szCs w:val="24"/>
        </w:rPr>
        <w:t xml:space="preserve"> ուղիղ գիծ , ինչպես ցույց է տրված 1-ին նկարում։</w:t>
      </w:r>
    </w:p>
    <w:p w14:paraId="33F10FA6" w14:textId="77777777" w:rsidR="00CA27E3" w:rsidRPr="00CA27E3" w:rsidRDefault="00CA27E3" w:rsidP="00CA27E3">
      <w:pPr>
        <w:pStyle w:val="a6"/>
        <w:shd w:val="clear" w:color="auto" w:fill="auto"/>
        <w:spacing w:after="160" w:line="360" w:lineRule="auto"/>
        <w:jc w:val="center"/>
        <w:rPr>
          <w:rFonts w:ascii="Sylfaen" w:hAnsi="Sylfaen" w:cs="Sylfaen"/>
          <w:sz w:val="24"/>
          <w:szCs w:val="24"/>
        </w:rPr>
      </w:pPr>
      <w:r w:rsidRPr="00CA27E3">
        <w:rPr>
          <w:rFonts w:ascii="Sylfaen" w:hAnsi="Sylfaen" w:cs="Sylfaen"/>
          <w:noProof/>
          <w:sz w:val="24"/>
          <w:szCs w:val="24"/>
          <w:lang w:val="en-US" w:eastAsia="en-US" w:bidi="ar-SA"/>
        </w:rPr>
        <w:lastRenderedPageBreak/>
        <w:drawing>
          <wp:inline distT="0" distB="0" distL="0" distR="0" wp14:anchorId="164F31D3" wp14:editId="77372665">
            <wp:extent cx="3419475" cy="2266950"/>
            <wp:effectExtent l="19050" t="0" r="9525"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419475" cy="2266950"/>
                    </a:xfrm>
                    <a:prstGeom prst="rect">
                      <a:avLst/>
                    </a:prstGeom>
                    <a:noFill/>
                    <a:ln w="9525">
                      <a:noFill/>
                      <a:miter lim="800000"/>
                      <a:headEnd/>
                      <a:tailEnd/>
                    </a:ln>
                  </pic:spPr>
                </pic:pic>
              </a:graphicData>
            </a:graphic>
          </wp:inline>
        </w:drawing>
      </w:r>
    </w:p>
    <w:p w14:paraId="41F216AB" w14:textId="77777777" w:rsidR="00CA27E3" w:rsidRPr="00066F60" w:rsidRDefault="00CA27E3" w:rsidP="00CA27E3">
      <w:pPr>
        <w:pStyle w:val="a6"/>
        <w:shd w:val="clear" w:color="auto" w:fill="auto"/>
        <w:spacing w:after="160" w:line="360" w:lineRule="auto"/>
        <w:jc w:val="center"/>
        <w:rPr>
          <w:rFonts w:ascii="Sylfaen" w:hAnsi="Sylfaen" w:cs="Sylfaen"/>
          <w:sz w:val="20"/>
          <w:szCs w:val="20"/>
        </w:rPr>
      </w:pPr>
      <w:r w:rsidRPr="00066F60">
        <w:rPr>
          <w:rFonts w:ascii="Sylfaen" w:hAnsi="Sylfaen"/>
          <w:sz w:val="20"/>
          <w:szCs w:val="20"/>
        </w:rPr>
        <w:t>Նկ. 1. Շրջանառու պոմպի հենարանային վերահսկիչ գիծը։</w:t>
      </w:r>
    </w:p>
    <w:p w14:paraId="7F5C6869" w14:textId="77777777" w:rsidR="00066F60" w:rsidRDefault="00066F60" w:rsidP="00CA27E3">
      <w:pPr>
        <w:pStyle w:val="a0"/>
        <w:shd w:val="clear" w:color="auto" w:fill="auto"/>
        <w:spacing w:after="160"/>
        <w:ind w:firstLine="567"/>
        <w:jc w:val="both"/>
        <w:rPr>
          <w:rFonts w:ascii="Sylfaen" w:hAnsi="Sylfaen"/>
          <w:sz w:val="24"/>
          <w:szCs w:val="24"/>
        </w:rPr>
      </w:pPr>
    </w:p>
    <w:p w14:paraId="171E74D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303C2">
        <w:rPr>
          <w:rFonts w:ascii="Sylfaen" w:hAnsi="Sylfaen"/>
          <w:spacing w:val="-4"/>
          <w:sz w:val="24"/>
          <w:szCs w:val="24"/>
        </w:rPr>
        <w:t>Ընտրվում է շրջանառու պոմպի սարքաբերման այն ձեւը, որը երաշխավորում է, որ շրջանառու</w:t>
      </w:r>
      <w:r w:rsidRPr="00CA27E3">
        <w:rPr>
          <w:rFonts w:ascii="Sylfaen" w:hAnsi="Sylfaen"/>
          <w:sz w:val="24"/>
          <w:szCs w:val="24"/>
        </w:rPr>
        <w:t xml:space="preserve"> պոմպի համար Q × H</w:t>
      </w:r>
      <w:r>
        <w:rPr>
          <w:rFonts w:ascii="Sylfaen" w:hAnsi="Sylfaen"/>
          <w:sz w:val="24"/>
          <w:szCs w:val="24"/>
        </w:rPr>
        <w:t xml:space="preserve"> </w:t>
      </w:r>
      <w:r w:rsidRPr="00CA27E3">
        <w:rPr>
          <w:rFonts w:ascii="Sylfaen" w:hAnsi="Sylfaen"/>
          <w:sz w:val="24"/>
          <w:szCs w:val="24"/>
        </w:rPr>
        <w:t>արտադրյալը ընտրված գծի վրա կհասնի առավելագույնի։</w:t>
      </w:r>
      <w:r>
        <w:rPr>
          <w:rFonts w:ascii="Sylfaen" w:hAnsi="Sylfaen"/>
          <w:sz w:val="24"/>
          <w:szCs w:val="24"/>
        </w:rPr>
        <w:t xml:space="preserve"> </w:t>
      </w:r>
      <w:r w:rsidRPr="00CA27E3">
        <w:rPr>
          <w:rFonts w:ascii="Sylfaen" w:hAnsi="Sylfaen"/>
          <w:sz w:val="24"/>
          <w:szCs w:val="24"/>
        </w:rPr>
        <w:t>Սարքավորման մեջ ներկառուցված շրջանառու պոմպի համար անհրաժեշտ է</w:t>
      </w:r>
      <w:r>
        <w:rPr>
          <w:rFonts w:ascii="Sylfaen" w:hAnsi="Sylfaen"/>
          <w:sz w:val="24"/>
          <w:szCs w:val="24"/>
        </w:rPr>
        <w:t xml:space="preserve"> </w:t>
      </w:r>
      <w:r w:rsidRPr="00CA27E3">
        <w:rPr>
          <w:rFonts w:ascii="Sylfaen" w:hAnsi="Sylfaen"/>
          <w:sz w:val="24"/>
          <w:szCs w:val="24"/>
        </w:rPr>
        <w:t>հետ</w:t>
      </w:r>
      <w:r>
        <w:rPr>
          <w:rFonts w:ascii="Sylfaen" w:hAnsi="Sylfaen"/>
          <w:sz w:val="24"/>
          <w:szCs w:val="24"/>
        </w:rPr>
        <w:t>եւ</w:t>
      </w:r>
      <w:r w:rsidRPr="00CA27E3">
        <w:rPr>
          <w:rFonts w:ascii="Sylfaen" w:hAnsi="Sylfaen"/>
          <w:sz w:val="24"/>
          <w:szCs w:val="24"/>
        </w:rPr>
        <w:t xml:space="preserve">ել վերահսկիչ գծին՝ կարգավորելով համակարգի բնութագիրը </w:t>
      </w:r>
      <w:r>
        <w:rPr>
          <w:rFonts w:ascii="Sylfaen" w:hAnsi="Sylfaen"/>
          <w:sz w:val="24"/>
          <w:szCs w:val="24"/>
        </w:rPr>
        <w:t>եւ</w:t>
      </w:r>
      <w:r w:rsidRPr="00CA27E3">
        <w:rPr>
          <w:rFonts w:ascii="Sylfaen" w:hAnsi="Sylfaen"/>
          <w:sz w:val="24"/>
          <w:szCs w:val="24"/>
        </w:rPr>
        <w:t xml:space="preserve"> շրջանառու պոմպի արագությունը։ </w:t>
      </w:r>
    </w:p>
    <w:p w14:paraId="067516C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Համակարգի բնութագիրը ջեռուցման համակարգում կամ հովացման բաշխված համակարգում շփման ուժերի գործողության արդյունքում</w:t>
      </w:r>
      <w:r>
        <w:rPr>
          <w:rFonts w:ascii="Sylfaen" w:hAnsi="Sylfaen"/>
          <w:sz w:val="24"/>
          <w:szCs w:val="24"/>
        </w:rPr>
        <w:t xml:space="preserve">  </w:t>
      </w:r>
      <w:r w:rsidRPr="00CA27E3">
        <w:rPr>
          <w:rFonts w:ascii="Sylfaen" w:hAnsi="Sylfaen"/>
          <w:sz w:val="24"/>
          <w:szCs w:val="24"/>
        </w:rPr>
        <w:t xml:space="preserve">մատուցումից ճնշման կախվածության գրաֆիկն է (Н = f (Q)), ինչպես ցույց է տրված 2-րդ նկարում։ </w:t>
      </w:r>
    </w:p>
    <w:p w14:paraId="54F78C62" w14:textId="77777777" w:rsidR="00CA27E3" w:rsidRPr="00CA27E3" w:rsidRDefault="00000000" w:rsidP="00CA27E3">
      <w:pPr>
        <w:spacing w:after="160" w:line="360" w:lineRule="auto"/>
        <w:jc w:val="center"/>
        <w:rPr>
          <w:rFonts w:ascii="Sylfaen" w:hAnsi="Sylfaen" w:cs="Sylfaen"/>
        </w:rPr>
      </w:pPr>
      <w:r>
        <w:rPr>
          <w:rFonts w:ascii="Sylfaen" w:hAnsi="Sylfaen" w:cs="Sylfaen"/>
          <w:noProof/>
        </w:rPr>
        <w:pict w14:anchorId="19C8DA1E">
          <v:group id="_x0000_s1026" style="position:absolute;left:0;text-align:left;margin-left:164.6pt;margin-top:13.25pt;width:236.25pt;height:15pt;z-index:251660288" coordorigin="4710,9450" coordsize="4725,300">
            <v:rect id="_x0000_s1027" style="position:absolute;left:6720;top:9450;width:2715;height:300" stroked="f">
              <v:textbox style="mso-next-textbox:#_x0000_s1027" inset="0,0,0,0">
                <w:txbxContent>
                  <w:p w14:paraId="3A911843" w14:textId="77777777" w:rsidR="0027701C" w:rsidRPr="00B0255B" w:rsidRDefault="0027701C" w:rsidP="00D303C2">
                    <w:pPr>
                      <w:jc w:val="center"/>
                      <w:rPr>
                        <w:rFonts w:ascii="Sylfaen" w:hAnsi="Sylfaen"/>
                        <w:sz w:val="20"/>
                        <w:szCs w:val="20"/>
                      </w:rPr>
                    </w:pPr>
                    <w:r w:rsidRPr="00B0255B">
                      <w:rPr>
                        <w:rFonts w:ascii="Sylfaen" w:hAnsi="Sylfaen"/>
                        <w:sz w:val="20"/>
                        <w:szCs w:val="20"/>
                      </w:rPr>
                      <w:t>Համակարգի բնութագիրը</w:t>
                    </w:r>
                  </w:p>
                </w:txbxContent>
              </v:textbox>
            </v:rect>
            <v:rect id="_x0000_s1028" style="position:absolute;left:4710;top:9450;width:1080;height:180" stroked="f">
              <v:textbox style="mso-next-textbox:#_x0000_s1028" inset="0,0,0,0">
                <w:txbxContent>
                  <w:p w14:paraId="5C0E34CD" w14:textId="77777777" w:rsidR="0027701C" w:rsidRPr="00B85E99" w:rsidRDefault="0027701C" w:rsidP="00CA27E3">
                    <w:pPr>
                      <w:rPr>
                        <w:sz w:val="14"/>
                      </w:rPr>
                    </w:pPr>
                    <w:r>
                      <w:rPr>
                        <w:sz w:val="14"/>
                      </w:rPr>
                      <w:t>Համակարգի կոր</w:t>
                    </w:r>
                  </w:p>
                </w:txbxContent>
              </v:textbox>
            </v:rect>
          </v:group>
        </w:pict>
      </w:r>
      <w:r w:rsidR="00CA27E3" w:rsidRPr="00CA27E3">
        <w:rPr>
          <w:rFonts w:ascii="Sylfaen" w:hAnsi="Sylfaen" w:cs="Sylfaen"/>
          <w:noProof/>
          <w:lang w:val="en-US" w:eastAsia="en-US" w:bidi="ar-SA"/>
        </w:rPr>
        <w:drawing>
          <wp:inline distT="0" distB="0" distL="0" distR="0" wp14:anchorId="49647A41" wp14:editId="2EB2E2C9">
            <wp:extent cx="4657725" cy="2058203"/>
            <wp:effectExtent l="1905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4659781" cy="2059112"/>
                    </a:xfrm>
                    <a:prstGeom prst="rect">
                      <a:avLst/>
                    </a:prstGeom>
                    <a:noFill/>
                    <a:ln w="9525">
                      <a:noFill/>
                      <a:miter lim="800000"/>
                      <a:headEnd/>
                      <a:tailEnd/>
                    </a:ln>
                  </pic:spPr>
                </pic:pic>
              </a:graphicData>
            </a:graphic>
          </wp:inline>
        </w:drawing>
      </w:r>
    </w:p>
    <w:p w14:paraId="37D17F5E" w14:textId="77777777" w:rsidR="00CA27E3" w:rsidRPr="00D83000" w:rsidRDefault="00CA27E3" w:rsidP="00CA27E3">
      <w:pPr>
        <w:pStyle w:val="30"/>
        <w:shd w:val="clear" w:color="auto" w:fill="auto"/>
        <w:spacing w:after="160" w:line="360" w:lineRule="auto"/>
        <w:rPr>
          <w:rFonts w:ascii="Sylfaen" w:hAnsi="Sylfaen" w:cs="Sylfaen"/>
          <w:sz w:val="20"/>
          <w:szCs w:val="20"/>
        </w:rPr>
      </w:pPr>
      <w:r w:rsidRPr="00D83000">
        <w:rPr>
          <w:rFonts w:ascii="Sylfaen" w:hAnsi="Sylfaen"/>
          <w:sz w:val="20"/>
          <w:szCs w:val="20"/>
        </w:rPr>
        <w:t>Նկ. 2. Ինտեգրված շրջանառու պոմպի համակարգի բնութագիրը</w:t>
      </w:r>
    </w:p>
    <w:p w14:paraId="7B1004F9" w14:textId="77777777" w:rsidR="00CA27E3" w:rsidRPr="00CA27E3" w:rsidRDefault="00CA27E3" w:rsidP="00B0255B">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Չափվում է Q</w:t>
      </w:r>
      <w:r w:rsidRPr="00CA27E3">
        <w:rPr>
          <w:rFonts w:ascii="Sylfaen" w:hAnsi="Sylfaen"/>
          <w:sz w:val="24"/>
          <w:szCs w:val="24"/>
          <w:vertAlign w:val="subscript"/>
        </w:rPr>
        <w:t>100%</w:t>
      </w:r>
      <w:r w:rsidRPr="00CA27E3">
        <w:rPr>
          <w:rFonts w:ascii="Sylfaen" w:hAnsi="Sylfaen"/>
          <w:sz w:val="24"/>
          <w:szCs w:val="24"/>
        </w:rPr>
        <w:t>, 0,75 × Q</w:t>
      </w:r>
      <w:r w:rsidRPr="00CA27E3">
        <w:rPr>
          <w:rFonts w:ascii="Sylfaen" w:hAnsi="Sylfaen"/>
          <w:sz w:val="24"/>
          <w:szCs w:val="24"/>
          <w:vertAlign w:val="subscript"/>
        </w:rPr>
        <w:t>100%</w:t>
      </w:r>
      <w:r w:rsidRPr="00CA27E3">
        <w:rPr>
          <w:rFonts w:ascii="Sylfaen" w:hAnsi="Sylfaen"/>
          <w:sz w:val="24"/>
          <w:szCs w:val="24"/>
        </w:rPr>
        <w:t>, 0,5 × Q</w:t>
      </w:r>
      <w:r w:rsidRPr="00CA27E3">
        <w:rPr>
          <w:rFonts w:ascii="Sylfaen" w:hAnsi="Sylfaen"/>
          <w:sz w:val="24"/>
          <w:szCs w:val="24"/>
          <w:vertAlign w:val="subscript"/>
        </w:rPr>
        <w:t>100%</w:t>
      </w:r>
      <w:r w:rsidRPr="00CA27E3">
        <w:rPr>
          <w:rFonts w:ascii="Sylfaen" w:hAnsi="Sylfaen"/>
          <w:sz w:val="24"/>
          <w:szCs w:val="24"/>
        </w:rPr>
        <w:t xml:space="preserve"> </w:t>
      </w:r>
      <w:r>
        <w:rPr>
          <w:rFonts w:ascii="Sylfaen" w:hAnsi="Sylfaen"/>
          <w:i/>
          <w:sz w:val="24"/>
          <w:szCs w:val="24"/>
        </w:rPr>
        <w:t>եւ</w:t>
      </w:r>
      <w:r w:rsidRPr="00CA27E3">
        <w:rPr>
          <w:rFonts w:ascii="Sylfaen" w:hAnsi="Sylfaen"/>
          <w:i/>
          <w:sz w:val="24"/>
          <w:szCs w:val="24"/>
        </w:rPr>
        <w:t xml:space="preserve"> 0,25 ×</w:t>
      </w:r>
      <w:r w:rsidRPr="00CA27E3">
        <w:rPr>
          <w:rFonts w:ascii="Sylfaen" w:hAnsi="Sylfaen"/>
          <w:sz w:val="24"/>
          <w:szCs w:val="24"/>
        </w:rPr>
        <w:t xml:space="preserve"> Q</w:t>
      </w:r>
      <w:r w:rsidRPr="00CA27E3">
        <w:rPr>
          <w:rFonts w:ascii="Sylfaen" w:hAnsi="Sylfaen"/>
          <w:sz w:val="24"/>
          <w:szCs w:val="24"/>
          <w:vertAlign w:val="subscript"/>
        </w:rPr>
        <w:t>100</w:t>
      </w:r>
      <w:r w:rsidRPr="00CA27E3">
        <w:rPr>
          <w:rFonts w:ascii="Sylfaen" w:hAnsi="Sylfaen"/>
          <w:sz w:val="24"/>
          <w:szCs w:val="24"/>
        </w:rPr>
        <w:t>% մատուցումներում Р</w:t>
      </w:r>
      <w:r w:rsidRPr="00CA27E3">
        <w:rPr>
          <w:rFonts w:ascii="Sylfaen" w:hAnsi="Sylfaen"/>
          <w:sz w:val="24"/>
          <w:szCs w:val="24"/>
          <w:vertAlign w:val="subscript"/>
        </w:rPr>
        <w:t>1</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Н, որտեղ</w:t>
      </w:r>
      <w:r>
        <w:rPr>
          <w:rFonts w:ascii="Sylfaen" w:hAnsi="Sylfaen"/>
          <w:sz w:val="24"/>
          <w:szCs w:val="24"/>
        </w:rPr>
        <w:t xml:space="preserve"> </w:t>
      </w:r>
      <w:r w:rsidRPr="00CA27E3">
        <w:rPr>
          <w:rFonts w:ascii="Sylfaen" w:hAnsi="Sylfaen"/>
          <w:sz w:val="24"/>
          <w:szCs w:val="24"/>
        </w:rPr>
        <w:t>P</w:t>
      </w:r>
      <w:r w:rsidRPr="00CA27E3">
        <w:rPr>
          <w:rFonts w:ascii="Sylfaen" w:hAnsi="Sylfaen"/>
          <w:sz w:val="24"/>
          <w:szCs w:val="24"/>
          <w:vertAlign w:val="subscript"/>
        </w:rPr>
        <w:t>1</w:t>
      </w:r>
      <w:r w:rsidRPr="00CA27E3">
        <w:rPr>
          <w:rFonts w:ascii="Sylfaen" w:hAnsi="Sylfaen"/>
          <w:sz w:val="24"/>
          <w:szCs w:val="24"/>
        </w:rPr>
        <w:t>-ը՝ համապատասխան աշխատանքային կետում շրջանառու պոմպով սպառվող էլեկտրական հզորությունն է (Վտ-ով)։</w:t>
      </w:r>
      <w:r>
        <w:rPr>
          <w:rFonts w:ascii="Sylfaen" w:hAnsi="Sylfaen"/>
          <w:sz w:val="24"/>
          <w:szCs w:val="24"/>
        </w:rPr>
        <w:t xml:space="preserve"> </w:t>
      </w:r>
    </w:p>
    <w:p w14:paraId="309BBDC4" w14:textId="77777777" w:rsidR="00CA27E3" w:rsidRPr="00CA27E3" w:rsidRDefault="00CA27E3" w:rsidP="00B0255B">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Հաշվարկվում է P</w:t>
      </w:r>
      <w:r w:rsidRPr="00CA27E3">
        <w:rPr>
          <w:rFonts w:ascii="Sylfaen" w:hAnsi="Sylfaen"/>
          <w:smallCaps/>
          <w:sz w:val="24"/>
          <w:szCs w:val="24"/>
          <w:vertAlign w:val="subscript"/>
        </w:rPr>
        <w:t>l</w:t>
      </w:r>
      <w:r w:rsidRPr="00CA27E3">
        <w:rPr>
          <w:rFonts w:ascii="Sylfaen" w:hAnsi="Sylfaen"/>
          <w:sz w:val="24"/>
          <w:szCs w:val="24"/>
        </w:rPr>
        <w:t>-ը հետ</w:t>
      </w:r>
      <w:r>
        <w:rPr>
          <w:rFonts w:ascii="Sylfaen" w:hAnsi="Sylfaen"/>
          <w:sz w:val="24"/>
          <w:szCs w:val="24"/>
        </w:rPr>
        <w:t>եւ</w:t>
      </w:r>
      <w:r w:rsidRPr="00CA27E3">
        <w:rPr>
          <w:rFonts w:ascii="Sylfaen" w:hAnsi="Sylfaen"/>
          <w:sz w:val="24"/>
          <w:szCs w:val="24"/>
        </w:rPr>
        <w:t>յալ ձ</w:t>
      </w:r>
      <w:r>
        <w:rPr>
          <w:rFonts w:ascii="Sylfaen" w:hAnsi="Sylfaen"/>
          <w:sz w:val="24"/>
          <w:szCs w:val="24"/>
        </w:rPr>
        <w:t>եւ</w:t>
      </w:r>
      <w:r w:rsidRPr="00CA27E3">
        <w:rPr>
          <w:rFonts w:ascii="Sylfaen" w:hAnsi="Sylfaen"/>
          <w:sz w:val="24"/>
          <w:szCs w:val="24"/>
        </w:rPr>
        <w:t>ով՝</w:t>
      </w:r>
    </w:p>
    <w:p w14:paraId="61CBE50A" w14:textId="77777777" w:rsidR="00CA27E3" w:rsidRPr="00CA27E3" w:rsidRDefault="00000000" w:rsidP="00CA27E3">
      <w:pPr>
        <w:pStyle w:val="20"/>
        <w:shd w:val="clear" w:color="auto" w:fill="auto"/>
        <w:spacing w:after="160" w:line="360" w:lineRule="auto"/>
        <w:rPr>
          <w:rFonts w:ascii="Sylfaen" w:hAnsi="Sylfaen" w:cs="Sylfaen"/>
          <w:i/>
          <w:sz w:val="24"/>
          <w:szCs w:val="24"/>
        </w:rPr>
      </w:pPr>
      <m:oMathPara>
        <m:oMathParaPr>
          <m:jc m:val="center"/>
        </m:oMathParaPr>
        <m:oMath>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L</m:t>
              </m:r>
            </m:sub>
          </m:sSub>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H</m:t>
                  </m:r>
                </m:e>
                <m:sub>
                  <m:r>
                    <w:rPr>
                      <w:rFonts w:ascii="Cambria Math" w:hAnsi="Cambria Math" w:cs="Sylfaen"/>
                      <w:sz w:val="24"/>
                      <w:szCs w:val="24"/>
                    </w:rPr>
                    <m:t>ref</m:t>
                  </m:r>
                </m:sub>
              </m:sSub>
            </m:num>
            <m:den>
              <m:sSub>
                <m:sSubPr>
                  <m:ctrlPr>
                    <w:rPr>
                      <w:rFonts w:ascii="Cambria Math" w:hAnsi="Sylfaen" w:cs="Sylfaen"/>
                      <w:i/>
                      <w:sz w:val="24"/>
                      <w:szCs w:val="24"/>
                    </w:rPr>
                  </m:ctrlPr>
                </m:sSubPr>
                <m:e>
                  <m:r>
                    <w:rPr>
                      <w:rFonts w:ascii="Cambria Math" w:hAnsi="Cambria Math" w:cs="Sylfaen"/>
                      <w:sz w:val="24"/>
                      <w:szCs w:val="24"/>
                    </w:rPr>
                    <m:t>H</m:t>
                  </m:r>
                </m:e>
                <m:sub>
                  <m:r>
                    <w:rPr>
                      <w:rFonts w:ascii="Cambria Math" w:hAnsi="Cambria Math" w:cs="Sylfaen"/>
                      <w:sz w:val="24"/>
                      <w:szCs w:val="24"/>
                    </w:rPr>
                    <m:t>meas</m:t>
                  </m:r>
                </m:sub>
              </m:sSub>
            </m:den>
          </m:f>
          <m:r>
            <w:rPr>
              <w:rFonts w:ascii="Cambria Math" w:hAnsi="Cambria Math" w:cs="Sylfaen"/>
              <w:sz w:val="24"/>
              <w:szCs w:val="24"/>
            </w:rPr>
            <m:t>x</m:t>
          </m:r>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Sylfaen" w:cs="Sylfaen"/>
                  <w:sz w:val="24"/>
                  <w:szCs w:val="24"/>
                </w:rPr>
                <m:t>1,</m:t>
              </m:r>
              <m:r>
                <w:rPr>
                  <w:rFonts w:ascii="Cambria Math" w:hAnsi="Cambria Math" w:cs="Sylfaen"/>
                  <w:sz w:val="24"/>
                  <w:szCs w:val="24"/>
                </w:rPr>
                <m:t>meas</m:t>
              </m:r>
              <m:r>
                <w:rPr>
                  <w:rFonts w:ascii="Cambria Math" w:hAnsi="Sylfaen" w:cs="Sylfaen"/>
                  <w:sz w:val="24"/>
                  <w:szCs w:val="24"/>
                </w:rPr>
                <m:t>,</m:t>
              </m:r>
            </m:sub>
          </m:sSub>
          <m:r>
            <w:rPr>
              <w:rFonts w:ascii="Sylfaen" w:hAnsi="Sylfaen" w:cs="Sylfaen"/>
              <w:sz w:val="24"/>
              <w:szCs w:val="24"/>
            </w:rPr>
            <m:t>եթե</m:t>
          </m:r>
          <m:r>
            <w:rPr>
              <w:rFonts w:ascii="Cambria Math" w:hAnsi="Sylfaen" w:cs="Sylfaen"/>
              <w:sz w:val="24"/>
              <w:szCs w:val="24"/>
            </w:rPr>
            <m:t xml:space="preserve"> </m:t>
          </m:r>
          <m:sSub>
            <m:sSubPr>
              <m:ctrlPr>
                <w:rPr>
                  <w:rFonts w:ascii="Cambria Math" w:hAnsi="Sylfaen" w:cs="Sylfaen"/>
                  <w:i/>
                  <w:sz w:val="24"/>
                  <w:szCs w:val="24"/>
                </w:rPr>
              </m:ctrlPr>
            </m:sSubPr>
            <m:e>
              <m:r>
                <w:rPr>
                  <w:rFonts w:ascii="Cambria Math" w:hAnsi="Cambria Math" w:cs="Sylfaen"/>
                  <w:sz w:val="24"/>
                  <w:szCs w:val="24"/>
                </w:rPr>
                <m:t>H</m:t>
              </m:r>
            </m:e>
            <m:sub>
              <m:r>
                <w:rPr>
                  <w:rFonts w:ascii="Cambria Math" w:hAnsi="Cambria Math" w:cs="Sylfaen"/>
                  <w:sz w:val="24"/>
                  <w:szCs w:val="24"/>
                </w:rPr>
                <m:t>meas</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H</m:t>
              </m:r>
            </m:e>
            <m:sub>
              <m:r>
                <w:rPr>
                  <w:rFonts w:ascii="Cambria Math" w:hAnsi="Cambria Math" w:cs="Sylfaen"/>
                  <w:sz w:val="24"/>
                  <w:szCs w:val="24"/>
                </w:rPr>
                <m:t>ref</m:t>
              </m:r>
            </m:sub>
          </m:sSub>
          <m:r>
            <w:rPr>
              <w:rFonts w:ascii="Cambria Math" w:hAnsi="Sylfaen" w:cs="Sylfaen"/>
              <w:sz w:val="24"/>
              <w:szCs w:val="24"/>
            </w:rPr>
            <m:t>;</m:t>
          </m:r>
        </m:oMath>
      </m:oMathPara>
    </w:p>
    <w:p w14:paraId="661E8C7E" w14:textId="77777777" w:rsidR="00CA27E3" w:rsidRPr="00CA27E3" w:rsidRDefault="00CA27E3" w:rsidP="00CA27E3">
      <w:pPr>
        <w:pStyle w:val="20"/>
        <w:shd w:val="clear" w:color="auto" w:fill="auto"/>
        <w:spacing w:after="160" w:line="360" w:lineRule="auto"/>
        <w:ind w:left="3720"/>
        <w:rPr>
          <w:rFonts w:ascii="Sylfaen" w:hAnsi="Sylfaen" w:cs="Sylfaen"/>
          <w:sz w:val="24"/>
          <w:szCs w:val="24"/>
        </w:rPr>
      </w:pPr>
    </w:p>
    <w:p w14:paraId="3D00B223" w14:textId="77777777" w:rsidR="00CA27E3" w:rsidRPr="00CA27E3" w:rsidRDefault="00000000" w:rsidP="00CA27E3">
      <w:pPr>
        <w:pStyle w:val="20"/>
        <w:shd w:val="clear" w:color="auto" w:fill="auto"/>
        <w:spacing w:after="160" w:line="360" w:lineRule="auto"/>
        <w:rPr>
          <w:rFonts w:ascii="Sylfaen" w:hAnsi="Sylfaen" w:cs="Sylfaen"/>
          <w:i/>
          <w:sz w:val="24"/>
          <w:szCs w:val="24"/>
        </w:rPr>
      </w:pPr>
      <m:oMathPara>
        <m:oMathParaPr>
          <m:jc m:val="center"/>
        </m:oMathParaPr>
        <m:oMath>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L</m:t>
              </m:r>
            </m:sub>
          </m:sSub>
          <m:r>
            <w:rPr>
              <w:rFonts w:ascii="Cambria Math" w:hAnsi="Sylfaen" w:cs="Sylfaen"/>
              <w:sz w:val="24"/>
              <w:szCs w:val="24"/>
            </w:rPr>
            <m:t>=</m:t>
          </m:r>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Sylfaen" w:cs="Sylfaen"/>
                  <w:sz w:val="24"/>
                  <w:szCs w:val="24"/>
                </w:rPr>
                <m:t>1,</m:t>
              </m:r>
              <m:r>
                <w:rPr>
                  <w:rFonts w:ascii="Cambria Math" w:hAnsi="Cambria Math" w:cs="Sylfaen"/>
                  <w:sz w:val="24"/>
                  <w:szCs w:val="24"/>
                </w:rPr>
                <m:t>meas</m:t>
              </m:r>
              <m:r>
                <w:rPr>
                  <w:rFonts w:ascii="Cambria Math" w:hAnsi="Sylfaen" w:cs="Sylfaen"/>
                  <w:sz w:val="24"/>
                  <w:szCs w:val="24"/>
                </w:rPr>
                <m:t>,</m:t>
              </m:r>
            </m:sub>
          </m:sSub>
          <m:r>
            <w:rPr>
              <w:rFonts w:ascii="Cambria Math" w:hAnsi="Sylfaen" w:cs="Sylfaen"/>
              <w:sz w:val="24"/>
              <w:szCs w:val="24"/>
            </w:rPr>
            <m:t xml:space="preserve"> </m:t>
          </m:r>
          <m:r>
            <w:rPr>
              <w:rFonts w:ascii="Sylfaen" w:hAnsi="Sylfaen" w:cs="Sylfaen"/>
              <w:sz w:val="24"/>
              <w:szCs w:val="24"/>
            </w:rPr>
            <m:t>եթե</m:t>
          </m:r>
          <m:r>
            <w:rPr>
              <w:rFonts w:ascii="Cambria Math" w:hAnsi="Sylfaen" w:cs="Sylfaen"/>
              <w:sz w:val="24"/>
              <w:szCs w:val="24"/>
            </w:rPr>
            <m:t xml:space="preserve"> </m:t>
          </m:r>
          <m:sSub>
            <m:sSubPr>
              <m:ctrlPr>
                <w:rPr>
                  <w:rFonts w:ascii="Cambria Math" w:hAnsi="Sylfaen" w:cs="Sylfaen"/>
                  <w:i/>
                  <w:sz w:val="24"/>
                  <w:szCs w:val="24"/>
                </w:rPr>
              </m:ctrlPr>
            </m:sSubPr>
            <m:e>
              <m:r>
                <w:rPr>
                  <w:rFonts w:ascii="Cambria Math" w:hAnsi="Cambria Math" w:cs="Sylfaen"/>
                  <w:sz w:val="24"/>
                  <w:szCs w:val="24"/>
                </w:rPr>
                <m:t>H</m:t>
              </m:r>
            </m:e>
            <m:sub>
              <m:r>
                <w:rPr>
                  <w:rFonts w:ascii="Cambria Math" w:hAnsi="Cambria Math" w:cs="Sylfaen"/>
                  <w:sz w:val="24"/>
                  <w:szCs w:val="24"/>
                </w:rPr>
                <m:t>meas</m:t>
              </m:r>
            </m:sub>
          </m:sSub>
          <m:r>
            <w:rPr>
              <w:rFonts w:ascii="Cambria Math" w:hAnsi="Sylfaen" w:cs="Sylfaen"/>
              <w:sz w:val="24"/>
              <w:szCs w:val="24"/>
            </w:rPr>
            <m:t>&gt;</m:t>
          </m:r>
          <m:sSub>
            <m:sSubPr>
              <m:ctrlPr>
                <w:rPr>
                  <w:rFonts w:ascii="Cambria Math" w:hAnsi="Sylfaen" w:cs="Sylfaen"/>
                  <w:i/>
                  <w:sz w:val="24"/>
                  <w:szCs w:val="24"/>
                </w:rPr>
              </m:ctrlPr>
            </m:sSubPr>
            <m:e>
              <m:r>
                <w:rPr>
                  <w:rFonts w:ascii="Cambria Math" w:hAnsi="Cambria Math" w:cs="Sylfaen"/>
                  <w:sz w:val="24"/>
                  <w:szCs w:val="24"/>
                </w:rPr>
                <m:t>H</m:t>
              </m:r>
            </m:e>
            <m:sub>
              <m:r>
                <w:rPr>
                  <w:rFonts w:ascii="Cambria Math" w:hAnsi="Cambria Math" w:cs="Sylfaen"/>
                  <w:sz w:val="24"/>
                  <w:szCs w:val="24"/>
                </w:rPr>
                <m:t>ref</m:t>
              </m:r>
            </m:sub>
          </m:sSub>
          <m:r>
            <w:rPr>
              <w:rFonts w:ascii="Cambria Math" w:hAnsi="Sylfaen" w:cs="Sylfaen"/>
              <w:sz w:val="24"/>
              <w:szCs w:val="24"/>
            </w:rPr>
            <m:t>,</m:t>
          </m:r>
        </m:oMath>
      </m:oMathPara>
    </w:p>
    <w:p w14:paraId="5EBEC5E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57BBED7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H</w:t>
      </w:r>
      <w:r w:rsidRPr="00CA27E3">
        <w:rPr>
          <w:rFonts w:ascii="Sylfaen" w:hAnsi="Sylfaen"/>
          <w:sz w:val="24"/>
          <w:szCs w:val="24"/>
          <w:vertAlign w:val="subscript"/>
        </w:rPr>
        <w:t>ref</w:t>
      </w:r>
      <w:r w:rsidRPr="00CA27E3">
        <w:rPr>
          <w:rFonts w:ascii="Sylfaen" w:hAnsi="Sylfaen"/>
          <w:sz w:val="24"/>
          <w:szCs w:val="24"/>
        </w:rPr>
        <w:t>՝ տարբեր մատուցումների դեպքում հենարանային վերահսկիչ գծի վրա ճնշումը.</w:t>
      </w:r>
    </w:p>
    <w:p w14:paraId="5F90C17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 xml:space="preserve">1,meas </w:t>
      </w:r>
      <w:r w:rsidRPr="00CA27E3">
        <w:rPr>
          <w:rFonts w:ascii="Sylfaen" w:hAnsi="Sylfaen"/>
          <w:sz w:val="24"/>
          <w:szCs w:val="24"/>
        </w:rPr>
        <w:t>՝ չափված էլեկտրական հզորությունը.</w:t>
      </w:r>
    </w:p>
    <w:p w14:paraId="4F5A117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H</w:t>
      </w:r>
      <w:r w:rsidRPr="00CA27E3">
        <w:rPr>
          <w:rFonts w:ascii="Sylfaen" w:hAnsi="Sylfaen"/>
          <w:sz w:val="24"/>
          <w:szCs w:val="24"/>
          <w:vertAlign w:val="subscript"/>
        </w:rPr>
        <w:t>meas</w:t>
      </w:r>
      <w:r w:rsidRPr="00CA27E3">
        <w:rPr>
          <w:rFonts w:ascii="Sylfaen" w:hAnsi="Sylfaen"/>
          <w:sz w:val="24"/>
          <w:szCs w:val="24"/>
        </w:rPr>
        <w:t>՝ չափված ճնշումը։</w:t>
      </w:r>
    </w:p>
    <w:p w14:paraId="4D5E223B" w14:textId="77777777" w:rsidR="00CA27E3" w:rsidRPr="003D2C38"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 xml:space="preserve">Օգտագործվում է Pl-ի արժեքները </w:t>
      </w:r>
      <w:r>
        <w:rPr>
          <w:rFonts w:ascii="Sylfaen" w:hAnsi="Sylfaen"/>
          <w:sz w:val="24"/>
          <w:szCs w:val="24"/>
        </w:rPr>
        <w:t>եւ</w:t>
      </w:r>
      <w:r w:rsidRPr="00CA27E3">
        <w:rPr>
          <w:rFonts w:ascii="Sylfaen" w:hAnsi="Sylfaen"/>
          <w:sz w:val="24"/>
          <w:szCs w:val="24"/>
        </w:rPr>
        <w:t xml:space="preserve"> 3-րդ նկարում ներկայացված՝ բեռնվածքի պրոֆիլը՝ </w:t>
      </w:r>
    </w:p>
    <w:p w14:paraId="2F541D42" w14:textId="77777777" w:rsidR="00CA27E3" w:rsidRPr="00CA27E3" w:rsidRDefault="00000000" w:rsidP="00CA27E3">
      <w:pPr>
        <w:spacing w:after="160" w:line="360" w:lineRule="auto"/>
        <w:jc w:val="center"/>
        <w:rPr>
          <w:rFonts w:ascii="Sylfaen" w:hAnsi="Sylfaen" w:cs="Sylfaen"/>
        </w:rPr>
      </w:pPr>
      <w:r>
        <w:rPr>
          <w:rFonts w:ascii="Sylfaen" w:hAnsi="Sylfaen" w:cs="Sylfaen"/>
          <w:noProof/>
        </w:rPr>
        <w:pict w14:anchorId="1FB30453">
          <v:group id="_x0000_s1029" style="position:absolute;left:0;text-align:left;margin-left:15.35pt;margin-top:7.95pt;width:420.75pt;height:252pt;z-index:251661312" coordorigin="1725,6210" coordsize="8415,5040">
            <v:rect id="_x0000_s1030" style="position:absolute;left:6555;top:10860;width:3585;height:390" stroked="f">
              <v:textbox inset="0,0,0,0">
                <w:txbxContent>
                  <w:p w14:paraId="0539FDAA" w14:textId="77777777" w:rsidR="0027701C" w:rsidRPr="00D303C2" w:rsidRDefault="0027701C" w:rsidP="00B0255B">
                    <w:pPr>
                      <w:jc w:val="center"/>
                      <w:rPr>
                        <w:rFonts w:ascii="Sylfaen" w:hAnsi="Sylfaen"/>
                        <w:sz w:val="20"/>
                        <w:szCs w:val="20"/>
                      </w:rPr>
                    </w:pPr>
                    <w:r w:rsidRPr="00D303C2">
                      <w:rPr>
                        <w:rFonts w:ascii="Sylfaen" w:hAnsi="Sylfaen"/>
                        <w:sz w:val="20"/>
                        <w:szCs w:val="20"/>
                      </w:rPr>
                      <w:t>Նկ.3 Բեռնվածքի պրոֆիլ։</w:t>
                    </w:r>
                  </w:p>
                </w:txbxContent>
              </v:textbox>
            </v:rect>
            <v:rect id="_x0000_s1031" style="position:absolute;left:1725;top:6210;width:1590;height:300" stroked="f">
              <v:textbox inset="0,0,0,0">
                <w:txbxContent>
                  <w:p w14:paraId="4F4C14F8" w14:textId="77777777" w:rsidR="0027701C" w:rsidRPr="00EF2DFF" w:rsidRDefault="0027701C" w:rsidP="00CA27E3">
                    <w:pPr>
                      <w:rPr>
                        <w:rFonts w:ascii="Sylfaen" w:hAnsi="Sylfaen"/>
                      </w:rPr>
                    </w:pPr>
                    <w:r w:rsidRPr="00D03AEB">
                      <w:rPr>
                        <w:sz w:val="16"/>
                        <w:szCs w:val="16"/>
                      </w:rPr>
                      <w:t>Մատ</w:t>
                    </w:r>
                    <w:r>
                      <w:rPr>
                        <w:rFonts w:ascii="Sylfaen" w:hAnsi="Sylfaen"/>
                        <w:sz w:val="16"/>
                        <w:szCs w:val="16"/>
                      </w:rPr>
                      <w:t>ուցում</w:t>
                    </w:r>
                    <w:r>
                      <w:t>(%)</w:t>
                    </w:r>
                  </w:p>
                </w:txbxContent>
              </v:textbox>
            </v:rect>
            <v:rect id="_x0000_s1032" style="position:absolute;left:3525;top:6210;width:1410;height:300" stroked="f">
              <v:textbox inset="0,0,0,0">
                <w:txbxContent>
                  <w:p w14:paraId="438F5F03" w14:textId="77777777" w:rsidR="0027701C" w:rsidRPr="00EF2DFF" w:rsidRDefault="0027701C" w:rsidP="00CA27E3">
                    <w:pPr>
                      <w:rPr>
                        <w:sz w:val="16"/>
                        <w:szCs w:val="16"/>
                      </w:rPr>
                    </w:pPr>
                    <w:r w:rsidRPr="00D03AEB">
                      <w:rPr>
                        <w:sz w:val="16"/>
                        <w:szCs w:val="16"/>
                      </w:rPr>
                      <w:t>Ժամանակ (%)</w:t>
                    </w:r>
                  </w:p>
                </w:txbxContent>
              </v:textbox>
            </v:rect>
          </v:group>
        </w:pict>
      </w:r>
      <w:r w:rsidR="00CA27E3" w:rsidRPr="00CA27E3">
        <w:rPr>
          <w:rFonts w:ascii="Sylfaen" w:hAnsi="Sylfaen" w:cs="Sylfaen"/>
          <w:noProof/>
          <w:lang w:val="en-US" w:eastAsia="en-US" w:bidi="ar-SA"/>
        </w:rPr>
        <w:drawing>
          <wp:inline distT="0" distB="0" distL="0" distR="0" wp14:anchorId="31B9ACAF" wp14:editId="3B2288D2">
            <wp:extent cx="6156960" cy="334073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stretch/>
                  </pic:blipFill>
                  <pic:spPr>
                    <a:xfrm>
                      <a:off x="0" y="0"/>
                      <a:ext cx="6156960" cy="3340735"/>
                    </a:xfrm>
                    <a:prstGeom prst="rect">
                      <a:avLst/>
                    </a:prstGeom>
                  </pic:spPr>
                </pic:pic>
              </a:graphicData>
            </a:graphic>
          </wp:inline>
        </w:drawing>
      </w:r>
    </w:p>
    <w:p w14:paraId="48F32F1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Միջին կշռված հզորությունը (PLavg)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 xml:space="preserve">ով՝ </w:t>
      </w:r>
    </w:p>
    <w:p w14:paraId="34615A98" w14:textId="77777777" w:rsidR="00CA27E3" w:rsidRPr="00CA27E3" w:rsidRDefault="00CA27E3" w:rsidP="00B0255B">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L,avg</w:t>
      </w:r>
      <w:r w:rsidRPr="00CA27E3">
        <w:rPr>
          <w:rFonts w:ascii="Sylfaen" w:hAnsi="Sylfaen"/>
          <w:sz w:val="24"/>
          <w:szCs w:val="24"/>
        </w:rPr>
        <w:t xml:space="preserve"> = 0,06 × P</w:t>
      </w:r>
      <w:r w:rsidRPr="00CA27E3">
        <w:rPr>
          <w:rFonts w:ascii="Sylfaen" w:hAnsi="Sylfaen"/>
          <w:sz w:val="24"/>
          <w:szCs w:val="24"/>
          <w:vertAlign w:val="subscript"/>
        </w:rPr>
        <w:t>L,100%</w:t>
      </w:r>
      <w:r w:rsidRPr="00CA27E3">
        <w:rPr>
          <w:rFonts w:ascii="Sylfaen" w:hAnsi="Sylfaen"/>
          <w:sz w:val="24"/>
          <w:szCs w:val="24"/>
        </w:rPr>
        <w:t xml:space="preserve"> + 0,15 × P</w:t>
      </w:r>
      <w:r w:rsidRPr="00CA27E3">
        <w:rPr>
          <w:rFonts w:ascii="Sylfaen" w:hAnsi="Sylfaen"/>
          <w:sz w:val="24"/>
          <w:szCs w:val="24"/>
          <w:vertAlign w:val="subscript"/>
        </w:rPr>
        <w:t>L,75%</w:t>
      </w:r>
      <w:r w:rsidRPr="00CA27E3">
        <w:rPr>
          <w:rFonts w:ascii="Sylfaen" w:hAnsi="Sylfaen"/>
          <w:sz w:val="24"/>
          <w:szCs w:val="24"/>
        </w:rPr>
        <w:t xml:space="preserve"> + 0,35 × P</w:t>
      </w:r>
      <w:r w:rsidRPr="00CA27E3">
        <w:rPr>
          <w:rFonts w:ascii="Sylfaen" w:hAnsi="Sylfaen"/>
          <w:sz w:val="24"/>
          <w:szCs w:val="24"/>
          <w:vertAlign w:val="subscript"/>
        </w:rPr>
        <w:t xml:space="preserve">L,50% </w:t>
      </w:r>
      <w:r w:rsidRPr="00CA27E3">
        <w:rPr>
          <w:rFonts w:ascii="Sylfaen" w:hAnsi="Sylfaen"/>
          <w:sz w:val="24"/>
          <w:szCs w:val="24"/>
        </w:rPr>
        <w:t>+ 0,44 × P</w:t>
      </w:r>
      <w:r w:rsidRPr="00CA27E3">
        <w:rPr>
          <w:rFonts w:ascii="Sylfaen" w:hAnsi="Sylfaen"/>
          <w:sz w:val="24"/>
          <w:szCs w:val="24"/>
          <w:vertAlign w:val="subscript"/>
        </w:rPr>
        <w:t>L,25%,</w:t>
      </w:r>
      <w:r w:rsidRPr="00CA27E3">
        <w:rPr>
          <w:rFonts w:ascii="Sylfaen" w:hAnsi="Sylfaen"/>
          <w:sz w:val="24"/>
          <w:szCs w:val="24"/>
        </w:rPr>
        <w:t xml:space="preserve"> .</w:t>
      </w:r>
    </w:p>
    <w:p w14:paraId="15DD54A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Էներգետիկ արդյունավետության ցուցիչը (EEI)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 xml:space="preserve">ով՝ </w:t>
      </w:r>
    </w:p>
    <w:p w14:paraId="67049567"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m:oMathPara>
        <m:oMath>
          <m:r>
            <w:rPr>
              <w:rFonts w:ascii="Cambria Math" w:hAnsi="Cambria Math" w:cs="Sylfaen"/>
              <w:sz w:val="24"/>
              <w:szCs w:val="24"/>
            </w:rPr>
            <m:t>EEI</m:t>
          </m:r>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L</m:t>
                  </m:r>
                  <m:r>
                    <w:rPr>
                      <w:rFonts w:ascii="Cambria Math" w:hAnsi="Sylfaen" w:cs="Sylfaen"/>
                      <w:sz w:val="24"/>
                      <w:szCs w:val="24"/>
                    </w:rPr>
                    <m:t>,</m:t>
                  </m:r>
                  <m:r>
                    <w:rPr>
                      <w:rFonts w:ascii="Cambria Math" w:hAnsi="Cambria Math" w:cs="Sylfaen"/>
                      <w:sz w:val="24"/>
                      <w:szCs w:val="24"/>
                    </w:rPr>
                    <m:t>avg</m:t>
                  </m:r>
                </m:sub>
              </m:sSub>
            </m:num>
            <m:den>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ref</m:t>
                  </m:r>
                </m:sub>
              </m:sSub>
            </m:den>
          </m:f>
          <m:r>
            <w:rPr>
              <w:rFonts w:ascii="Cambria Math" w:hAnsi="Cambria Math" w:cs="Sylfaen"/>
              <w:sz w:val="24"/>
              <w:szCs w:val="24"/>
            </w:rPr>
            <m:t>x</m:t>
          </m:r>
          <m:sSub>
            <m:sSubPr>
              <m:ctrlPr>
                <w:rPr>
                  <w:rFonts w:ascii="Cambria Math" w:hAnsi="Sylfaen" w:cs="Sylfaen"/>
                  <w:i/>
                  <w:sz w:val="24"/>
                  <w:szCs w:val="24"/>
                </w:rPr>
              </m:ctrlPr>
            </m:sSubPr>
            <m:e>
              <m:r>
                <w:rPr>
                  <w:rFonts w:ascii="Cambria Math" w:hAnsi="Cambria Math" w:cs="Sylfaen"/>
                  <w:sz w:val="24"/>
                  <w:szCs w:val="24"/>
                </w:rPr>
                <m:t>C</m:t>
              </m:r>
            </m:e>
            <m:sub>
              <m:r>
                <w:rPr>
                  <w:rFonts w:ascii="Cambria Math" w:hAnsi="Sylfaen" w:cs="Sylfaen"/>
                  <w:sz w:val="24"/>
                  <w:szCs w:val="24"/>
                </w:rPr>
                <m:t>20%</m:t>
              </m:r>
            </m:sub>
          </m:sSub>
        </m:oMath>
      </m:oMathPara>
    </w:p>
    <w:p w14:paraId="35E4865B" w14:textId="77777777" w:rsidR="00CA27E3" w:rsidRPr="00CA27E3" w:rsidRDefault="00CA27E3" w:rsidP="00CA27E3">
      <w:pPr>
        <w:pStyle w:val="a0"/>
        <w:shd w:val="clear" w:color="auto" w:fill="auto"/>
        <w:spacing w:after="160"/>
        <w:ind w:firstLine="720"/>
        <w:rPr>
          <w:rFonts w:ascii="Sylfaen" w:hAnsi="Sylfaen" w:cs="Sylfaen"/>
          <w:sz w:val="24"/>
          <w:szCs w:val="24"/>
        </w:rPr>
      </w:pPr>
    </w:p>
    <w:p w14:paraId="1B03272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6301D1B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20%</w:t>
      </w:r>
      <w:r w:rsidRPr="00CA27E3">
        <w:rPr>
          <w:rFonts w:ascii="Sylfaen" w:hAnsi="Sylfaen"/>
          <w:sz w:val="24"/>
          <w:szCs w:val="24"/>
        </w:rPr>
        <w:t xml:space="preserve"> = 0,49։</w:t>
      </w:r>
    </w:p>
    <w:p w14:paraId="57D65AE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xx%</w:t>
      </w:r>
      <w:r w:rsidRPr="00CA27E3">
        <w:rPr>
          <w:rFonts w:ascii="Sylfaen" w:hAnsi="Sylfaen"/>
          <w:sz w:val="24"/>
          <w:szCs w:val="24"/>
        </w:rPr>
        <w:t>-ը ճշգրտման գործակիցն է, որը երաշխավորում է, որ ճշգրտման գործակիցը որոշելու ժամանակ որոշակի տիպի շրջանառու պոմպերի միայն ХХ</w:t>
      </w:r>
      <w:r w:rsidR="00B0255B" w:rsidRPr="00B0255B">
        <w:rPr>
          <w:rFonts w:ascii="Sylfaen" w:hAnsi="Sylfaen"/>
          <w:sz w:val="24"/>
          <w:szCs w:val="24"/>
        </w:rPr>
        <w:t> </w:t>
      </w:r>
      <w:r w:rsidRPr="00CA27E3">
        <w:rPr>
          <w:rFonts w:ascii="Sylfaen" w:hAnsi="Sylfaen"/>
          <w:sz w:val="24"/>
          <w:szCs w:val="24"/>
        </w:rPr>
        <w:t>%-ի EEI ≤ 0,20-ի։</w:t>
      </w:r>
      <w:r>
        <w:rPr>
          <w:rFonts w:ascii="Sylfaen" w:hAnsi="Sylfaen"/>
          <w:sz w:val="24"/>
          <w:szCs w:val="24"/>
        </w:rPr>
        <w:t xml:space="preserve"> </w:t>
      </w:r>
    </w:p>
    <w:p w14:paraId="556B17F4"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D303C2" w:rsidRPr="00D303C2">
        <w:rPr>
          <w:rFonts w:ascii="Sylfaen" w:hAnsi="Sylfaen"/>
          <w:sz w:val="24"/>
          <w:szCs w:val="24"/>
        </w:rPr>
        <w:tab/>
      </w:r>
      <w:r w:rsidRPr="00CA27E3">
        <w:rPr>
          <w:rFonts w:ascii="Sylfaen" w:hAnsi="Sylfaen"/>
          <w:sz w:val="24"/>
          <w:szCs w:val="24"/>
        </w:rPr>
        <w:t>Ար</w:t>
      </w:r>
      <w:r>
        <w:rPr>
          <w:rFonts w:ascii="Sylfaen" w:hAnsi="Sylfaen"/>
          <w:sz w:val="24"/>
          <w:szCs w:val="24"/>
        </w:rPr>
        <w:t>եւ</w:t>
      </w:r>
      <w:r w:rsidRPr="00CA27E3">
        <w:rPr>
          <w:rFonts w:ascii="Sylfaen" w:hAnsi="Sylfaen"/>
          <w:sz w:val="24"/>
          <w:szCs w:val="24"/>
        </w:rPr>
        <w:t xml:space="preserve">ային տաքացուցիչ համակարգերի առաջնային հաղորդաշղթաներում </w:t>
      </w:r>
      <w:r>
        <w:rPr>
          <w:rFonts w:ascii="Sylfaen" w:hAnsi="Sylfaen"/>
          <w:sz w:val="24"/>
          <w:szCs w:val="24"/>
        </w:rPr>
        <w:t>եւ</w:t>
      </w:r>
      <w:r w:rsidRPr="00CA27E3">
        <w:rPr>
          <w:rFonts w:ascii="Sylfaen" w:hAnsi="Sylfaen"/>
          <w:sz w:val="24"/>
          <w:szCs w:val="24"/>
        </w:rPr>
        <w:t xml:space="preserve"> ջերմային պոմպերում օգտագործման համար նախատեսված սարքավորման մեջ ներկառուցված շրջանառու պոմպերի էներգետիկ արդյունավետության ցուցիչը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0882CE06" w14:textId="77777777" w:rsidR="00CA27E3" w:rsidRPr="00CA27E3" w:rsidRDefault="00CA27E3" w:rsidP="00CA27E3">
      <w:pPr>
        <w:pStyle w:val="a0"/>
        <w:shd w:val="clear" w:color="auto" w:fill="auto"/>
        <w:spacing w:after="160"/>
        <w:ind w:firstLine="0"/>
        <w:jc w:val="center"/>
        <w:rPr>
          <w:rFonts w:ascii="Sylfaen" w:hAnsi="Sylfaen" w:cs="Sylfaen"/>
          <w:smallCaps/>
          <w:sz w:val="24"/>
          <w:szCs w:val="24"/>
        </w:rPr>
      </w:pPr>
      <m:oMathPara>
        <m:oMath>
          <m:r>
            <w:rPr>
              <w:rFonts w:ascii="Cambria Math" w:hAnsi="Cambria Math" w:cs="Sylfaen"/>
              <w:sz w:val="24"/>
              <w:szCs w:val="24"/>
            </w:rPr>
            <m:t>EEI</m:t>
          </m:r>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L</m:t>
                  </m:r>
                  <m:r>
                    <w:rPr>
                      <w:rFonts w:ascii="Cambria Math" w:hAnsi="Sylfaen" w:cs="Sylfaen"/>
                      <w:sz w:val="24"/>
                      <w:szCs w:val="24"/>
                    </w:rPr>
                    <m:t>,</m:t>
                  </m:r>
                  <m:r>
                    <w:rPr>
                      <w:rFonts w:ascii="Cambria Math" w:hAnsi="Cambria Math" w:cs="Sylfaen"/>
                      <w:sz w:val="24"/>
                      <w:szCs w:val="24"/>
                    </w:rPr>
                    <m:t>avg</m:t>
                  </m:r>
                </m:sub>
              </m:sSub>
            </m:num>
            <m:den>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ref</m:t>
                  </m:r>
                </m:sub>
              </m:sSub>
            </m:den>
          </m:f>
          <m:r>
            <w:rPr>
              <w:rFonts w:ascii="Cambria Math" w:hAnsi="Cambria Math" w:cs="Sylfaen"/>
              <w:sz w:val="24"/>
              <w:szCs w:val="24"/>
            </w:rPr>
            <m:t>x</m:t>
          </m:r>
          <m:sSub>
            <m:sSubPr>
              <m:ctrlPr>
                <w:rPr>
                  <w:rFonts w:ascii="Cambria Math" w:hAnsi="Sylfaen" w:cs="Sylfaen"/>
                  <w:i/>
                  <w:sz w:val="24"/>
                  <w:szCs w:val="24"/>
                </w:rPr>
              </m:ctrlPr>
            </m:sSubPr>
            <m:e>
              <m:r>
                <w:rPr>
                  <w:rFonts w:ascii="Cambria Math" w:hAnsi="Cambria Math" w:cs="Sylfaen"/>
                  <w:sz w:val="24"/>
                  <w:szCs w:val="24"/>
                </w:rPr>
                <m:t>C</m:t>
              </m:r>
            </m:e>
            <m:sub>
              <m:r>
                <w:rPr>
                  <w:rFonts w:ascii="Cambria Math" w:hAnsi="Sylfaen" w:cs="Sylfaen"/>
                  <w:sz w:val="24"/>
                  <w:szCs w:val="24"/>
                </w:rPr>
                <m:t>20%</m:t>
              </m:r>
            </m:sub>
          </m:sSub>
          <m:r>
            <w:rPr>
              <w:rFonts w:ascii="Cambria Math" w:hAnsi="Cambria Math" w:cs="Sylfaen"/>
              <w:sz w:val="24"/>
              <w:szCs w:val="24"/>
            </w:rPr>
            <m:t>x</m:t>
          </m:r>
          <m:d>
            <m:dPr>
              <m:ctrlPr>
                <w:rPr>
                  <w:rFonts w:ascii="Cambria Math" w:hAnsi="Sylfaen" w:cs="Sylfaen"/>
                  <w:i/>
                  <w:sz w:val="24"/>
                  <w:szCs w:val="24"/>
                </w:rPr>
              </m:ctrlPr>
            </m:dPr>
            <m:e>
              <m:r>
                <w:rPr>
                  <w:rFonts w:ascii="Cambria Math" w:hAnsi="Sylfaen" w:cs="Sylfaen"/>
                  <w:sz w:val="24"/>
                  <w:szCs w:val="24"/>
                </w:rPr>
                <m:t>1</m:t>
              </m:r>
              <m:r>
                <w:rPr>
                  <w:rFonts w:ascii="Cambria Math" w:hAnsi="Sylfaen" w:cs="Sylfaen"/>
                  <w:sz w:val="24"/>
                  <w:szCs w:val="24"/>
                </w:rPr>
                <m:t>-</m:t>
              </m:r>
              <m:sSup>
                <m:sSupPr>
                  <m:ctrlPr>
                    <w:rPr>
                      <w:rFonts w:ascii="Cambria Math" w:hAnsi="Sylfaen" w:cs="Sylfaen"/>
                      <w:i/>
                      <w:sz w:val="24"/>
                      <w:szCs w:val="24"/>
                    </w:rPr>
                  </m:ctrlPr>
                </m:sSupPr>
                <m:e>
                  <m:r>
                    <w:rPr>
                      <w:rFonts w:ascii="Cambria Math" w:hAnsi="Cambria Math" w:cs="Sylfaen"/>
                      <w:sz w:val="24"/>
                      <w:szCs w:val="24"/>
                    </w:rPr>
                    <m:t>e</m:t>
                  </m:r>
                </m:e>
                <m:sup>
                  <m:d>
                    <m:dPr>
                      <m:ctrlPr>
                        <w:rPr>
                          <w:rFonts w:ascii="Cambria Math" w:hAnsi="Sylfaen" w:cs="Sylfaen"/>
                          <w:i/>
                          <w:sz w:val="24"/>
                          <w:szCs w:val="24"/>
                        </w:rPr>
                      </m:ctrlPr>
                    </m:dPr>
                    <m:e>
                      <m:r>
                        <w:rPr>
                          <w:rFonts w:ascii="Cambria Math" w:hAnsi="Sylfaen" w:cs="Sylfaen"/>
                          <w:sz w:val="24"/>
                          <w:szCs w:val="24"/>
                        </w:rPr>
                        <m:t>-</m:t>
                      </m:r>
                      <m:r>
                        <w:rPr>
                          <w:rFonts w:ascii="Cambria Math" w:hAnsi="Sylfaen" w:cs="Sylfaen"/>
                          <w:sz w:val="24"/>
                          <w:szCs w:val="24"/>
                        </w:rPr>
                        <m:t>3.8.</m:t>
                      </m:r>
                      <m:sSup>
                        <m:sSupPr>
                          <m:ctrlPr>
                            <w:rPr>
                              <w:rFonts w:ascii="Cambria Math" w:hAnsi="Sylfaen" w:cs="Sylfaen"/>
                              <w:i/>
                              <w:sz w:val="24"/>
                              <w:szCs w:val="24"/>
                            </w:rPr>
                          </m:ctrlPr>
                        </m:sSupPr>
                        <m:e>
                          <m:d>
                            <m:dPr>
                              <m:ctrlPr>
                                <w:rPr>
                                  <w:rFonts w:ascii="Cambria Math" w:hAnsi="Sylfaen" w:cs="Sylfaen"/>
                                  <w:i/>
                                  <w:sz w:val="24"/>
                                  <w:szCs w:val="24"/>
                                </w:rPr>
                              </m:ctrlPr>
                            </m:dPr>
                            <m:e>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n</m:t>
                                      </m:r>
                                    </m:e>
                                    <m:sub>
                                      <m:r>
                                        <w:rPr>
                                          <w:rFonts w:ascii="Cambria Math" w:hAnsi="Cambria Math" w:cs="Sylfaen"/>
                                          <w:sz w:val="24"/>
                                          <w:szCs w:val="24"/>
                                        </w:rPr>
                                        <m:t>s</m:t>
                                      </m:r>
                                    </m:sub>
                                  </m:sSub>
                                </m:num>
                                <m:den>
                                  <m:r>
                                    <w:rPr>
                                      <w:rFonts w:ascii="Cambria Math" w:hAnsi="Sylfaen" w:cs="Sylfaen"/>
                                      <w:sz w:val="24"/>
                                      <w:szCs w:val="24"/>
                                    </w:rPr>
                                    <m:t>30</m:t>
                                  </m:r>
                                </m:den>
                              </m:f>
                            </m:e>
                          </m:d>
                        </m:e>
                        <m:sup>
                          <m:r>
                            <w:rPr>
                              <w:rFonts w:ascii="Cambria Math" w:hAnsi="Sylfaen" w:cs="Sylfaen"/>
                              <w:sz w:val="24"/>
                              <w:szCs w:val="24"/>
                            </w:rPr>
                            <m:t>1.36</m:t>
                          </m:r>
                        </m:sup>
                      </m:sSup>
                    </m:e>
                  </m:d>
                </m:sup>
              </m:sSup>
            </m:e>
          </m:d>
          <m:r>
            <w:rPr>
              <w:rFonts w:ascii="Cambria Math" w:hAnsi="Sylfaen" w:cs="Sylfaen"/>
              <w:sz w:val="24"/>
              <w:szCs w:val="24"/>
            </w:rPr>
            <m:t>,</m:t>
          </m:r>
        </m:oMath>
      </m:oMathPara>
    </w:p>
    <w:p w14:paraId="1D26829D" w14:textId="77777777" w:rsidR="00CA27E3" w:rsidRPr="00CA27E3" w:rsidRDefault="00CA27E3" w:rsidP="00CA27E3">
      <w:pPr>
        <w:pStyle w:val="a0"/>
        <w:shd w:val="clear" w:color="auto" w:fill="auto"/>
        <w:spacing w:after="160"/>
        <w:ind w:firstLine="600"/>
        <w:rPr>
          <w:rFonts w:ascii="Sylfaen" w:hAnsi="Sylfaen" w:cs="Sylfaen"/>
          <w:smallCaps/>
          <w:sz w:val="24"/>
          <w:szCs w:val="24"/>
        </w:rPr>
      </w:pPr>
    </w:p>
    <w:p w14:paraId="696D90FB" w14:textId="77777777" w:rsidR="00CA27E3" w:rsidRPr="00CA27E3" w:rsidRDefault="00CA27E3" w:rsidP="00CA27E3">
      <w:pPr>
        <w:pStyle w:val="a0"/>
        <w:shd w:val="clear" w:color="auto" w:fill="auto"/>
        <w:spacing w:after="160"/>
        <w:ind w:firstLine="600"/>
        <w:rPr>
          <w:rFonts w:ascii="Sylfaen" w:hAnsi="Sylfaen" w:cs="Sylfaen"/>
          <w:sz w:val="24"/>
          <w:szCs w:val="24"/>
        </w:rPr>
      </w:pPr>
      <w:r w:rsidRPr="00CA27E3">
        <w:rPr>
          <w:rFonts w:ascii="Sylfaen" w:hAnsi="Sylfaen"/>
          <w:sz w:val="24"/>
          <w:szCs w:val="24"/>
        </w:rPr>
        <w:t>որտեղ՝</w:t>
      </w:r>
    </w:p>
    <w:p w14:paraId="2B5FE61F" w14:textId="77777777" w:rsidR="00CA27E3" w:rsidRPr="00CA27E3" w:rsidRDefault="00CA27E3" w:rsidP="00CA27E3">
      <w:pPr>
        <w:pStyle w:val="a0"/>
        <w:shd w:val="clear" w:color="auto" w:fill="auto"/>
        <w:spacing w:after="160"/>
        <w:ind w:firstLine="600"/>
        <w:jc w:val="both"/>
        <w:rPr>
          <w:rFonts w:ascii="Sylfaen" w:hAnsi="Sylfaen" w:cs="Sylfaen"/>
          <w:sz w:val="24"/>
          <w:szCs w:val="24"/>
        </w:rPr>
      </w:pPr>
      <w:r w:rsidRPr="00CA27E3">
        <w:rPr>
          <w:rFonts w:ascii="Sylfaen" w:hAnsi="Sylfaen"/>
          <w:sz w:val="24"/>
          <w:szCs w:val="24"/>
        </w:rPr>
        <w:t>n</w:t>
      </w:r>
      <w:r w:rsidRPr="00CA27E3">
        <w:rPr>
          <w:rFonts w:ascii="Sylfaen" w:hAnsi="Sylfaen"/>
          <w:sz w:val="24"/>
          <w:szCs w:val="24"/>
          <w:vertAlign w:val="subscript"/>
        </w:rPr>
        <w:t>s</w:t>
      </w:r>
      <w:r w:rsidRPr="00CA27E3">
        <w:rPr>
          <w:rFonts w:ascii="Sylfaen" w:hAnsi="Sylfaen"/>
          <w:sz w:val="24"/>
          <w:szCs w:val="24"/>
        </w:rPr>
        <w:t>՝ շրջանառու պոմպի պտտման տրված արագությունը րոպեում պտույտներով (պտ/ր), որն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 xml:space="preserve">ով՝ </w:t>
      </w:r>
    </w:p>
    <w:p w14:paraId="190BED2F" w14:textId="77777777" w:rsidR="00CA27E3" w:rsidRPr="00CA27E3" w:rsidRDefault="00000000" w:rsidP="00CA27E3">
      <w:pPr>
        <w:pStyle w:val="40"/>
        <w:shd w:val="clear" w:color="auto" w:fill="auto"/>
        <w:spacing w:after="160" w:line="360" w:lineRule="auto"/>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n</m:t>
              </m:r>
            </m:e>
            <m:sub>
              <m:r>
                <w:rPr>
                  <w:rFonts w:ascii="Cambria Math" w:hAnsi="Cambria Math" w:cs="Sylfaen"/>
                  <w:sz w:val="24"/>
                  <w:szCs w:val="24"/>
                </w:rPr>
                <m:t>s</m:t>
              </m:r>
            </m:sub>
          </m:sSub>
          <m:r>
            <w:rPr>
              <w:rFonts w:ascii="Cambria Math" w:hAnsi="Sylfaen" w:cs="Sylfaen"/>
              <w:sz w:val="24"/>
              <w:szCs w:val="24"/>
            </w:rPr>
            <m:t>=</m:t>
          </m:r>
          <m:f>
            <m:fPr>
              <m:ctrlPr>
                <w:rPr>
                  <w:rFonts w:ascii="Cambria Math" w:hAnsi="Sylfaen" w:cs="Sylfaen"/>
                  <w:i/>
                  <w:sz w:val="24"/>
                  <w:szCs w:val="24"/>
                </w:rPr>
              </m:ctrlPr>
            </m:fPr>
            <m:num>
              <m:sSub>
                <m:sSubPr>
                  <m:ctrlPr>
                    <w:rPr>
                      <w:rFonts w:ascii="Cambria Math" w:hAnsi="Sylfaen" w:cs="Sylfaen"/>
                      <w:i/>
                      <w:sz w:val="24"/>
                      <w:szCs w:val="24"/>
                    </w:rPr>
                  </m:ctrlPr>
                </m:sSubPr>
                <m:e>
                  <m:r>
                    <w:rPr>
                      <w:rFonts w:ascii="Cambria Math" w:hAnsi="Cambria Math" w:cs="Sylfaen"/>
                      <w:sz w:val="24"/>
                      <w:szCs w:val="24"/>
                    </w:rPr>
                    <m:t>n</m:t>
                  </m:r>
                </m:e>
                <m:sub>
                  <m:r>
                    <w:rPr>
                      <w:rFonts w:ascii="Cambria Math" w:hAnsi="Sylfaen" w:cs="Sylfaen"/>
                      <w:sz w:val="24"/>
                      <w:szCs w:val="24"/>
                    </w:rPr>
                    <m:t>100%</m:t>
                  </m:r>
                </m:sub>
              </m:sSub>
            </m:num>
            <m:den>
              <m:r>
                <w:rPr>
                  <w:rFonts w:ascii="Cambria Math" w:hAnsi="Sylfaen" w:cs="Sylfaen"/>
                  <w:sz w:val="24"/>
                  <w:szCs w:val="24"/>
                </w:rPr>
                <m:t>60</m:t>
              </m:r>
            </m:den>
          </m:f>
          <m:r>
            <w:rPr>
              <w:rFonts w:ascii="Cambria Math" w:hAnsi="Cambria Math" w:cs="Sylfaen"/>
              <w:sz w:val="24"/>
              <w:szCs w:val="24"/>
            </w:rPr>
            <m:t>x</m:t>
          </m:r>
          <m:f>
            <m:fPr>
              <m:ctrlPr>
                <w:rPr>
                  <w:rFonts w:ascii="Cambria Math" w:hAnsi="Sylfaen" w:cs="Sylfaen"/>
                  <w:i/>
                  <w:sz w:val="24"/>
                  <w:szCs w:val="24"/>
                </w:rPr>
              </m:ctrlPr>
            </m:fPr>
            <m:num>
              <m:rad>
                <m:radPr>
                  <m:degHide m:val="1"/>
                  <m:ctrlPr>
                    <w:rPr>
                      <w:rFonts w:ascii="Cambria Math" w:hAnsi="Sylfaen" w:cs="Sylfaen"/>
                      <w:i/>
                      <w:sz w:val="24"/>
                      <w:szCs w:val="24"/>
                    </w:rPr>
                  </m:ctrlPr>
                </m:radPr>
                <m:deg/>
                <m:e>
                  <m:sSub>
                    <m:sSubPr>
                      <m:ctrlPr>
                        <w:rPr>
                          <w:rFonts w:ascii="Cambria Math" w:hAnsi="Sylfaen" w:cs="Sylfaen"/>
                          <w:i/>
                          <w:sz w:val="24"/>
                          <w:szCs w:val="24"/>
                        </w:rPr>
                      </m:ctrlPr>
                    </m:sSubPr>
                    <m:e>
                      <m:r>
                        <w:rPr>
                          <w:rFonts w:ascii="Cambria Math" w:hAnsi="Cambria Math" w:cs="Sylfaen"/>
                          <w:sz w:val="24"/>
                          <w:szCs w:val="24"/>
                        </w:rPr>
                        <m:t>Q</m:t>
                      </m:r>
                    </m:e>
                    <m:sub>
                      <m:r>
                        <w:rPr>
                          <w:rFonts w:ascii="Cambria Math" w:hAnsi="Sylfaen" w:cs="Sylfaen"/>
                          <w:sz w:val="24"/>
                          <w:szCs w:val="24"/>
                        </w:rPr>
                        <m:t>100%</m:t>
                      </m:r>
                    </m:sub>
                  </m:sSub>
                </m:e>
              </m:rad>
            </m:num>
            <m:den>
              <m:sSubSup>
                <m:sSubSupPr>
                  <m:ctrlPr>
                    <w:rPr>
                      <w:rFonts w:ascii="Cambria Math" w:hAnsi="Sylfaen" w:cs="Sylfaen"/>
                      <w:i/>
                      <w:sz w:val="24"/>
                      <w:szCs w:val="24"/>
                    </w:rPr>
                  </m:ctrlPr>
                </m:sSubSupPr>
                <m:e>
                  <m:r>
                    <w:rPr>
                      <w:rFonts w:ascii="Cambria Math" w:hAnsi="Cambria Math" w:cs="Sylfaen"/>
                      <w:sz w:val="24"/>
                      <w:szCs w:val="24"/>
                    </w:rPr>
                    <m:t>H</m:t>
                  </m:r>
                </m:e>
                <m:sub>
                  <m:r>
                    <w:rPr>
                      <w:rFonts w:ascii="Cambria Math" w:hAnsi="Sylfaen" w:cs="Sylfaen"/>
                      <w:sz w:val="24"/>
                      <w:szCs w:val="24"/>
                    </w:rPr>
                    <m:t>100%</m:t>
                  </m:r>
                </m:sub>
                <m:sup>
                  <m:r>
                    <w:rPr>
                      <w:rFonts w:ascii="Cambria Math" w:hAnsi="Sylfaen" w:cs="Sylfaen"/>
                      <w:sz w:val="24"/>
                      <w:szCs w:val="24"/>
                    </w:rPr>
                    <m:t>0.75</m:t>
                  </m:r>
                </m:sup>
              </m:sSubSup>
            </m:den>
          </m:f>
        </m:oMath>
      </m:oMathPara>
    </w:p>
    <w:p w14:paraId="7996E735" w14:textId="77777777" w:rsidR="00CA27E3" w:rsidRPr="00CA27E3" w:rsidRDefault="00CA27E3" w:rsidP="00CA27E3">
      <w:pPr>
        <w:pStyle w:val="40"/>
        <w:shd w:val="clear" w:color="auto" w:fill="auto"/>
        <w:spacing w:after="160" w:line="360" w:lineRule="auto"/>
        <w:rPr>
          <w:rFonts w:ascii="Sylfaen" w:hAnsi="Sylfaen" w:cs="Sylfaen"/>
          <w:sz w:val="24"/>
          <w:szCs w:val="24"/>
        </w:rPr>
      </w:pPr>
    </w:p>
    <w:p w14:paraId="2D30D2DE" w14:textId="77777777" w:rsidR="00CA27E3" w:rsidRPr="00CA27E3" w:rsidRDefault="00CA27E3" w:rsidP="00CA27E3">
      <w:pPr>
        <w:pStyle w:val="a0"/>
        <w:shd w:val="clear" w:color="auto" w:fill="auto"/>
        <w:spacing w:after="160"/>
        <w:ind w:firstLine="580"/>
        <w:jc w:val="both"/>
        <w:rPr>
          <w:rFonts w:ascii="Sylfaen" w:hAnsi="Sylfaen" w:cs="Sylfaen"/>
          <w:sz w:val="24"/>
          <w:szCs w:val="24"/>
        </w:rPr>
      </w:pPr>
      <w:r w:rsidRPr="00CA27E3">
        <w:rPr>
          <w:rFonts w:ascii="Sylfaen" w:hAnsi="Sylfaen"/>
          <w:sz w:val="24"/>
          <w:szCs w:val="24"/>
        </w:rPr>
        <w:lastRenderedPageBreak/>
        <w:t>որտեղ՝</w:t>
      </w:r>
      <w:r>
        <w:rPr>
          <w:rFonts w:ascii="Sylfaen" w:hAnsi="Sylfaen"/>
          <w:sz w:val="24"/>
          <w:szCs w:val="24"/>
        </w:rPr>
        <w:t xml:space="preserve"> </w:t>
      </w:r>
      <w:r w:rsidRPr="00CA27E3">
        <w:rPr>
          <w:rFonts w:ascii="Sylfaen" w:hAnsi="Sylfaen"/>
          <w:sz w:val="24"/>
          <w:szCs w:val="24"/>
        </w:rPr>
        <w:t>n</w:t>
      </w:r>
      <w:r w:rsidRPr="00CA27E3">
        <w:rPr>
          <w:rFonts w:ascii="Sylfaen" w:hAnsi="Sylfaen"/>
          <w:sz w:val="24"/>
          <w:szCs w:val="24"/>
          <w:vertAlign w:val="subscript"/>
        </w:rPr>
        <w:t>100</w:t>
      </w:r>
      <w:r w:rsidRPr="00CA27E3">
        <w:rPr>
          <w:rFonts w:ascii="Sylfaen" w:hAnsi="Sylfaen"/>
          <w:sz w:val="24"/>
          <w:szCs w:val="24"/>
        </w:rPr>
        <w:t xml:space="preserve"> %՝ շրջանառու պոմպերի պտտման արագությունն է պտ/ր-ում՝</w:t>
      </w:r>
      <w:r>
        <w:rPr>
          <w:rFonts w:ascii="Sylfaen" w:hAnsi="Sylfaen"/>
          <w:sz w:val="24"/>
          <w:szCs w:val="24"/>
        </w:rPr>
        <w:t xml:space="preserve"> </w:t>
      </w:r>
      <w:r w:rsidRPr="00CA27E3">
        <w:rPr>
          <w:rFonts w:ascii="Sylfaen" w:hAnsi="Sylfaen"/>
          <w:sz w:val="24"/>
          <w:szCs w:val="24"/>
        </w:rPr>
        <w:t>որոշված Q</w:t>
      </w:r>
      <w:r w:rsidRPr="00CA27E3">
        <w:rPr>
          <w:rFonts w:ascii="Sylfaen" w:hAnsi="Sylfaen"/>
          <w:sz w:val="24"/>
          <w:szCs w:val="24"/>
          <w:vertAlign w:val="subscript"/>
        </w:rPr>
        <w:t>100</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H</w:t>
      </w:r>
      <w:r w:rsidRPr="00CA27E3">
        <w:rPr>
          <w:rFonts w:ascii="Sylfaen" w:hAnsi="Sylfaen"/>
          <w:sz w:val="24"/>
          <w:szCs w:val="24"/>
          <w:vertAlign w:val="subscript"/>
        </w:rPr>
        <w:t>100</w:t>
      </w:r>
      <w:r w:rsidRPr="00CA27E3">
        <w:rPr>
          <w:rFonts w:ascii="Sylfaen" w:hAnsi="Sylfaen"/>
          <w:sz w:val="24"/>
          <w:szCs w:val="24"/>
        </w:rPr>
        <w:t xml:space="preserve"> % դեպքում։</w:t>
      </w:r>
      <w:r>
        <w:rPr>
          <w:rFonts w:ascii="Sylfaen" w:hAnsi="Sylfaen"/>
          <w:sz w:val="24"/>
          <w:szCs w:val="24"/>
        </w:rPr>
        <w:t xml:space="preserve"> </w:t>
      </w:r>
    </w:p>
    <w:p w14:paraId="451656CE"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D303C2" w:rsidRPr="00D303C2">
        <w:rPr>
          <w:rFonts w:ascii="Sylfaen" w:hAnsi="Sylfaen"/>
          <w:sz w:val="24"/>
          <w:szCs w:val="24"/>
        </w:rPr>
        <w:tab/>
      </w:r>
      <w:r w:rsidRPr="00CA27E3">
        <w:rPr>
          <w:rFonts w:ascii="Sylfaen" w:hAnsi="Sylfaen"/>
          <w:sz w:val="24"/>
          <w:szCs w:val="24"/>
        </w:rPr>
        <w:t>Ցուցանիշների փորձարկումները (չափումները) անցկացվում են հետ</w:t>
      </w:r>
      <w:r>
        <w:rPr>
          <w:rFonts w:ascii="Sylfaen" w:hAnsi="Sylfaen"/>
          <w:sz w:val="24"/>
          <w:szCs w:val="24"/>
        </w:rPr>
        <w:t>եւ</w:t>
      </w:r>
      <w:r w:rsidRPr="00CA27E3">
        <w:rPr>
          <w:rFonts w:ascii="Sylfaen" w:hAnsi="Sylfaen"/>
          <w:sz w:val="24"/>
          <w:szCs w:val="24"/>
        </w:rPr>
        <w:t>յալ պայմաններում՝</w:t>
      </w:r>
    </w:p>
    <w:p w14:paraId="050CF39B" w14:textId="77777777" w:rsidR="00CA27E3" w:rsidRPr="00CA27E3" w:rsidRDefault="00CA27E3" w:rsidP="00D303C2">
      <w:pPr>
        <w:pStyle w:val="a0"/>
        <w:shd w:val="clear" w:color="auto" w:fill="auto"/>
        <w:tabs>
          <w:tab w:val="left" w:pos="1134"/>
          <w:tab w:val="left" w:pos="2198"/>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կորպուսով ինքնավար շրջանառու պոմպը պետք է փորձարկվի որպես մեկ ամբողջություն,</w:t>
      </w:r>
    </w:p>
    <w:p w14:paraId="5CEA41D2" w14:textId="77777777" w:rsidR="00CA27E3" w:rsidRPr="00B0255B"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առանց կորպուսի ինքնավար շրջանառու պոմպը պետք է փորձարկվի պոմպի հետ օգտագործման համար նախատեսված պոմպի կորպուսին նույնական կորպուսով,</w:t>
      </w:r>
      <w:r>
        <w:rPr>
          <w:rFonts w:ascii="Sylfaen" w:hAnsi="Sylfaen"/>
          <w:sz w:val="24"/>
          <w:szCs w:val="24"/>
        </w:rPr>
        <w:t xml:space="preserve"> </w:t>
      </w:r>
    </w:p>
    <w:p w14:paraId="21EBFE31" w14:textId="77777777" w:rsidR="00CA27E3" w:rsidRPr="00B0255B"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D303C2" w:rsidRPr="00D303C2">
        <w:rPr>
          <w:rFonts w:ascii="Sylfaen" w:hAnsi="Sylfaen"/>
          <w:sz w:val="24"/>
          <w:szCs w:val="24"/>
        </w:rPr>
        <w:tab/>
      </w:r>
      <w:r w:rsidRPr="00CA27E3">
        <w:rPr>
          <w:rFonts w:ascii="Sylfaen" w:hAnsi="Sylfaen"/>
          <w:sz w:val="24"/>
          <w:szCs w:val="24"/>
        </w:rPr>
        <w:t xml:space="preserve">ինտեգրված շրջանառու պոմպը պետք է ապամոնտաժվի սարքավորումից </w:t>
      </w:r>
      <w:r>
        <w:rPr>
          <w:rFonts w:ascii="Sylfaen" w:hAnsi="Sylfaen"/>
          <w:sz w:val="24"/>
          <w:szCs w:val="24"/>
        </w:rPr>
        <w:t>եւ</w:t>
      </w:r>
      <w:r w:rsidRPr="00CA27E3">
        <w:rPr>
          <w:rFonts w:ascii="Sylfaen" w:hAnsi="Sylfaen"/>
          <w:sz w:val="24"/>
          <w:szCs w:val="24"/>
        </w:rPr>
        <w:t xml:space="preserve"> փորձարկվի մեկ առանցքի վրա ելքի </w:t>
      </w:r>
      <w:r>
        <w:rPr>
          <w:rFonts w:ascii="Sylfaen" w:hAnsi="Sylfaen"/>
          <w:sz w:val="24"/>
          <w:szCs w:val="24"/>
        </w:rPr>
        <w:t>եւ</w:t>
      </w:r>
      <w:r w:rsidRPr="00CA27E3">
        <w:rPr>
          <w:rFonts w:ascii="Sylfaen" w:hAnsi="Sylfaen"/>
          <w:sz w:val="24"/>
          <w:szCs w:val="24"/>
        </w:rPr>
        <w:t xml:space="preserve"> մուտքի միացքերով պոմպի կորպուսի հետ միասին, որը մատակարարվում է արտադրողի կողմից </w:t>
      </w:r>
      <w:r>
        <w:rPr>
          <w:rFonts w:ascii="Sylfaen" w:hAnsi="Sylfaen"/>
          <w:sz w:val="24"/>
          <w:szCs w:val="24"/>
        </w:rPr>
        <w:t>եւ</w:t>
      </w:r>
      <w:r w:rsidRPr="00CA27E3">
        <w:rPr>
          <w:rFonts w:ascii="Sylfaen" w:hAnsi="Sylfaen"/>
          <w:sz w:val="24"/>
          <w:szCs w:val="24"/>
        </w:rPr>
        <w:t xml:space="preserve"> նախատեսված է ջեռուցման համակարգի խողովակաշարին կամ հովացման բաշխված համակարգի երկրորդային հաղորդաշղթային միացման համար.</w:t>
      </w:r>
      <w:r w:rsidR="00B0255B">
        <w:rPr>
          <w:rFonts w:ascii="Sylfaen" w:hAnsi="Sylfaen"/>
          <w:sz w:val="24"/>
          <w:szCs w:val="24"/>
        </w:rPr>
        <w:t xml:space="preserve"> </w:t>
      </w:r>
    </w:p>
    <w:p w14:paraId="75835CAA" w14:textId="77777777" w:rsidR="00CA27E3" w:rsidRPr="00CA27E3" w:rsidRDefault="00CA27E3" w:rsidP="005D6C2A">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D303C2" w:rsidRPr="00D303C2">
        <w:rPr>
          <w:rFonts w:ascii="Sylfaen" w:hAnsi="Sylfaen"/>
          <w:sz w:val="24"/>
          <w:szCs w:val="24"/>
        </w:rPr>
        <w:tab/>
      </w:r>
      <w:r w:rsidRPr="00CA27E3">
        <w:rPr>
          <w:rFonts w:ascii="Sylfaen" w:hAnsi="Sylfaen"/>
          <w:sz w:val="24"/>
          <w:szCs w:val="24"/>
        </w:rPr>
        <w:t xml:space="preserve">սարքավորման մեջ ներկառուցման համար նախատեսված առանց կորպուսի շրջանառու պոմպը պետք է փորձարկվի մեկ առանցքի վրա ելքի </w:t>
      </w:r>
      <w:r>
        <w:rPr>
          <w:rFonts w:ascii="Sylfaen" w:hAnsi="Sylfaen"/>
          <w:sz w:val="24"/>
          <w:szCs w:val="24"/>
        </w:rPr>
        <w:t>եւ</w:t>
      </w:r>
      <w:r w:rsidRPr="00CA27E3">
        <w:rPr>
          <w:rFonts w:ascii="Sylfaen" w:hAnsi="Sylfaen"/>
          <w:sz w:val="24"/>
          <w:szCs w:val="24"/>
        </w:rPr>
        <w:t xml:space="preserve"> մուտքի միացքերով պոմպի կորպուսի հետ միասին, որը մատակարարվում է արտադրողի կողմից </w:t>
      </w:r>
      <w:r>
        <w:rPr>
          <w:rFonts w:ascii="Sylfaen" w:hAnsi="Sylfaen"/>
          <w:sz w:val="24"/>
          <w:szCs w:val="24"/>
        </w:rPr>
        <w:t>եւ</w:t>
      </w:r>
      <w:r w:rsidRPr="00CA27E3">
        <w:rPr>
          <w:rFonts w:ascii="Sylfaen" w:hAnsi="Sylfaen"/>
          <w:sz w:val="24"/>
          <w:szCs w:val="24"/>
        </w:rPr>
        <w:t xml:space="preserve"> նախատեսված է ջեռուցման համակարգի խողովակաշարին կամ հովացման բաշխված համակարգի երկրորդային հաղորդաշղթային միացման համար:</w:t>
      </w:r>
    </w:p>
    <w:p w14:paraId="4B86CECF"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D303C2" w:rsidRPr="00D303C2">
        <w:rPr>
          <w:rFonts w:ascii="Sylfaen" w:hAnsi="Sylfaen"/>
          <w:sz w:val="24"/>
          <w:szCs w:val="24"/>
        </w:rPr>
        <w:tab/>
      </w:r>
      <w:r w:rsidRPr="00CA27E3">
        <w:rPr>
          <w:rFonts w:ascii="Sylfaen" w:hAnsi="Sylfaen"/>
          <w:sz w:val="24"/>
          <w:szCs w:val="24"/>
        </w:rPr>
        <w:t>Շրջանառու պոմպերի էներգետիկ արդյունավետության ցուցիչի ցուցանիշները պետք է համապատասխանեն հետ</w:t>
      </w:r>
      <w:r>
        <w:rPr>
          <w:rFonts w:ascii="Sylfaen" w:hAnsi="Sylfaen"/>
          <w:sz w:val="24"/>
          <w:szCs w:val="24"/>
        </w:rPr>
        <w:t>եւ</w:t>
      </w:r>
      <w:r w:rsidRPr="00CA27E3">
        <w:rPr>
          <w:rFonts w:ascii="Sylfaen" w:hAnsi="Sylfaen"/>
          <w:sz w:val="24"/>
          <w:szCs w:val="24"/>
        </w:rPr>
        <w:t>յալին՝</w:t>
      </w:r>
    </w:p>
    <w:p w14:paraId="0DB8A827" w14:textId="77777777" w:rsidR="00CA27E3" w:rsidRPr="00D303C2"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2020 թվականի սեպտեմբերի 1-ից ինքնավար շրջանառու պոմպերի էներգետիկ արդյունավետության ցուցիչը (EEI), բացի միայն ար</w:t>
      </w:r>
      <w:r>
        <w:rPr>
          <w:rFonts w:ascii="Sylfaen" w:hAnsi="Sylfaen"/>
          <w:sz w:val="24"/>
          <w:szCs w:val="24"/>
        </w:rPr>
        <w:t>եւ</w:t>
      </w:r>
      <w:r w:rsidRPr="00CA27E3">
        <w:rPr>
          <w:rFonts w:ascii="Sylfaen" w:hAnsi="Sylfaen"/>
          <w:sz w:val="24"/>
          <w:szCs w:val="24"/>
        </w:rPr>
        <w:t xml:space="preserve">ային տաքացուցիչ համակարգերի առաջնային հաղորդաշղթաների </w:t>
      </w:r>
      <w:r>
        <w:rPr>
          <w:rFonts w:ascii="Sylfaen" w:hAnsi="Sylfaen"/>
          <w:sz w:val="24"/>
          <w:szCs w:val="24"/>
        </w:rPr>
        <w:t>եւ</w:t>
      </w:r>
      <w:r w:rsidRPr="00CA27E3">
        <w:rPr>
          <w:rFonts w:ascii="Sylfaen" w:hAnsi="Sylfaen"/>
          <w:sz w:val="24"/>
          <w:szCs w:val="24"/>
        </w:rPr>
        <w:t xml:space="preserve"> ջերմային պոմպերի համար հատուկ նախատեսված պոմպերից, պետք է լինի 0,27-ից ոչ</w:t>
      </w:r>
      <w:r w:rsidR="00B0255B" w:rsidRPr="00B0255B">
        <w:rPr>
          <w:rFonts w:ascii="Sylfaen" w:hAnsi="Sylfaen"/>
          <w:sz w:val="24"/>
          <w:szCs w:val="24"/>
        </w:rPr>
        <w:t> </w:t>
      </w:r>
      <w:r w:rsidRPr="00CA27E3">
        <w:rPr>
          <w:rFonts w:ascii="Sylfaen" w:hAnsi="Sylfaen"/>
          <w:sz w:val="24"/>
          <w:szCs w:val="24"/>
        </w:rPr>
        <w:t>ավելի.</w:t>
      </w:r>
      <w:r w:rsidR="00D303C2">
        <w:rPr>
          <w:rFonts w:ascii="Sylfaen" w:hAnsi="Sylfaen"/>
          <w:sz w:val="24"/>
          <w:szCs w:val="24"/>
        </w:rPr>
        <w:t xml:space="preserve"> </w:t>
      </w:r>
    </w:p>
    <w:p w14:paraId="0017A88E"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բ)</w:t>
      </w:r>
      <w:r w:rsidR="00D303C2" w:rsidRPr="00D303C2">
        <w:rPr>
          <w:rFonts w:ascii="Sylfaen" w:hAnsi="Sylfaen"/>
          <w:sz w:val="24"/>
          <w:szCs w:val="24"/>
        </w:rPr>
        <w:tab/>
      </w:r>
      <w:r w:rsidRPr="00CA27E3">
        <w:rPr>
          <w:rFonts w:ascii="Sylfaen" w:hAnsi="Sylfaen"/>
          <w:sz w:val="24"/>
          <w:szCs w:val="24"/>
        </w:rPr>
        <w:t xml:space="preserve">2022 թվականի սեպտեմբերի 1-ից ինքնավար </w:t>
      </w:r>
      <w:r>
        <w:rPr>
          <w:rFonts w:ascii="Sylfaen" w:hAnsi="Sylfaen"/>
          <w:sz w:val="24"/>
          <w:szCs w:val="24"/>
        </w:rPr>
        <w:t>եւ</w:t>
      </w:r>
      <w:r w:rsidRPr="00CA27E3">
        <w:rPr>
          <w:rFonts w:ascii="Sylfaen" w:hAnsi="Sylfaen"/>
          <w:sz w:val="24"/>
          <w:szCs w:val="24"/>
        </w:rPr>
        <w:t xml:space="preserve"> ինտեգրված շրջանառու պոմպերի էներգետիկ արդյունավետության ցուցիչը պետք է լինի 0,23-ից ոչ ավելի:</w:t>
      </w:r>
    </w:p>
    <w:p w14:paraId="26A9EE88"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8.</w:t>
      </w:r>
      <w:r w:rsidR="00D303C2" w:rsidRPr="00D303C2">
        <w:rPr>
          <w:rFonts w:ascii="Sylfaen" w:hAnsi="Sylfaen"/>
          <w:sz w:val="24"/>
          <w:szCs w:val="24"/>
        </w:rPr>
        <w:tab/>
      </w:r>
      <w:r w:rsidRPr="00CA27E3">
        <w:rPr>
          <w:rFonts w:ascii="Sylfaen" w:hAnsi="Sylfaen"/>
          <w:sz w:val="24"/>
          <w:szCs w:val="24"/>
        </w:rPr>
        <w:t xml:space="preserve">Տեխնիկական կանոնակարգի 13-րդ կետով նախատեսված՝ շրջանառու պոմպերին կցվող շահագործման փաստաթղթերը պետք է պարունակեն դրանց բնութագրերի </w:t>
      </w:r>
      <w:r>
        <w:rPr>
          <w:rFonts w:ascii="Sylfaen" w:hAnsi="Sylfaen"/>
          <w:sz w:val="24"/>
          <w:szCs w:val="24"/>
        </w:rPr>
        <w:t>եւ</w:t>
      </w:r>
      <w:r w:rsidRPr="00CA27E3">
        <w:rPr>
          <w:rFonts w:ascii="Sylfaen" w:hAnsi="Sylfaen"/>
          <w:sz w:val="24"/>
          <w:szCs w:val="24"/>
        </w:rPr>
        <w:t xml:space="preserve"> պարամետրերի մասին հետ</w:t>
      </w:r>
      <w:r>
        <w:rPr>
          <w:rFonts w:ascii="Sylfaen" w:hAnsi="Sylfaen"/>
          <w:sz w:val="24"/>
          <w:szCs w:val="24"/>
        </w:rPr>
        <w:t>եւ</w:t>
      </w:r>
      <w:r w:rsidRPr="00CA27E3">
        <w:rPr>
          <w:rFonts w:ascii="Sylfaen" w:hAnsi="Sylfaen"/>
          <w:sz w:val="24"/>
          <w:szCs w:val="24"/>
        </w:rPr>
        <w:t>յալ տեղեկությունները՝</w:t>
      </w:r>
    </w:p>
    <w:p w14:paraId="6030B1EB" w14:textId="77777777" w:rsidR="00CA27E3" w:rsidRPr="00B0255B"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 xml:space="preserve">շրջանառու պոմպերի էներգետիկ արդյունավետության ցուցիչը (EEI), որը նշված է պոմպի մականշվածքում, դրա փաթեթվածքի վրա </w:t>
      </w:r>
      <w:r>
        <w:rPr>
          <w:rFonts w:ascii="Sylfaen" w:hAnsi="Sylfaen"/>
          <w:sz w:val="24"/>
          <w:szCs w:val="24"/>
        </w:rPr>
        <w:t>եւ</w:t>
      </w:r>
      <w:r w:rsidRPr="00CA27E3">
        <w:rPr>
          <w:rFonts w:ascii="Sylfaen" w:hAnsi="Sylfaen"/>
          <w:sz w:val="24"/>
          <w:szCs w:val="24"/>
        </w:rPr>
        <w:t xml:space="preserve"> շահագործման փաստաթղթերում՝ «EEI ≤ [0,XX]» ձ</w:t>
      </w:r>
      <w:r>
        <w:rPr>
          <w:rFonts w:ascii="Sylfaen" w:hAnsi="Sylfaen"/>
          <w:sz w:val="24"/>
          <w:szCs w:val="24"/>
        </w:rPr>
        <w:t>եւ</w:t>
      </w:r>
      <w:r w:rsidRPr="00CA27E3">
        <w:rPr>
          <w:rFonts w:ascii="Sylfaen" w:hAnsi="Sylfaen"/>
          <w:sz w:val="24"/>
          <w:szCs w:val="24"/>
        </w:rPr>
        <w:t>ով.</w:t>
      </w:r>
      <w:r w:rsidR="00B0255B">
        <w:rPr>
          <w:rFonts w:ascii="Sylfaen" w:hAnsi="Sylfaen"/>
          <w:sz w:val="24"/>
          <w:szCs w:val="24"/>
        </w:rPr>
        <w:t xml:space="preserve"> </w:t>
      </w:r>
    </w:p>
    <w:p w14:paraId="47267C08"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ինքնավար շրջանառու պոմպերի համար հետ</w:t>
      </w:r>
      <w:r>
        <w:rPr>
          <w:rFonts w:ascii="Sylfaen" w:hAnsi="Sylfaen"/>
          <w:sz w:val="24"/>
          <w:szCs w:val="24"/>
        </w:rPr>
        <w:t>եւ</w:t>
      </w:r>
      <w:r w:rsidRPr="00CA27E3">
        <w:rPr>
          <w:rFonts w:ascii="Sylfaen" w:hAnsi="Sylfaen"/>
          <w:sz w:val="24"/>
          <w:szCs w:val="24"/>
        </w:rPr>
        <w:t>յալ գրառումը՝ «Ամենաարդյունավետ՝ շրջանառու պոմպերի համապատասխանության չափորոշիչը՝ EEI ≤ 0,20».</w:t>
      </w:r>
    </w:p>
    <w:p w14:paraId="2A711BD2"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D303C2" w:rsidRPr="00D303C2">
        <w:rPr>
          <w:rFonts w:ascii="Sylfaen" w:hAnsi="Sylfaen"/>
          <w:sz w:val="24"/>
          <w:szCs w:val="24"/>
        </w:rPr>
        <w:tab/>
      </w:r>
      <w:r w:rsidRPr="00CA27E3">
        <w:rPr>
          <w:rFonts w:ascii="Sylfaen" w:hAnsi="Sylfaen"/>
          <w:sz w:val="24"/>
          <w:szCs w:val="24"/>
        </w:rPr>
        <w:t>խմելու ջրի համար նախատեսված շրջանառու պոմպերի համար նշանակության մասին տեղեկատվությունը՝ «Այս շրջանառու պոմպը նախատեսված է միայն խմելու ջրի համար»։ Այդ տեղեկատվությունը նշվում է նա</w:t>
      </w:r>
      <w:r>
        <w:rPr>
          <w:rFonts w:ascii="Sylfaen" w:hAnsi="Sylfaen"/>
          <w:sz w:val="24"/>
          <w:szCs w:val="24"/>
        </w:rPr>
        <w:t>եւ</w:t>
      </w:r>
      <w:r w:rsidRPr="00CA27E3">
        <w:rPr>
          <w:rFonts w:ascii="Sylfaen" w:hAnsi="Sylfaen"/>
          <w:sz w:val="24"/>
          <w:szCs w:val="24"/>
        </w:rPr>
        <w:t xml:space="preserve"> շրջանառու պոմպի փաթեթվածքի վրա.</w:t>
      </w:r>
    </w:p>
    <w:p w14:paraId="504503C1" w14:textId="77777777" w:rsidR="00CA27E3" w:rsidRPr="00CA27E3" w:rsidRDefault="00CA27E3" w:rsidP="00D303C2">
      <w:pPr>
        <w:pStyle w:val="a0"/>
        <w:shd w:val="clear" w:color="auto" w:fill="auto"/>
        <w:tabs>
          <w:tab w:val="left" w:pos="1134"/>
        </w:tabs>
        <w:spacing w:after="160"/>
        <w:ind w:firstLine="580"/>
        <w:jc w:val="both"/>
        <w:rPr>
          <w:rFonts w:ascii="Sylfaen" w:hAnsi="Sylfaen" w:cs="Sylfaen"/>
          <w:sz w:val="24"/>
          <w:szCs w:val="24"/>
        </w:rPr>
      </w:pPr>
      <w:r w:rsidRPr="00CA27E3">
        <w:rPr>
          <w:rFonts w:ascii="Sylfaen" w:hAnsi="Sylfaen"/>
          <w:sz w:val="24"/>
          <w:szCs w:val="24"/>
        </w:rPr>
        <w:t>դ)</w:t>
      </w:r>
      <w:r w:rsidR="00D303C2" w:rsidRPr="00D303C2">
        <w:rPr>
          <w:rFonts w:ascii="Sylfaen" w:hAnsi="Sylfaen"/>
          <w:sz w:val="24"/>
          <w:szCs w:val="24"/>
        </w:rPr>
        <w:tab/>
      </w:r>
      <w:r w:rsidRPr="00CA27E3">
        <w:rPr>
          <w:rFonts w:ascii="Sylfaen" w:hAnsi="Sylfaen"/>
          <w:sz w:val="24"/>
          <w:szCs w:val="24"/>
        </w:rPr>
        <w:t xml:space="preserve">պոմպի քանդմանը, կրկնակի օգտագործմանը </w:t>
      </w:r>
      <w:r>
        <w:rPr>
          <w:rFonts w:ascii="Sylfaen" w:hAnsi="Sylfaen"/>
          <w:sz w:val="24"/>
          <w:szCs w:val="24"/>
        </w:rPr>
        <w:t>եւ</w:t>
      </w:r>
      <w:r w:rsidRPr="00CA27E3">
        <w:rPr>
          <w:rFonts w:ascii="Sylfaen" w:hAnsi="Sylfaen"/>
          <w:sz w:val="24"/>
          <w:szCs w:val="24"/>
        </w:rPr>
        <w:t xml:space="preserve"> օգտահանմանը վերաբերող տեղեկատվությունը։</w:t>
      </w:r>
    </w:p>
    <w:p w14:paraId="02ADF35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665DC7A4" w14:textId="77777777" w:rsidR="00CA27E3" w:rsidRPr="00CA27E3" w:rsidRDefault="00CA27E3" w:rsidP="00D303C2">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IV. Շրջանառու պոմպերի էներգետիկ արդյունավետության պարամետրերի թույլատրելի շեղումները դրանց շրջանառության դրվելուց հետո փորձարկումներ (չափումներ) անցկացնելիս</w:t>
      </w:r>
    </w:p>
    <w:p w14:paraId="36C0D9C3"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D303C2" w:rsidRPr="00D303C2">
        <w:rPr>
          <w:rFonts w:ascii="Sylfaen" w:hAnsi="Sylfaen"/>
          <w:sz w:val="24"/>
          <w:szCs w:val="24"/>
        </w:rPr>
        <w:tab/>
      </w:r>
      <w:r w:rsidRPr="00CA27E3">
        <w:rPr>
          <w:rFonts w:ascii="Sylfaen" w:hAnsi="Sylfaen"/>
          <w:sz w:val="24"/>
          <w:szCs w:val="24"/>
        </w:rPr>
        <w:t>Շրջանառու պոմպերը շրջանառության մեջ դնելուց հետո՝ դրանց փորձարկումները (չափումները) անցկացնելիս պետք է փորձարկվի յուրաքանչյուր մոդելի շրջանառու պոմպի 1 տիպային օրինակ։</w:t>
      </w:r>
    </w:p>
    <w:p w14:paraId="1F6EF00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Շրջանառու պոմպի մոդելը համարվում է սույն պահանջներին համապատասխանող, եթե շրջանառու պոմպի մոդելի տիպային օրինակի </w:t>
      </w:r>
      <w:r w:rsidRPr="00CA27E3">
        <w:rPr>
          <w:rFonts w:ascii="Sylfaen" w:hAnsi="Sylfaen"/>
          <w:sz w:val="24"/>
          <w:szCs w:val="24"/>
        </w:rPr>
        <w:lastRenderedPageBreak/>
        <w:t>էներգետիկ արդյունավետության ցուցիչը (EEI) ավելի քան 7 %-ով չի գերազանցում շրջանառու պոմպի այդ մոդելի համար սույն պահանջների 7-րդ կետին համապատասխան սահմանված արժեքները։</w:t>
      </w:r>
      <w:r>
        <w:rPr>
          <w:rFonts w:ascii="Sylfaen" w:hAnsi="Sylfaen"/>
          <w:sz w:val="24"/>
          <w:szCs w:val="24"/>
        </w:rPr>
        <w:t xml:space="preserve"> </w:t>
      </w:r>
    </w:p>
    <w:p w14:paraId="7DF9E18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Այլ դեպքերում փորձարկումների (չափումների) են ենթարկում տվյալ մոդելի պատահական ընտրված 3 շրջանառու պոմպեր։</w:t>
      </w:r>
      <w:r>
        <w:rPr>
          <w:rFonts w:ascii="Sylfaen" w:hAnsi="Sylfaen"/>
          <w:sz w:val="24"/>
          <w:szCs w:val="24"/>
        </w:rPr>
        <w:t xml:space="preserve">  </w:t>
      </w:r>
      <w:r w:rsidRPr="00CA27E3">
        <w:rPr>
          <w:rFonts w:ascii="Sylfaen" w:hAnsi="Sylfaen"/>
          <w:sz w:val="24"/>
          <w:szCs w:val="24"/>
        </w:rPr>
        <w:t xml:space="preserve">Շրջանառու պոմպի մոդելը համարվում է սույն պահանջներին համապատասխանող, եթե շրջանառու պոմպի այս 3 տիպային օրինակների էներգետիկ արդյունավետության ցուցիչի (EEI) միջին արժեքը չի գերազանցում սույն կետի երկրորդ պարբերության մեջ նշված արժեքները։ </w:t>
      </w:r>
    </w:p>
    <w:p w14:paraId="764DD45A" w14:textId="77777777" w:rsidR="00CA27E3" w:rsidRPr="003D2C38"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Այլ դեպքերում շրջանառու պոմպի տվյալ մոդելը անհրաժեշտ է դիտարկել որպես տեխնիկական կանոնակարգի պահանջներին չհամապատասխանող։</w:t>
      </w:r>
    </w:p>
    <w:p w14:paraId="22D87882" w14:textId="77777777" w:rsidR="00B0255B" w:rsidRPr="003D2C38" w:rsidRDefault="00B0255B" w:rsidP="00B0255B">
      <w:pPr>
        <w:pStyle w:val="a0"/>
        <w:shd w:val="clear" w:color="auto" w:fill="auto"/>
        <w:spacing w:after="160"/>
        <w:ind w:firstLine="0"/>
        <w:jc w:val="center"/>
        <w:rPr>
          <w:rFonts w:ascii="Sylfaen" w:hAnsi="Sylfaen" w:cs="Sylfaen"/>
          <w:sz w:val="24"/>
          <w:szCs w:val="24"/>
        </w:rPr>
      </w:pPr>
      <w:r w:rsidRPr="003D2C38">
        <w:rPr>
          <w:rFonts w:ascii="Sylfaen" w:hAnsi="Sylfaen"/>
          <w:sz w:val="24"/>
          <w:szCs w:val="24"/>
        </w:rPr>
        <w:t>____________</w:t>
      </w:r>
    </w:p>
    <w:p w14:paraId="6593D7C9" w14:textId="77777777" w:rsidR="00D83000" w:rsidRDefault="00D83000" w:rsidP="00CA27E3">
      <w:pPr>
        <w:spacing w:after="160" w:line="360" w:lineRule="auto"/>
        <w:rPr>
          <w:rFonts w:ascii="Sylfaen" w:hAnsi="Sylfaen"/>
        </w:rPr>
      </w:pPr>
    </w:p>
    <w:p w14:paraId="73CA1B93" w14:textId="77777777" w:rsidR="00D83000" w:rsidRDefault="00D83000" w:rsidP="00CA27E3">
      <w:pPr>
        <w:spacing w:after="160" w:line="360" w:lineRule="auto"/>
        <w:rPr>
          <w:rFonts w:ascii="Sylfaen" w:hAnsi="Sylfaen"/>
        </w:rPr>
        <w:sectPr w:rsidR="00D83000" w:rsidSect="0027701C">
          <w:pgSz w:w="11907" w:h="16840" w:code="9"/>
          <w:pgMar w:top="1418" w:right="1418" w:bottom="1418" w:left="1418" w:header="0" w:footer="539" w:gutter="0"/>
          <w:pgNumType w:start="1"/>
          <w:cols w:space="720"/>
          <w:noEndnote/>
          <w:titlePg/>
          <w:docGrid w:linePitch="360"/>
        </w:sectPr>
      </w:pPr>
    </w:p>
    <w:p w14:paraId="2B90C346" w14:textId="77777777" w:rsidR="00CA27E3" w:rsidRPr="00CA27E3" w:rsidRDefault="00CA27E3" w:rsidP="00D303C2">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12</w:t>
      </w:r>
    </w:p>
    <w:p w14:paraId="6BA02B6B" w14:textId="77777777" w:rsidR="00CA27E3" w:rsidRPr="00CA27E3" w:rsidRDefault="00CA27E3" w:rsidP="00B0255B">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t>Եվրասիական տնտեսական միության տեխնիկական կանոնակարգի</w:t>
      </w:r>
      <w:r w:rsidR="00D303C2" w:rsidRPr="00D303C2">
        <w:rPr>
          <w:rFonts w:ascii="Sylfaen" w:hAnsi="Sylfaen"/>
          <w:sz w:val="24"/>
          <w:szCs w:val="24"/>
        </w:rPr>
        <w:t xml:space="preserve"> </w:t>
      </w:r>
      <w:r w:rsidRPr="00CA27E3">
        <w:rPr>
          <w:rFonts w:ascii="Sylfaen" w:hAnsi="Sylfaen"/>
          <w:sz w:val="24"/>
          <w:szCs w:val="24"/>
        </w:rPr>
        <w:t xml:space="preserve">«Էներգասպառող սարքվածքների </w:t>
      </w:r>
      <w:r w:rsidR="00B0255B" w:rsidRPr="00B0255B">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w:t>
      </w:r>
      <w:r w:rsidR="00B0255B" w:rsidRPr="00B0255B">
        <w:rPr>
          <w:rFonts w:ascii="Sylfaen" w:hAnsi="Sylfaen"/>
          <w:sz w:val="24"/>
          <w:szCs w:val="24"/>
        </w:rPr>
        <w:br/>
      </w:r>
      <w:r w:rsidRPr="00CA27E3">
        <w:rPr>
          <w:rFonts w:ascii="Sylfaen" w:hAnsi="Sylfaen"/>
          <w:sz w:val="24"/>
          <w:szCs w:val="24"/>
        </w:rPr>
        <w:t>(ԵԱՏՄ ՏԿ</w:t>
      </w:r>
      <w:r w:rsidR="00D303C2" w:rsidRPr="00D303C2">
        <w:rPr>
          <w:rFonts w:ascii="Sylfaen" w:hAnsi="Sylfaen"/>
          <w:sz w:val="24"/>
          <w:szCs w:val="24"/>
        </w:rPr>
        <w:tab/>
      </w:r>
      <w:r w:rsidRPr="00CA27E3">
        <w:rPr>
          <w:rFonts w:ascii="Sylfaen" w:hAnsi="Sylfaen"/>
          <w:sz w:val="24"/>
          <w:szCs w:val="24"/>
        </w:rPr>
        <w:t>/20</w:t>
      </w:r>
      <w:r w:rsidR="00D303C2" w:rsidRPr="00D303C2">
        <w:rPr>
          <w:rFonts w:ascii="Sylfaen" w:hAnsi="Sylfaen"/>
          <w:sz w:val="24"/>
          <w:szCs w:val="24"/>
        </w:rPr>
        <w:tab/>
      </w:r>
      <w:r w:rsidRPr="00CA27E3">
        <w:rPr>
          <w:rFonts w:ascii="Sylfaen" w:hAnsi="Sylfaen"/>
          <w:sz w:val="24"/>
          <w:szCs w:val="24"/>
        </w:rPr>
        <w:t>)</w:t>
      </w:r>
    </w:p>
    <w:p w14:paraId="7AAEA3A6" w14:textId="77777777" w:rsidR="00CA27E3" w:rsidRPr="00CA27E3" w:rsidRDefault="00CA27E3" w:rsidP="00B0255B">
      <w:pPr>
        <w:pStyle w:val="11"/>
        <w:shd w:val="clear" w:color="auto" w:fill="auto"/>
        <w:spacing w:after="160" w:line="360" w:lineRule="auto"/>
        <w:outlineLvl w:val="9"/>
        <w:rPr>
          <w:rFonts w:ascii="Sylfaen" w:hAnsi="Sylfaen" w:cs="Sylfaen"/>
          <w:sz w:val="24"/>
          <w:szCs w:val="24"/>
        </w:rPr>
      </w:pPr>
      <w:bookmarkStart w:id="6" w:name="bookmark13"/>
    </w:p>
    <w:p w14:paraId="18C91A35" w14:textId="77777777" w:rsidR="00CA27E3" w:rsidRPr="00CA27E3" w:rsidRDefault="00CA27E3" w:rsidP="00B0255B">
      <w:pPr>
        <w:pStyle w:val="11"/>
        <w:shd w:val="clear" w:color="auto" w:fill="auto"/>
        <w:spacing w:after="160" w:line="360" w:lineRule="auto"/>
        <w:ind w:left="567" w:right="566"/>
        <w:outlineLvl w:val="9"/>
        <w:rPr>
          <w:rFonts w:ascii="Sylfaen" w:hAnsi="Sylfaen" w:cs="Sylfaen"/>
          <w:sz w:val="24"/>
          <w:szCs w:val="24"/>
        </w:rPr>
      </w:pPr>
      <w:r w:rsidRPr="00CA27E3">
        <w:rPr>
          <w:rFonts w:ascii="Sylfaen" w:hAnsi="Sylfaen"/>
          <w:sz w:val="24"/>
          <w:szCs w:val="24"/>
        </w:rPr>
        <w:t>ՊԱՀԱՆՋՆԵՐ</w:t>
      </w:r>
      <w:bookmarkEnd w:id="6"/>
    </w:p>
    <w:p w14:paraId="75FF2351" w14:textId="77777777" w:rsidR="00CA27E3" w:rsidRPr="00CA27E3" w:rsidRDefault="00CA27E3" w:rsidP="00B0255B">
      <w:pPr>
        <w:pStyle w:val="11"/>
        <w:shd w:val="clear" w:color="auto" w:fill="auto"/>
        <w:spacing w:after="160" w:line="360" w:lineRule="auto"/>
        <w:ind w:left="567" w:right="566"/>
        <w:outlineLvl w:val="9"/>
        <w:rPr>
          <w:rFonts w:ascii="Sylfaen" w:hAnsi="Sylfaen" w:cs="Sylfaen"/>
          <w:sz w:val="24"/>
          <w:szCs w:val="24"/>
        </w:rPr>
      </w:pPr>
      <w:bookmarkStart w:id="7" w:name="bookmark14"/>
      <w:bookmarkStart w:id="8" w:name="bookmark15"/>
      <w:r w:rsidRPr="00CA27E3">
        <w:rPr>
          <w:rFonts w:ascii="Sylfaen" w:hAnsi="Sylfaen"/>
          <w:sz w:val="24"/>
          <w:szCs w:val="24"/>
        </w:rPr>
        <w:t>էլեկտրաշարժաբերով օդափոխիչների էներգետիկ արդյունավետությանը ներկայացվող</w:t>
      </w:r>
      <w:bookmarkEnd w:id="7"/>
      <w:bookmarkEnd w:id="8"/>
    </w:p>
    <w:p w14:paraId="57FABFE1" w14:textId="77777777" w:rsidR="00CA27E3" w:rsidRPr="00CA27E3" w:rsidRDefault="00CA27E3" w:rsidP="00B0255B">
      <w:pPr>
        <w:pStyle w:val="a0"/>
        <w:shd w:val="clear" w:color="auto" w:fill="auto"/>
        <w:spacing w:after="160"/>
        <w:ind w:firstLine="0"/>
        <w:jc w:val="center"/>
        <w:rPr>
          <w:rFonts w:ascii="Sylfaen" w:hAnsi="Sylfaen" w:cs="Sylfaen"/>
          <w:sz w:val="24"/>
          <w:szCs w:val="24"/>
        </w:rPr>
      </w:pPr>
    </w:p>
    <w:p w14:paraId="499FF27B" w14:textId="77777777" w:rsidR="00CA27E3" w:rsidRPr="00CA27E3" w:rsidRDefault="00CA27E3" w:rsidP="00B0255B">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 Կիրառության ոլորտը</w:t>
      </w:r>
    </w:p>
    <w:p w14:paraId="18262710" w14:textId="77777777" w:rsidR="00CA27E3" w:rsidRPr="00CA27E3" w:rsidRDefault="00CA27E3" w:rsidP="00B0255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D303C2" w:rsidRPr="00D303C2">
        <w:rPr>
          <w:rFonts w:ascii="Sylfaen" w:hAnsi="Sylfaen"/>
          <w:sz w:val="24"/>
          <w:szCs w:val="24"/>
        </w:rPr>
        <w:tab/>
      </w:r>
      <w:r w:rsidRPr="00CA27E3">
        <w:rPr>
          <w:rFonts w:ascii="Sylfaen" w:hAnsi="Sylfaen"/>
          <w:sz w:val="24"/>
          <w:szCs w:val="24"/>
        </w:rPr>
        <w:t xml:space="preserve">Սույն պահանջները տարածվում են Եվրասիական տնտեսական միության (այսուհետ՝ Միություն) մաքսային տարածքում շրջանառության մեջ դրվող ինքնավար </w:t>
      </w:r>
      <w:r>
        <w:rPr>
          <w:rFonts w:ascii="Sylfaen" w:hAnsi="Sylfaen"/>
          <w:sz w:val="24"/>
          <w:szCs w:val="24"/>
        </w:rPr>
        <w:t>եւ</w:t>
      </w:r>
      <w:r w:rsidRPr="00CA27E3">
        <w:rPr>
          <w:rFonts w:ascii="Sylfaen" w:hAnsi="Sylfaen"/>
          <w:sz w:val="24"/>
          <w:szCs w:val="24"/>
        </w:rPr>
        <w:t xml:space="preserve"> այլ սարքավորումների մեջ ներկառուցված՝ 125 Վտ-ից </w:t>
      </w:r>
      <w:r w:rsidRPr="00B0255B">
        <w:rPr>
          <w:rFonts w:ascii="Sylfaen" w:hAnsi="Sylfaen"/>
          <w:spacing w:val="-4"/>
          <w:sz w:val="24"/>
          <w:szCs w:val="24"/>
        </w:rPr>
        <w:t>(ներառյալ) մինչեւ 500 կՎտ-ն (ներառյալ) եւ փոփոխական հոսանքի մինչեւ 1000 Վ-ն (ներառյալ</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հաստատուն հոսանքի մինչ</w:t>
      </w:r>
      <w:r>
        <w:rPr>
          <w:rFonts w:ascii="Sylfaen" w:hAnsi="Sylfaen"/>
          <w:sz w:val="24"/>
          <w:szCs w:val="24"/>
        </w:rPr>
        <w:t>եւ</w:t>
      </w:r>
      <w:r w:rsidRPr="00CA27E3">
        <w:rPr>
          <w:rFonts w:ascii="Sylfaen" w:hAnsi="Sylfaen"/>
          <w:sz w:val="24"/>
          <w:szCs w:val="24"/>
        </w:rPr>
        <w:t xml:space="preserve"> 1500 Վ-ն (ներառյալ) էլեկտրաշարժաբերով օդափոխիչների վրա, բացառությամբ սենյակային օդափոխիչների </w:t>
      </w:r>
      <w:r>
        <w:rPr>
          <w:rFonts w:ascii="Sylfaen" w:hAnsi="Sylfaen"/>
          <w:sz w:val="24"/>
          <w:szCs w:val="24"/>
        </w:rPr>
        <w:t>եւ</w:t>
      </w:r>
      <w:r w:rsidRPr="00CA27E3">
        <w:rPr>
          <w:rFonts w:ascii="Sylfaen" w:hAnsi="Sylfaen"/>
          <w:sz w:val="24"/>
          <w:szCs w:val="24"/>
        </w:rPr>
        <w:t xml:space="preserve"> օդափոխիչների, որոնք նախատեսված են՝ </w:t>
      </w:r>
    </w:p>
    <w:p w14:paraId="0AB54424" w14:textId="77777777" w:rsidR="00CA27E3" w:rsidRPr="00CA27E3" w:rsidRDefault="00CA27E3" w:rsidP="00B0255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 xml:space="preserve">պայթավտանգ, թունավոր, քայքայում առաջացնող </w:t>
      </w:r>
      <w:r>
        <w:rPr>
          <w:rFonts w:ascii="Sylfaen" w:hAnsi="Sylfaen"/>
          <w:sz w:val="24"/>
          <w:szCs w:val="24"/>
        </w:rPr>
        <w:t>եւ</w:t>
      </w:r>
      <w:r w:rsidRPr="00CA27E3">
        <w:rPr>
          <w:rFonts w:ascii="Sylfaen" w:hAnsi="Sylfaen"/>
          <w:sz w:val="24"/>
          <w:szCs w:val="24"/>
        </w:rPr>
        <w:t xml:space="preserve"> հղկանյութային փոշի պարունակող միջավայրերում աշխատանքի. </w:t>
      </w:r>
    </w:p>
    <w:p w14:paraId="6703DCD0" w14:textId="77777777" w:rsidR="00CA27E3" w:rsidRPr="00CA27E3" w:rsidRDefault="00CA27E3" w:rsidP="00B0255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շարժունակ գազերի 100 °C-ից բարձր ջերմաստիճանի պայմաններում շահագործման.</w:t>
      </w:r>
    </w:p>
    <w:p w14:paraId="1A3AF932" w14:textId="77777777" w:rsidR="00CA27E3" w:rsidRPr="00CA27E3" w:rsidRDefault="00CA27E3" w:rsidP="00B0255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D303C2" w:rsidRPr="00D303C2">
        <w:rPr>
          <w:rFonts w:ascii="Sylfaen" w:hAnsi="Sylfaen"/>
          <w:sz w:val="24"/>
          <w:szCs w:val="24"/>
        </w:rPr>
        <w:tab/>
      </w:r>
      <w:r w:rsidRPr="00CA27E3">
        <w:rPr>
          <w:rFonts w:ascii="Sylfaen" w:hAnsi="Sylfaen"/>
          <w:sz w:val="24"/>
          <w:szCs w:val="24"/>
        </w:rPr>
        <w:t>օդափոխիչի էլեկտրաշարժիչը շրջապատող միջավայրի՝ 65 °C-ից բարձր աշխատանքային ջերմաստիճանի պայմաններում շահագործման.</w:t>
      </w:r>
      <w:r>
        <w:rPr>
          <w:rFonts w:ascii="Sylfaen" w:hAnsi="Sylfaen"/>
          <w:sz w:val="24"/>
          <w:szCs w:val="24"/>
        </w:rPr>
        <w:t xml:space="preserve"> </w:t>
      </w:r>
    </w:p>
    <w:p w14:paraId="6376C0A3" w14:textId="77777777" w:rsidR="00CA27E3" w:rsidRPr="00D303C2" w:rsidRDefault="00CA27E3" w:rsidP="00B0255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դ)</w:t>
      </w:r>
      <w:r w:rsidR="00D303C2" w:rsidRPr="00D303C2">
        <w:rPr>
          <w:rFonts w:ascii="Sylfaen" w:hAnsi="Sylfaen"/>
          <w:sz w:val="24"/>
          <w:szCs w:val="24"/>
        </w:rPr>
        <w:tab/>
      </w:r>
      <w:r w:rsidRPr="00CA27E3">
        <w:rPr>
          <w:rFonts w:ascii="Sylfaen" w:hAnsi="Sylfaen"/>
          <w:sz w:val="24"/>
          <w:szCs w:val="24"/>
        </w:rPr>
        <w:t xml:space="preserve">շարժունակ գազերի </w:t>
      </w:r>
      <w:r>
        <w:rPr>
          <w:rFonts w:ascii="Sylfaen" w:hAnsi="Sylfaen"/>
          <w:sz w:val="24"/>
          <w:szCs w:val="24"/>
        </w:rPr>
        <w:t>եւ</w:t>
      </w:r>
      <w:r w:rsidRPr="00CA27E3">
        <w:rPr>
          <w:rFonts w:ascii="Sylfaen" w:hAnsi="Sylfaen"/>
          <w:sz w:val="24"/>
          <w:szCs w:val="24"/>
        </w:rPr>
        <w:t xml:space="preserve"> (կամ) օդափոխիչի էլեկտրաշարժիչը շրջապատող 40 °C-ից ցածր միջին տարեկան ջերմաստիճանի պայմաններում շահագործման.</w:t>
      </w:r>
    </w:p>
    <w:p w14:paraId="5DC9265F"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D303C2" w:rsidRPr="00D303C2">
        <w:rPr>
          <w:rFonts w:ascii="Sylfaen" w:hAnsi="Sylfaen"/>
          <w:sz w:val="24"/>
          <w:szCs w:val="24"/>
        </w:rPr>
        <w:tab/>
      </w:r>
      <w:r w:rsidRPr="00CA27E3">
        <w:rPr>
          <w:rFonts w:ascii="Sylfaen" w:hAnsi="Sylfaen"/>
          <w:sz w:val="24"/>
          <w:szCs w:val="24"/>
        </w:rPr>
        <w:t xml:space="preserve">միայն արտակարգ, վթարային </w:t>
      </w:r>
      <w:r>
        <w:rPr>
          <w:rFonts w:ascii="Sylfaen" w:hAnsi="Sylfaen"/>
          <w:sz w:val="24"/>
          <w:szCs w:val="24"/>
        </w:rPr>
        <w:t>եւ</w:t>
      </w:r>
      <w:r w:rsidRPr="00CA27E3">
        <w:rPr>
          <w:rFonts w:ascii="Sylfaen" w:hAnsi="Sylfaen"/>
          <w:sz w:val="24"/>
          <w:szCs w:val="24"/>
        </w:rPr>
        <w:t xml:space="preserve"> ծայրահեղ դեպքերում կարճաժամկետ աշխատանքի.</w:t>
      </w:r>
    </w:p>
    <w:p w14:paraId="08D1FFB4"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D303C2" w:rsidRPr="00D95D5E">
        <w:rPr>
          <w:rFonts w:ascii="Sylfaen" w:hAnsi="Sylfaen"/>
          <w:sz w:val="24"/>
          <w:szCs w:val="24"/>
        </w:rPr>
        <w:tab/>
      </w:r>
      <w:r w:rsidRPr="00CA27E3">
        <w:rPr>
          <w:rFonts w:ascii="Sylfaen" w:hAnsi="Sylfaen"/>
          <w:sz w:val="24"/>
          <w:szCs w:val="24"/>
        </w:rPr>
        <w:t>ներկառուցման համար՝</w:t>
      </w:r>
    </w:p>
    <w:p w14:paraId="7B4B532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3 կՎտ-ից ոչ ավելի հզորությամբ մեկ էլեկտրաշարժիչով սարքավորման մեջ, որը շարժման մեջ է դնում օդափոխիչը </w:t>
      </w:r>
      <w:r>
        <w:rPr>
          <w:rFonts w:ascii="Sylfaen" w:hAnsi="Sylfaen"/>
          <w:sz w:val="24"/>
          <w:szCs w:val="24"/>
        </w:rPr>
        <w:t>եւ</w:t>
      </w:r>
      <w:r w:rsidRPr="00CA27E3">
        <w:rPr>
          <w:rFonts w:ascii="Sylfaen" w:hAnsi="Sylfaen"/>
          <w:sz w:val="24"/>
          <w:szCs w:val="24"/>
        </w:rPr>
        <w:t xml:space="preserve"> ծառայում է տվյալ սարքավորման համար հիմնական համարվող այլ գործառույթներ կատարելու համար.</w:t>
      </w:r>
      <w:r>
        <w:rPr>
          <w:rFonts w:ascii="Sylfaen" w:hAnsi="Sylfaen"/>
          <w:sz w:val="24"/>
          <w:szCs w:val="24"/>
        </w:rPr>
        <w:t xml:space="preserve"> </w:t>
      </w:r>
    </w:p>
    <w:p w14:paraId="13C243A2" w14:textId="77777777" w:rsidR="00CA27E3" w:rsidRPr="00B0255B"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3 կՎտ-ից ոչ ավելի անվանական սպառվող հզորությամբ՝ սպիտակեղենի չորանոցներում </w:t>
      </w:r>
      <w:r>
        <w:rPr>
          <w:rFonts w:ascii="Sylfaen" w:hAnsi="Sylfaen"/>
          <w:sz w:val="24"/>
          <w:szCs w:val="24"/>
        </w:rPr>
        <w:t>եւ</w:t>
      </w:r>
      <w:r w:rsidRPr="00CA27E3">
        <w:rPr>
          <w:rFonts w:ascii="Sylfaen" w:hAnsi="Sylfaen"/>
          <w:sz w:val="24"/>
          <w:szCs w:val="24"/>
        </w:rPr>
        <w:t xml:space="preserve"> լվացքաչորացնող մեքենաներում.</w:t>
      </w:r>
      <w:r>
        <w:rPr>
          <w:rFonts w:ascii="Sylfaen" w:hAnsi="Sylfaen"/>
          <w:sz w:val="24"/>
          <w:szCs w:val="24"/>
        </w:rPr>
        <w:t xml:space="preserve"> </w:t>
      </w:r>
    </w:p>
    <w:p w14:paraId="1EA95B8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280 Վտ-ից պակաս սպառվող անվանական հզորությամբ՝ խոհանոցի օդաքաշիչներում </w:t>
      </w:r>
      <w:r>
        <w:rPr>
          <w:rFonts w:ascii="Sylfaen" w:hAnsi="Sylfaen"/>
          <w:sz w:val="24"/>
          <w:szCs w:val="24"/>
        </w:rPr>
        <w:t>եւ</w:t>
      </w:r>
      <w:r w:rsidRPr="00CA27E3">
        <w:rPr>
          <w:rFonts w:ascii="Sylfaen" w:hAnsi="Sylfaen"/>
          <w:sz w:val="24"/>
          <w:szCs w:val="24"/>
        </w:rPr>
        <w:t xml:space="preserve"> օդամաքրիչներում։ </w:t>
      </w:r>
    </w:p>
    <w:p w14:paraId="6228C39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օդափոխիչների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օդափոխիչները պետք է համապատասխանեն Միության</w:t>
      </w:r>
      <w:r>
        <w:rPr>
          <w:rFonts w:ascii="Sylfaen" w:hAnsi="Sylfaen"/>
          <w:sz w:val="24"/>
          <w:szCs w:val="24"/>
        </w:rPr>
        <w:t xml:space="preserve"> </w:t>
      </w:r>
      <w:r w:rsidRPr="00CA27E3">
        <w:rPr>
          <w:rFonts w:ascii="Sylfaen" w:hAnsi="Sylfaen"/>
          <w:sz w:val="24"/>
          <w:szCs w:val="24"/>
        </w:rPr>
        <w:t>բոլոր այն տեխնիկական կանոնակարգերի (Մաքսային միության տեխնիկական կանոնակարգերի) պահանջներին, որոնց գործողությունը տարածվում է դրանց վրա։</w:t>
      </w:r>
    </w:p>
    <w:p w14:paraId="50E4ACF5" w14:textId="77777777" w:rsidR="00CA27E3" w:rsidRPr="00CA27E3" w:rsidRDefault="00CA27E3" w:rsidP="00CA27E3">
      <w:pPr>
        <w:spacing w:after="160" w:line="360" w:lineRule="auto"/>
        <w:rPr>
          <w:rFonts w:ascii="Sylfaen" w:hAnsi="Sylfaen" w:cs="Sylfaen"/>
        </w:rPr>
      </w:pPr>
    </w:p>
    <w:p w14:paraId="6FCC0DD0"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023AEA77"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D303C2" w:rsidRPr="00D303C2">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29417B1F" w14:textId="77777777" w:rsidR="00CA27E3" w:rsidRPr="00CA27E3"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օդափոխիչ</w:t>
      </w:r>
      <w:r w:rsidR="00CA27E3" w:rsidRPr="00B0255B">
        <w:rPr>
          <w:rFonts w:ascii="Sylfaen" w:hAnsi="Sylfaen"/>
          <w:b/>
          <w:sz w:val="24"/>
          <w:szCs w:val="24"/>
        </w:rPr>
        <w:t>՝</w:t>
      </w:r>
      <w:r w:rsidR="00CA27E3" w:rsidRPr="00CA27E3">
        <w:rPr>
          <w:rFonts w:ascii="Sylfaen" w:hAnsi="Sylfaen"/>
          <w:sz w:val="24"/>
          <w:szCs w:val="24"/>
        </w:rPr>
        <w:t xml:space="preserve"> պտտվող թիակներով մեքենա, որն օգտագործվում է դրա միջով անցնող գազի (սովորաբար օդի) անընդհատ հոսքը պահպանելու համար, որի աշխատանքը զանգվածի 1 միավորի վրա չի գերազանցում 25 կՋ/կգ-ն </w:t>
      </w:r>
      <w:r w:rsidR="00CA27E3">
        <w:rPr>
          <w:rFonts w:ascii="Sylfaen" w:hAnsi="Sylfaen"/>
          <w:sz w:val="24"/>
          <w:szCs w:val="24"/>
        </w:rPr>
        <w:t>եւ</w:t>
      </w:r>
      <w:r w:rsidR="00CA27E3" w:rsidRPr="00CA27E3">
        <w:rPr>
          <w:rFonts w:ascii="Sylfaen" w:hAnsi="Sylfaen"/>
          <w:sz w:val="24"/>
          <w:szCs w:val="24"/>
        </w:rPr>
        <w:t xml:space="preserve"> որը </w:t>
      </w:r>
      <w:r w:rsidR="00CA27E3" w:rsidRPr="00CA27E3">
        <w:rPr>
          <w:rFonts w:ascii="Sylfaen" w:hAnsi="Sylfaen"/>
          <w:sz w:val="24"/>
          <w:szCs w:val="24"/>
        </w:rPr>
        <w:lastRenderedPageBreak/>
        <w:t>նախագծվել է ներկառուցված էլեկտրաշարժիչի հետ օգտագործման համար կամ ունի ներկառուցված էլեկտրաշարժիչ՝ թ</w:t>
      </w:r>
      <w:r w:rsidR="00CA27E3">
        <w:rPr>
          <w:rFonts w:ascii="Sylfaen" w:hAnsi="Sylfaen"/>
          <w:sz w:val="24"/>
          <w:szCs w:val="24"/>
        </w:rPr>
        <w:t>եւ</w:t>
      </w:r>
      <w:r w:rsidR="00CA27E3" w:rsidRPr="00CA27E3">
        <w:rPr>
          <w:rFonts w:ascii="Sylfaen" w:hAnsi="Sylfaen"/>
          <w:sz w:val="24"/>
          <w:szCs w:val="24"/>
        </w:rPr>
        <w:t xml:space="preserve">անիվի օպտիմալ էներգետիկ արդյունավետության դեպքում այն պտտելու համար, առանցքային, շառավղային, տրամագծային կամ անկյունագծային օդափոխիչ է </w:t>
      </w:r>
      <w:r w:rsidR="00CA27E3">
        <w:rPr>
          <w:rFonts w:ascii="Sylfaen" w:hAnsi="Sylfaen"/>
          <w:sz w:val="24"/>
          <w:szCs w:val="24"/>
        </w:rPr>
        <w:t>եւ</w:t>
      </w:r>
      <w:r w:rsidR="00CA27E3" w:rsidRPr="00CA27E3">
        <w:rPr>
          <w:rFonts w:ascii="Sylfaen" w:hAnsi="Sylfaen"/>
          <w:sz w:val="24"/>
          <w:szCs w:val="24"/>
        </w:rPr>
        <w:t xml:space="preserve"> կարող է համալրված լինել կամ չլինել շարժիչով. </w:t>
      </w:r>
    </w:p>
    <w:p w14:paraId="501D2E54" w14:textId="77777777" w:rsidR="00CA27E3" w:rsidRPr="00CA27E3"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մուտքային ուղղորդիչ սարքվածք</w:t>
      </w:r>
      <w:r w:rsidR="00CA27E3" w:rsidRPr="00B0255B">
        <w:rPr>
          <w:rFonts w:ascii="Sylfaen" w:hAnsi="Sylfaen"/>
          <w:b/>
          <w:sz w:val="24"/>
          <w:szCs w:val="24"/>
        </w:rPr>
        <w:t>՝</w:t>
      </w:r>
      <w:r w:rsidR="00CA27E3" w:rsidRPr="00CA27E3">
        <w:rPr>
          <w:rFonts w:ascii="Sylfaen" w:hAnsi="Sylfaen"/>
          <w:sz w:val="24"/>
          <w:szCs w:val="24"/>
        </w:rPr>
        <w:t xml:space="preserve"> թ</w:t>
      </w:r>
      <w:r w:rsidR="00CA27E3">
        <w:rPr>
          <w:rFonts w:ascii="Sylfaen" w:hAnsi="Sylfaen"/>
          <w:sz w:val="24"/>
          <w:szCs w:val="24"/>
        </w:rPr>
        <w:t>եւ</w:t>
      </w:r>
      <w:r w:rsidR="00CA27E3" w:rsidRPr="00CA27E3">
        <w:rPr>
          <w:rFonts w:ascii="Sylfaen" w:hAnsi="Sylfaen"/>
          <w:sz w:val="24"/>
          <w:szCs w:val="24"/>
        </w:rPr>
        <w:t>անիվից առաջ տեղակայված ուղղորդիչ սարքվածք՝ կարգավորման հնարավորությամբ կամ առանց դրա, որը նախատեսված է գազի հոսքը թ</w:t>
      </w:r>
      <w:r w:rsidR="00CA27E3">
        <w:rPr>
          <w:rFonts w:ascii="Sylfaen" w:hAnsi="Sylfaen"/>
          <w:sz w:val="24"/>
          <w:szCs w:val="24"/>
        </w:rPr>
        <w:t>եւ</w:t>
      </w:r>
      <w:r w:rsidR="00CA27E3" w:rsidRPr="00CA27E3">
        <w:rPr>
          <w:rFonts w:ascii="Sylfaen" w:hAnsi="Sylfaen"/>
          <w:sz w:val="24"/>
          <w:szCs w:val="24"/>
        </w:rPr>
        <w:t xml:space="preserve">անիվ ուղղելու համար. </w:t>
      </w:r>
    </w:p>
    <w:p w14:paraId="0A8723BC" w14:textId="77777777" w:rsidR="00CA27E3" w:rsidRPr="00CA27E3" w:rsidRDefault="00B0255B" w:rsidP="00B0255B">
      <w:pPr>
        <w:pStyle w:val="a0"/>
        <w:shd w:val="clear" w:color="auto" w:fill="auto"/>
        <w:spacing w:after="160" w:line="346" w:lineRule="auto"/>
        <w:ind w:firstLine="567"/>
        <w:jc w:val="both"/>
        <w:rPr>
          <w:rFonts w:ascii="Sylfaen" w:hAnsi="Sylfaen" w:cs="Sylfaen"/>
          <w:sz w:val="24"/>
          <w:szCs w:val="24"/>
        </w:rPr>
      </w:pPr>
      <w:r w:rsidRPr="00B0255B">
        <w:rPr>
          <w:rFonts w:ascii="Sylfaen" w:hAnsi="Sylfaen"/>
          <w:b/>
          <w:sz w:val="24"/>
          <w:szCs w:val="24"/>
        </w:rPr>
        <w:t>մուտքային ծավալային ծախս (q)</w:t>
      </w:r>
      <w:r w:rsidR="00CA27E3" w:rsidRPr="00B0255B">
        <w:rPr>
          <w:rFonts w:ascii="Sylfaen" w:hAnsi="Sylfaen"/>
          <w:b/>
          <w:sz w:val="24"/>
          <w:szCs w:val="24"/>
        </w:rPr>
        <w:t>`</w:t>
      </w:r>
      <w:r w:rsidR="00CA27E3" w:rsidRPr="00CA27E3">
        <w:rPr>
          <w:rFonts w:ascii="Sylfaen" w:hAnsi="Sylfaen"/>
          <w:sz w:val="24"/>
          <w:szCs w:val="24"/>
        </w:rPr>
        <w:t xml:space="preserve"> միավոր ժամանակում (մ</w:t>
      </w:r>
      <w:r w:rsidR="00CA27E3" w:rsidRPr="00CA27E3">
        <w:rPr>
          <w:rFonts w:ascii="Sylfaen" w:hAnsi="Sylfaen"/>
          <w:sz w:val="24"/>
          <w:szCs w:val="24"/>
          <w:vertAlign w:val="superscript"/>
        </w:rPr>
        <w:t>3</w:t>
      </w:r>
      <w:r w:rsidR="00CA27E3" w:rsidRPr="00CA27E3">
        <w:rPr>
          <w:rFonts w:ascii="Sylfaen" w:hAnsi="Sylfaen"/>
          <w:sz w:val="24"/>
          <w:szCs w:val="24"/>
        </w:rPr>
        <w:t>/վրկ) օդափոխիչի միջով անցնող գազի ծավալը, որը հաշվարկվում է օդափոխիչով շարժունակ գազի (կգ/վրկ) զանգվածը օդափոխիչի ելքի մոտ այդ գազի խտության վրա (կգ/մ</w:t>
      </w:r>
      <w:r w:rsidR="00CA27E3" w:rsidRPr="00CA27E3">
        <w:rPr>
          <w:rFonts w:ascii="Sylfaen" w:hAnsi="Sylfaen"/>
          <w:sz w:val="24"/>
          <w:szCs w:val="24"/>
          <w:vertAlign w:val="superscript"/>
        </w:rPr>
        <w:t>3</w:t>
      </w:r>
      <w:r w:rsidR="00CA27E3" w:rsidRPr="00CA27E3">
        <w:rPr>
          <w:rFonts w:ascii="Sylfaen" w:hAnsi="Sylfaen"/>
          <w:sz w:val="24"/>
          <w:szCs w:val="24"/>
        </w:rPr>
        <w:t>) բաժանելու միջոցով.</w:t>
      </w:r>
      <w:r w:rsidR="00CA27E3">
        <w:rPr>
          <w:rFonts w:ascii="Sylfaen" w:hAnsi="Sylfaen"/>
          <w:sz w:val="24"/>
          <w:szCs w:val="24"/>
        </w:rPr>
        <w:t xml:space="preserve"> </w:t>
      </w:r>
    </w:p>
    <w:p w14:paraId="7D72A741" w14:textId="77777777" w:rsidR="00CA27E3" w:rsidRPr="00CA27E3" w:rsidRDefault="00CA27E3" w:rsidP="00B0255B">
      <w:pPr>
        <w:pStyle w:val="a0"/>
        <w:shd w:val="clear" w:color="auto" w:fill="auto"/>
        <w:spacing w:after="160" w:line="346" w:lineRule="auto"/>
        <w:ind w:firstLine="567"/>
        <w:jc w:val="both"/>
        <w:rPr>
          <w:rFonts w:ascii="Sylfaen" w:hAnsi="Sylfaen" w:cs="Sylfaen"/>
          <w:sz w:val="24"/>
          <w:szCs w:val="24"/>
        </w:rPr>
      </w:pPr>
      <w:r w:rsidRPr="00B0255B">
        <w:rPr>
          <w:rFonts w:ascii="Sylfaen" w:hAnsi="Sylfaen"/>
          <w:b/>
          <w:spacing w:val="-6"/>
          <w:sz w:val="24"/>
          <w:szCs w:val="24"/>
        </w:rPr>
        <w:t>բ</w:t>
      </w:r>
      <w:r w:rsidR="00B0255B" w:rsidRPr="00B0255B">
        <w:rPr>
          <w:rFonts w:ascii="Sylfaen" w:hAnsi="Sylfaen"/>
          <w:b/>
          <w:spacing w:val="-6"/>
          <w:sz w:val="24"/>
          <w:szCs w:val="24"/>
        </w:rPr>
        <w:t>արձրարդյունավետ շարժաբեր</w:t>
      </w:r>
      <w:r w:rsidRPr="00B0255B">
        <w:rPr>
          <w:rFonts w:ascii="Sylfaen" w:hAnsi="Sylfaen"/>
          <w:spacing w:val="-6"/>
          <w:sz w:val="24"/>
          <w:szCs w:val="24"/>
        </w:rPr>
        <w:t>՝ շարժաբեր մեխանիզմ, որում օգտագործվում են դրա հաստությունը</w:t>
      </w:r>
      <w:r w:rsidRPr="00CA27E3">
        <w:rPr>
          <w:rFonts w:ascii="Sylfaen" w:hAnsi="Sylfaen"/>
          <w:sz w:val="24"/>
          <w:szCs w:val="24"/>
        </w:rPr>
        <w:t xml:space="preserve"> ավելի քան եռակի գերազանցող լայնության փոկ, ատամնավոր փոկ կամ անիվ.</w:t>
      </w:r>
      <w:r>
        <w:rPr>
          <w:rFonts w:ascii="Sylfaen" w:hAnsi="Sylfaen"/>
          <w:sz w:val="24"/>
          <w:szCs w:val="24"/>
        </w:rPr>
        <w:t xml:space="preserve"> </w:t>
      </w:r>
    </w:p>
    <w:p w14:paraId="32875F27" w14:textId="77777777" w:rsidR="00CA27E3" w:rsidRPr="00CA27E3" w:rsidRDefault="00B0255B" w:rsidP="00B0255B">
      <w:pPr>
        <w:pStyle w:val="a0"/>
        <w:shd w:val="clear" w:color="auto" w:fill="auto"/>
        <w:spacing w:after="160" w:line="346" w:lineRule="auto"/>
        <w:ind w:firstLine="567"/>
        <w:jc w:val="both"/>
        <w:rPr>
          <w:rFonts w:ascii="Sylfaen" w:hAnsi="Sylfaen" w:cs="Sylfaen"/>
          <w:sz w:val="24"/>
          <w:szCs w:val="24"/>
        </w:rPr>
      </w:pPr>
      <w:r w:rsidRPr="00B0255B">
        <w:rPr>
          <w:rFonts w:ascii="Sylfaen" w:hAnsi="Sylfaen"/>
          <w:b/>
          <w:sz w:val="24"/>
          <w:szCs w:val="24"/>
        </w:rPr>
        <w:t>օդաքաշ օդափոխիչ</w:t>
      </w:r>
      <w:r w:rsidR="00CA27E3" w:rsidRPr="00B0255B">
        <w:rPr>
          <w:rFonts w:ascii="Sylfaen" w:hAnsi="Sylfaen"/>
          <w:b/>
          <w:sz w:val="24"/>
          <w:szCs w:val="24"/>
        </w:rPr>
        <w:t>՝</w:t>
      </w:r>
      <w:r w:rsidR="00CA27E3" w:rsidRPr="00CA27E3">
        <w:rPr>
          <w:rFonts w:ascii="Sylfaen" w:hAnsi="Sylfaen"/>
          <w:sz w:val="24"/>
          <w:szCs w:val="24"/>
        </w:rPr>
        <w:t xml:space="preserve"> օդափոխիչ, որը չի կիրառվում հետ</w:t>
      </w:r>
      <w:r w:rsidR="00CA27E3">
        <w:rPr>
          <w:rFonts w:ascii="Sylfaen" w:hAnsi="Sylfaen"/>
          <w:sz w:val="24"/>
          <w:szCs w:val="24"/>
        </w:rPr>
        <w:t>եւ</w:t>
      </w:r>
      <w:r w:rsidR="00CA27E3" w:rsidRPr="00CA27E3">
        <w:rPr>
          <w:rFonts w:ascii="Sylfaen" w:hAnsi="Sylfaen"/>
          <w:sz w:val="24"/>
          <w:szCs w:val="24"/>
        </w:rPr>
        <w:t>յալ էներգասպառող արտադրատեսակներում՝</w:t>
      </w:r>
    </w:p>
    <w:p w14:paraId="0E5A1C6F" w14:textId="77777777" w:rsidR="00CA27E3" w:rsidRPr="00CA27E3" w:rsidRDefault="00CA27E3" w:rsidP="00B0255B">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 xml:space="preserve">3 կՎտ-ից բարձր առավելագույն էլեկտրական սպառվող հզորությամբ՝ սպիտակեղենի չորանոցներում </w:t>
      </w:r>
      <w:r>
        <w:rPr>
          <w:rFonts w:ascii="Sylfaen" w:hAnsi="Sylfaen"/>
          <w:sz w:val="24"/>
          <w:szCs w:val="24"/>
        </w:rPr>
        <w:t>եւ</w:t>
      </w:r>
      <w:r w:rsidRPr="00CA27E3">
        <w:rPr>
          <w:rFonts w:ascii="Sylfaen" w:hAnsi="Sylfaen"/>
          <w:sz w:val="24"/>
          <w:szCs w:val="24"/>
        </w:rPr>
        <w:t xml:space="preserve"> լվացքաչորացնող մեքենաներում. </w:t>
      </w:r>
    </w:p>
    <w:p w14:paraId="320189D2" w14:textId="77777777" w:rsidR="00CA27E3" w:rsidRPr="00CA27E3" w:rsidRDefault="00CA27E3" w:rsidP="00B0255B">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12 կՎտ-ից ոչ ավելի առավելագույն ելքային հզորությամբ օդորակիչներում.</w:t>
      </w:r>
      <w:r>
        <w:rPr>
          <w:rFonts w:ascii="Sylfaen" w:hAnsi="Sylfaen"/>
          <w:sz w:val="24"/>
          <w:szCs w:val="24"/>
        </w:rPr>
        <w:t xml:space="preserve"> </w:t>
      </w:r>
    </w:p>
    <w:p w14:paraId="0010F950" w14:textId="77777777" w:rsidR="00CA27E3" w:rsidRPr="00CA27E3" w:rsidRDefault="00CA27E3" w:rsidP="00B0255B">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 xml:space="preserve">էլեկտրոնային հաշվողական մեքենաներում </w:t>
      </w:r>
      <w:r>
        <w:rPr>
          <w:rFonts w:ascii="Sylfaen" w:hAnsi="Sylfaen"/>
          <w:sz w:val="24"/>
          <w:szCs w:val="24"/>
        </w:rPr>
        <w:t>եւ</w:t>
      </w:r>
      <w:r w:rsidRPr="00CA27E3">
        <w:rPr>
          <w:rFonts w:ascii="Sylfaen" w:hAnsi="Sylfaen"/>
          <w:sz w:val="24"/>
          <w:szCs w:val="24"/>
        </w:rPr>
        <w:t xml:space="preserve"> տեղեկատվական տեխնոլոգիաների շարքին դասվող այլ սարքավորումներում.</w:t>
      </w:r>
    </w:p>
    <w:p w14:paraId="26391222" w14:textId="77777777" w:rsidR="00CA27E3" w:rsidRPr="00CA27E3" w:rsidRDefault="00B0255B" w:rsidP="00B0255B">
      <w:pPr>
        <w:pStyle w:val="a0"/>
        <w:shd w:val="clear" w:color="auto" w:fill="auto"/>
        <w:spacing w:after="160" w:line="346" w:lineRule="auto"/>
        <w:ind w:firstLine="567"/>
        <w:jc w:val="both"/>
        <w:rPr>
          <w:rFonts w:ascii="Sylfaen" w:hAnsi="Sylfaen" w:cs="Sylfaen"/>
          <w:sz w:val="24"/>
          <w:szCs w:val="24"/>
        </w:rPr>
      </w:pPr>
      <w:r w:rsidRPr="00B0255B">
        <w:rPr>
          <w:rFonts w:ascii="Sylfaen" w:hAnsi="Sylfaen"/>
          <w:b/>
          <w:sz w:val="24"/>
          <w:szCs w:val="24"/>
        </w:rPr>
        <w:t>ելքային ուղղորդիչ սարքվածք</w:t>
      </w:r>
      <w:r w:rsidR="00CA27E3" w:rsidRPr="00B0255B">
        <w:rPr>
          <w:rFonts w:ascii="Sylfaen" w:hAnsi="Sylfaen"/>
          <w:b/>
          <w:sz w:val="24"/>
          <w:szCs w:val="24"/>
        </w:rPr>
        <w:t>՝</w:t>
      </w:r>
      <w:r w:rsidR="00CA27E3" w:rsidRPr="00CA27E3">
        <w:rPr>
          <w:rFonts w:ascii="Sylfaen" w:hAnsi="Sylfaen"/>
          <w:sz w:val="24"/>
          <w:szCs w:val="24"/>
        </w:rPr>
        <w:t xml:space="preserve"> թ</w:t>
      </w:r>
      <w:r w:rsidR="00CA27E3">
        <w:rPr>
          <w:rFonts w:ascii="Sylfaen" w:hAnsi="Sylfaen"/>
          <w:sz w:val="24"/>
          <w:szCs w:val="24"/>
        </w:rPr>
        <w:t>եւ</w:t>
      </w:r>
      <w:r w:rsidR="00CA27E3" w:rsidRPr="00CA27E3">
        <w:rPr>
          <w:rFonts w:ascii="Sylfaen" w:hAnsi="Sylfaen"/>
          <w:sz w:val="24"/>
          <w:szCs w:val="24"/>
        </w:rPr>
        <w:t>անիվից հետո տեղակայված ուղղորդիչ սարքվածք՝ կարգավորման հնարավորությամբ կամ առանց դրա, որը նախատեսված է թ</w:t>
      </w:r>
      <w:r w:rsidR="00CA27E3">
        <w:rPr>
          <w:rFonts w:ascii="Sylfaen" w:hAnsi="Sylfaen"/>
          <w:sz w:val="24"/>
          <w:szCs w:val="24"/>
        </w:rPr>
        <w:t>եւ</w:t>
      </w:r>
      <w:r w:rsidR="00CA27E3" w:rsidRPr="00CA27E3">
        <w:rPr>
          <w:rFonts w:ascii="Sylfaen" w:hAnsi="Sylfaen"/>
          <w:sz w:val="24"/>
          <w:szCs w:val="24"/>
        </w:rPr>
        <w:t>անիվից գազի հոսքն ուղղելու համար.</w:t>
      </w:r>
    </w:p>
    <w:p w14:paraId="7679724C" w14:textId="77777777" w:rsidR="00CA27E3" w:rsidRPr="00CA27E3" w:rsidRDefault="00B0255B" w:rsidP="00B0255B">
      <w:pPr>
        <w:pStyle w:val="a0"/>
        <w:shd w:val="clear" w:color="auto" w:fill="auto"/>
        <w:spacing w:after="160" w:line="346" w:lineRule="auto"/>
        <w:ind w:firstLine="567"/>
        <w:jc w:val="both"/>
        <w:rPr>
          <w:rFonts w:ascii="Sylfaen" w:hAnsi="Sylfaen" w:cs="Sylfaen"/>
          <w:sz w:val="24"/>
          <w:szCs w:val="24"/>
        </w:rPr>
      </w:pPr>
      <w:r w:rsidRPr="00B0255B">
        <w:rPr>
          <w:rFonts w:ascii="Sylfaen" w:hAnsi="Sylfaen"/>
          <w:b/>
          <w:sz w:val="24"/>
          <w:szCs w:val="24"/>
        </w:rPr>
        <w:t>շահագործման պատրաստ</w:t>
      </w:r>
      <w:r w:rsidR="00CA27E3" w:rsidRPr="00B0255B">
        <w:rPr>
          <w:rFonts w:ascii="Sylfaen" w:hAnsi="Sylfaen"/>
          <w:b/>
          <w:sz w:val="24"/>
          <w:szCs w:val="24"/>
        </w:rPr>
        <w:t>՝</w:t>
      </w:r>
      <w:r w:rsidR="00CA27E3" w:rsidRPr="00CA27E3">
        <w:rPr>
          <w:rFonts w:ascii="Sylfaen" w:hAnsi="Sylfaen"/>
          <w:sz w:val="24"/>
          <w:szCs w:val="24"/>
        </w:rPr>
        <w:t xml:space="preserve"> պատրաստ կամ շահագործման վայրում նախապատրաստված օդափոխիչ, որը պարունակում է կառուցվածքի բոլոր </w:t>
      </w:r>
      <w:r w:rsidR="00CA27E3" w:rsidRPr="00CA27E3">
        <w:rPr>
          <w:rFonts w:ascii="Sylfaen" w:hAnsi="Sylfaen"/>
          <w:sz w:val="24"/>
          <w:szCs w:val="24"/>
        </w:rPr>
        <w:lastRenderedPageBreak/>
        <w:t>տարրերը, որոնք անհրաժեշտ են էլեկտրական էներգիան գազի հոսքի էներգիայի կերպափոխելու համար, չի պահանջում այլ կառուցվածքային տարրեր կամ բաղադրիչ մասեր.</w:t>
      </w:r>
      <w:r w:rsidR="00CA27E3">
        <w:rPr>
          <w:rFonts w:ascii="Sylfaen" w:hAnsi="Sylfaen"/>
          <w:sz w:val="24"/>
          <w:szCs w:val="24"/>
        </w:rPr>
        <w:t xml:space="preserve"> </w:t>
      </w:r>
    </w:p>
    <w:p w14:paraId="2C22D42F" w14:textId="77777777" w:rsidR="00CA27E3" w:rsidRPr="00CA27E3"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արգելակման ճնշում</w:t>
      </w:r>
      <w:r w:rsidR="00CA27E3" w:rsidRPr="00B0255B">
        <w:rPr>
          <w:rFonts w:ascii="Sylfaen" w:hAnsi="Sylfaen"/>
          <w:b/>
          <w:sz w:val="24"/>
          <w:szCs w:val="24"/>
        </w:rPr>
        <w:t>՝</w:t>
      </w:r>
      <w:r w:rsidR="00CA27E3" w:rsidRPr="00CA27E3">
        <w:rPr>
          <w:rFonts w:ascii="Sylfaen" w:hAnsi="Sylfaen"/>
          <w:sz w:val="24"/>
          <w:szCs w:val="24"/>
        </w:rPr>
        <w:t xml:space="preserve"> ճնշում, որը չափվում է գազի հոսքի կետում այնպես, ինչպես դա կարվեր, եթե այն գտնվեր իզոէնտրոպիական գործընթացի ժամանակ հանգստի վիճակում. </w:t>
      </w:r>
    </w:p>
    <w:p w14:paraId="4F32CB3E" w14:textId="77777777" w:rsidR="00CA27E3" w:rsidRPr="00CA27E3"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անկյունագծային օդափոխիչ</w:t>
      </w:r>
      <w:r w:rsidR="00CA27E3" w:rsidRPr="00CA27E3">
        <w:rPr>
          <w:rFonts w:ascii="Sylfaen" w:hAnsi="Sylfaen"/>
          <w:sz w:val="24"/>
          <w:szCs w:val="24"/>
        </w:rPr>
        <w:t>՝ օդափոխիչ, որի մոտ գազն անցնում է թ</w:t>
      </w:r>
      <w:r w:rsidR="00CA27E3">
        <w:rPr>
          <w:rFonts w:ascii="Sylfaen" w:hAnsi="Sylfaen"/>
          <w:sz w:val="24"/>
          <w:szCs w:val="24"/>
        </w:rPr>
        <w:t>եւ</w:t>
      </w:r>
      <w:r w:rsidR="00CA27E3" w:rsidRPr="00CA27E3">
        <w:rPr>
          <w:rFonts w:ascii="Sylfaen" w:hAnsi="Sylfaen"/>
          <w:sz w:val="24"/>
          <w:szCs w:val="24"/>
        </w:rPr>
        <w:t xml:space="preserve">անիվի միջով շառավղային </w:t>
      </w:r>
      <w:r w:rsidR="00CA27E3">
        <w:rPr>
          <w:rFonts w:ascii="Sylfaen" w:hAnsi="Sylfaen"/>
          <w:sz w:val="24"/>
          <w:szCs w:val="24"/>
        </w:rPr>
        <w:t>եւ</w:t>
      </w:r>
      <w:r w:rsidR="00CA27E3" w:rsidRPr="00CA27E3">
        <w:rPr>
          <w:rFonts w:ascii="Sylfaen" w:hAnsi="Sylfaen"/>
          <w:sz w:val="24"/>
          <w:szCs w:val="24"/>
        </w:rPr>
        <w:t xml:space="preserve"> առանցքային օդափոխիչներում գազի ուղիների միջ</w:t>
      </w:r>
      <w:r w:rsidR="00CA27E3">
        <w:rPr>
          <w:rFonts w:ascii="Sylfaen" w:hAnsi="Sylfaen"/>
          <w:sz w:val="24"/>
          <w:szCs w:val="24"/>
        </w:rPr>
        <w:t>եւ</w:t>
      </w:r>
      <w:r w:rsidR="00CA27E3" w:rsidRPr="00CA27E3">
        <w:rPr>
          <w:rFonts w:ascii="Sylfaen" w:hAnsi="Sylfaen"/>
          <w:sz w:val="24"/>
          <w:szCs w:val="24"/>
        </w:rPr>
        <w:t xml:space="preserve"> ընկած ուղով. </w:t>
      </w:r>
    </w:p>
    <w:p w14:paraId="6AABDDE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տրա</w:t>
      </w:r>
      <w:r w:rsidR="00B0255B" w:rsidRPr="00B0255B">
        <w:rPr>
          <w:rFonts w:ascii="Sylfaen" w:hAnsi="Sylfaen"/>
          <w:b/>
          <w:sz w:val="24"/>
          <w:szCs w:val="24"/>
        </w:rPr>
        <w:t>մագծային օդափոխիչ</w:t>
      </w:r>
      <w:r w:rsidRPr="00B0255B">
        <w:rPr>
          <w:rFonts w:ascii="Sylfaen" w:hAnsi="Sylfaen"/>
          <w:b/>
          <w:sz w:val="24"/>
          <w:szCs w:val="24"/>
        </w:rPr>
        <w:t>՝</w:t>
      </w:r>
      <w:r w:rsidRPr="00CA27E3">
        <w:rPr>
          <w:rFonts w:ascii="Sylfaen" w:hAnsi="Sylfaen"/>
          <w:sz w:val="24"/>
          <w:szCs w:val="24"/>
        </w:rPr>
        <w:t xml:space="preserve"> օդափոխիչ, որի մոտ գազի թ</w:t>
      </w:r>
      <w:r>
        <w:rPr>
          <w:rFonts w:ascii="Sylfaen" w:hAnsi="Sylfaen"/>
          <w:sz w:val="24"/>
          <w:szCs w:val="24"/>
        </w:rPr>
        <w:t>եւ</w:t>
      </w:r>
      <w:r w:rsidRPr="00CA27E3">
        <w:rPr>
          <w:rFonts w:ascii="Sylfaen" w:hAnsi="Sylfaen"/>
          <w:sz w:val="24"/>
          <w:szCs w:val="24"/>
        </w:rPr>
        <w:t>անիվի միջով գազի շարժման ուղղությունը հիմնականում անցնում է թ</w:t>
      </w:r>
      <w:r>
        <w:rPr>
          <w:rFonts w:ascii="Sylfaen" w:hAnsi="Sylfaen"/>
          <w:sz w:val="24"/>
          <w:szCs w:val="24"/>
        </w:rPr>
        <w:t>եւ</w:t>
      </w:r>
      <w:r w:rsidRPr="00CA27E3">
        <w:rPr>
          <w:rFonts w:ascii="Sylfaen" w:hAnsi="Sylfaen"/>
          <w:sz w:val="24"/>
          <w:szCs w:val="24"/>
        </w:rPr>
        <w:t xml:space="preserve">անիվի առանցքին ուղղահայաց՝ մուտքի </w:t>
      </w:r>
      <w:r>
        <w:rPr>
          <w:rFonts w:ascii="Sylfaen" w:hAnsi="Sylfaen"/>
          <w:sz w:val="24"/>
          <w:szCs w:val="24"/>
        </w:rPr>
        <w:t>եւ</w:t>
      </w:r>
      <w:r w:rsidRPr="00CA27E3">
        <w:rPr>
          <w:rFonts w:ascii="Sylfaen" w:hAnsi="Sylfaen"/>
          <w:sz w:val="24"/>
          <w:szCs w:val="24"/>
        </w:rPr>
        <w:t xml:space="preserve"> ելքի վրա դրա պարագծով.</w:t>
      </w:r>
      <w:r>
        <w:rPr>
          <w:rFonts w:ascii="Sylfaen" w:hAnsi="Sylfaen"/>
          <w:sz w:val="24"/>
          <w:szCs w:val="24"/>
        </w:rPr>
        <w:t xml:space="preserve"> </w:t>
      </w:r>
    </w:p>
    <w:p w14:paraId="5E6C61E5" w14:textId="77777777" w:rsidR="00CA27E3" w:rsidRPr="00B0255B"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դինամիկ ճնշում</w:t>
      </w:r>
      <w:r w:rsidR="00CA27E3" w:rsidRPr="00B0255B">
        <w:rPr>
          <w:rFonts w:ascii="Sylfaen" w:hAnsi="Sylfaen"/>
          <w:b/>
          <w:sz w:val="24"/>
          <w:szCs w:val="24"/>
        </w:rPr>
        <w:t>՝</w:t>
      </w:r>
      <w:r w:rsidR="00CA27E3" w:rsidRPr="00CA27E3">
        <w:rPr>
          <w:rFonts w:ascii="Sylfaen" w:hAnsi="Sylfaen"/>
          <w:sz w:val="24"/>
          <w:szCs w:val="24"/>
        </w:rPr>
        <w:t xml:space="preserve"> ճնշում, որը հաշվարկվել է օդափոխիչի ելքի մոտ </w:t>
      </w:r>
      <w:r w:rsidR="00CA27E3">
        <w:rPr>
          <w:rFonts w:ascii="Sylfaen" w:hAnsi="Sylfaen"/>
          <w:sz w:val="24"/>
          <w:szCs w:val="24"/>
        </w:rPr>
        <w:t>եւ</w:t>
      </w:r>
      <w:r w:rsidR="00CA27E3" w:rsidRPr="00CA27E3">
        <w:rPr>
          <w:rFonts w:ascii="Sylfaen" w:hAnsi="Sylfaen"/>
          <w:sz w:val="24"/>
          <w:szCs w:val="24"/>
        </w:rPr>
        <w:t xml:space="preserve"> ելքի շուրջ գտնվող գոտում գազի զագվածային ծախսի, գազի միջին խտության հիման վրա.</w:t>
      </w:r>
      <w:r w:rsidR="00CA27E3">
        <w:rPr>
          <w:rFonts w:ascii="Sylfaen" w:hAnsi="Sylfaen"/>
          <w:sz w:val="24"/>
          <w:szCs w:val="24"/>
        </w:rPr>
        <w:t xml:space="preserve"> </w:t>
      </w:r>
    </w:p>
    <w:p w14:paraId="7EF487DF" w14:textId="77777777" w:rsidR="00CA27E3" w:rsidRPr="00CA27E3"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z w:val="24"/>
          <w:szCs w:val="24"/>
        </w:rPr>
        <w:t>չափումների կատեգորիա</w:t>
      </w:r>
      <w:r w:rsidR="00CA27E3" w:rsidRPr="00B0255B">
        <w:rPr>
          <w:rFonts w:ascii="Sylfaen" w:hAnsi="Sylfaen"/>
          <w:b/>
          <w:sz w:val="24"/>
          <w:szCs w:val="24"/>
        </w:rPr>
        <w:t>՝</w:t>
      </w:r>
      <w:r w:rsidR="00CA27E3" w:rsidRPr="00CA27E3">
        <w:rPr>
          <w:rFonts w:ascii="Sylfaen" w:hAnsi="Sylfaen"/>
          <w:sz w:val="24"/>
          <w:szCs w:val="24"/>
        </w:rPr>
        <w:t xml:space="preserve"> փորձարկում, չափում կամ շահագործման կարգ, որոնցով սահմանվում են փորձարկվող օդափոխիչի մուտքի </w:t>
      </w:r>
      <w:r w:rsidR="00CA27E3">
        <w:rPr>
          <w:rFonts w:ascii="Sylfaen" w:hAnsi="Sylfaen"/>
          <w:sz w:val="24"/>
          <w:szCs w:val="24"/>
        </w:rPr>
        <w:t>եւ</w:t>
      </w:r>
      <w:r w:rsidR="00CA27E3" w:rsidRPr="00CA27E3">
        <w:rPr>
          <w:rFonts w:ascii="Sylfaen" w:hAnsi="Sylfaen"/>
          <w:sz w:val="24"/>
          <w:szCs w:val="24"/>
        </w:rPr>
        <w:t xml:space="preserve"> ելքի վրա հոսքի պարամետրերը.</w:t>
      </w:r>
    </w:p>
    <w:p w14:paraId="060D759E" w14:textId="77777777" w:rsidR="00CA27E3" w:rsidRPr="00CA27E3" w:rsidRDefault="00B0255B" w:rsidP="00CA27E3">
      <w:pPr>
        <w:pStyle w:val="a0"/>
        <w:shd w:val="clear" w:color="auto" w:fill="auto"/>
        <w:spacing w:after="160"/>
        <w:ind w:firstLine="567"/>
        <w:jc w:val="both"/>
        <w:rPr>
          <w:rFonts w:ascii="Sylfaen" w:hAnsi="Sylfaen" w:cs="Sylfaen"/>
          <w:sz w:val="24"/>
          <w:szCs w:val="24"/>
        </w:rPr>
      </w:pPr>
      <w:r w:rsidRPr="00B0255B">
        <w:rPr>
          <w:rFonts w:ascii="Sylfaen" w:hAnsi="Sylfaen"/>
          <w:b/>
          <w:spacing w:val="-6"/>
          <w:sz w:val="24"/>
          <w:szCs w:val="24"/>
        </w:rPr>
        <w:t>չափումների Ա կատեգորիա</w:t>
      </w:r>
      <w:r w:rsidR="00CA27E3" w:rsidRPr="00B0255B">
        <w:rPr>
          <w:rFonts w:ascii="Sylfaen" w:hAnsi="Sylfaen"/>
          <w:b/>
          <w:spacing w:val="-6"/>
          <w:sz w:val="24"/>
          <w:szCs w:val="24"/>
        </w:rPr>
        <w:t>՝</w:t>
      </w:r>
      <w:r w:rsidR="00CA27E3" w:rsidRPr="00B0255B">
        <w:rPr>
          <w:rFonts w:ascii="Sylfaen" w:hAnsi="Sylfaen"/>
          <w:spacing w:val="-6"/>
          <w:sz w:val="24"/>
          <w:szCs w:val="24"/>
        </w:rPr>
        <w:t xml:space="preserve"> կարգ, որի դեպքում չափումներն անցկացվում են օդափոխիչի</w:t>
      </w:r>
      <w:r w:rsidR="00CA27E3" w:rsidRPr="00CA27E3">
        <w:rPr>
          <w:rFonts w:ascii="Sylfaen" w:hAnsi="Sylfaen"/>
          <w:sz w:val="24"/>
          <w:szCs w:val="24"/>
        </w:rPr>
        <w:t xml:space="preserve"> վրա ազատ մուտքի </w:t>
      </w:r>
      <w:r w:rsidR="00CA27E3">
        <w:rPr>
          <w:rFonts w:ascii="Sylfaen" w:hAnsi="Sylfaen"/>
          <w:sz w:val="24"/>
          <w:szCs w:val="24"/>
        </w:rPr>
        <w:t>եւ</w:t>
      </w:r>
      <w:r w:rsidR="00CA27E3" w:rsidRPr="00CA27E3">
        <w:rPr>
          <w:rFonts w:ascii="Sylfaen" w:hAnsi="Sylfaen"/>
          <w:sz w:val="24"/>
          <w:szCs w:val="24"/>
        </w:rPr>
        <w:t xml:space="preserve"> ելքի պայմաններում.</w:t>
      </w:r>
    </w:p>
    <w:p w14:paraId="4D65EEC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pacing w:val="-4"/>
          <w:sz w:val="24"/>
          <w:szCs w:val="24"/>
        </w:rPr>
        <w:t>չափումների Բ կատեգորիա՝</w:t>
      </w:r>
      <w:r w:rsidRPr="006001B9">
        <w:rPr>
          <w:rFonts w:ascii="Sylfaen" w:hAnsi="Sylfaen"/>
          <w:spacing w:val="-4"/>
          <w:sz w:val="24"/>
          <w:szCs w:val="24"/>
        </w:rPr>
        <w:t xml:space="preserve"> կարգ, որի դեպքում չափումներն անցկացվում են օդափոխիչի</w:t>
      </w:r>
      <w:r w:rsidRPr="00CA27E3">
        <w:rPr>
          <w:rFonts w:ascii="Sylfaen" w:hAnsi="Sylfaen"/>
          <w:sz w:val="24"/>
          <w:szCs w:val="24"/>
        </w:rPr>
        <w:t xml:space="preserve"> վրա ազատ մուտքի </w:t>
      </w:r>
      <w:r>
        <w:rPr>
          <w:rFonts w:ascii="Sylfaen" w:hAnsi="Sylfaen"/>
          <w:sz w:val="24"/>
          <w:szCs w:val="24"/>
        </w:rPr>
        <w:t>եւ</w:t>
      </w:r>
      <w:r w:rsidRPr="00CA27E3">
        <w:rPr>
          <w:rFonts w:ascii="Sylfaen" w:hAnsi="Sylfaen"/>
          <w:sz w:val="24"/>
          <w:szCs w:val="24"/>
        </w:rPr>
        <w:t xml:space="preserve"> ելքի վրա օդատարով պայմաններում.</w:t>
      </w:r>
    </w:p>
    <w:p w14:paraId="5A8589CD" w14:textId="77777777" w:rsidR="00CA27E3" w:rsidRPr="00CA27E3"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pacing w:val="-4"/>
          <w:sz w:val="24"/>
          <w:szCs w:val="24"/>
        </w:rPr>
        <w:t>չափումների Գ կատեգորիա</w:t>
      </w:r>
      <w:r w:rsidR="00CA27E3" w:rsidRPr="006001B9">
        <w:rPr>
          <w:rFonts w:ascii="Sylfaen" w:hAnsi="Sylfaen"/>
          <w:b/>
          <w:spacing w:val="-4"/>
          <w:sz w:val="24"/>
          <w:szCs w:val="24"/>
        </w:rPr>
        <w:t>՝</w:t>
      </w:r>
      <w:r w:rsidR="00CA27E3" w:rsidRPr="006001B9">
        <w:rPr>
          <w:rFonts w:ascii="Sylfaen" w:hAnsi="Sylfaen"/>
          <w:spacing w:val="-4"/>
          <w:sz w:val="24"/>
          <w:szCs w:val="24"/>
        </w:rPr>
        <w:t xml:space="preserve"> կարգ, որի դեպքում չափումներն անցկացվում են օդափոխիչի</w:t>
      </w:r>
      <w:r w:rsidR="00CA27E3" w:rsidRPr="00CA27E3">
        <w:rPr>
          <w:rFonts w:ascii="Sylfaen" w:hAnsi="Sylfaen"/>
          <w:sz w:val="24"/>
          <w:szCs w:val="24"/>
        </w:rPr>
        <w:t xml:space="preserve"> վրա մուտքի վրա օդատարով </w:t>
      </w:r>
      <w:r w:rsidR="00CA27E3">
        <w:rPr>
          <w:rFonts w:ascii="Sylfaen" w:hAnsi="Sylfaen"/>
          <w:sz w:val="24"/>
          <w:szCs w:val="24"/>
        </w:rPr>
        <w:t>եւ</w:t>
      </w:r>
      <w:r w:rsidR="00CA27E3" w:rsidRPr="00CA27E3">
        <w:rPr>
          <w:rFonts w:ascii="Sylfaen" w:hAnsi="Sylfaen"/>
          <w:sz w:val="24"/>
          <w:szCs w:val="24"/>
        </w:rPr>
        <w:t xml:space="preserve"> ազատ ելքով պայմաննեում.</w:t>
      </w:r>
    </w:p>
    <w:p w14:paraId="50046AF1" w14:textId="77777777" w:rsidR="00CA27E3" w:rsidRPr="00CA27E3"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pacing w:val="-4"/>
          <w:sz w:val="24"/>
          <w:szCs w:val="24"/>
        </w:rPr>
        <w:t>չափումների Դ կատեգորիա</w:t>
      </w:r>
      <w:r w:rsidR="00CA27E3" w:rsidRPr="006001B9">
        <w:rPr>
          <w:rFonts w:ascii="Sylfaen" w:hAnsi="Sylfaen"/>
          <w:b/>
          <w:spacing w:val="-4"/>
          <w:sz w:val="24"/>
          <w:szCs w:val="24"/>
        </w:rPr>
        <w:t>՝</w:t>
      </w:r>
      <w:r w:rsidR="00CA27E3" w:rsidRPr="006001B9">
        <w:rPr>
          <w:rFonts w:ascii="Sylfaen" w:hAnsi="Sylfaen"/>
          <w:spacing w:val="-4"/>
          <w:sz w:val="24"/>
          <w:szCs w:val="24"/>
        </w:rPr>
        <w:t xml:space="preserve"> կարգ, որի դեպքում չափումներն անցկացվում են մուտքի եւ</w:t>
      </w:r>
      <w:r w:rsidR="00CA27E3" w:rsidRPr="00CA27E3">
        <w:rPr>
          <w:rFonts w:ascii="Sylfaen" w:hAnsi="Sylfaen"/>
          <w:sz w:val="24"/>
          <w:szCs w:val="24"/>
        </w:rPr>
        <w:t xml:space="preserve"> ելքի վրա օդատարներով օդափոխիչի վրա.</w:t>
      </w:r>
    </w:p>
    <w:p w14:paraId="548787DA" w14:textId="77777777" w:rsidR="00CA27E3" w:rsidRPr="00CA27E3" w:rsidRDefault="006001B9" w:rsidP="006001B9">
      <w:pPr>
        <w:pStyle w:val="a0"/>
        <w:shd w:val="clear" w:color="auto" w:fill="auto"/>
        <w:spacing w:after="160" w:line="348" w:lineRule="auto"/>
        <w:ind w:firstLine="567"/>
        <w:jc w:val="both"/>
        <w:rPr>
          <w:rFonts w:ascii="Sylfaen" w:hAnsi="Sylfaen" w:cs="Sylfaen"/>
          <w:sz w:val="24"/>
          <w:szCs w:val="24"/>
        </w:rPr>
      </w:pPr>
      <w:r w:rsidRPr="006001B9">
        <w:rPr>
          <w:rFonts w:ascii="Sylfaen" w:hAnsi="Sylfaen"/>
          <w:b/>
          <w:sz w:val="24"/>
          <w:szCs w:val="24"/>
        </w:rPr>
        <w:lastRenderedPageBreak/>
        <w:t>արդյունավետության կատեգորիա</w:t>
      </w:r>
      <w:r w:rsidR="00CA27E3" w:rsidRPr="006001B9">
        <w:rPr>
          <w:rFonts w:ascii="Sylfaen" w:hAnsi="Sylfaen"/>
          <w:b/>
          <w:sz w:val="24"/>
          <w:szCs w:val="24"/>
        </w:rPr>
        <w:t>՝</w:t>
      </w:r>
      <w:r w:rsidR="00CA27E3" w:rsidRPr="00CA27E3">
        <w:rPr>
          <w:rFonts w:ascii="Sylfaen" w:hAnsi="Sylfaen"/>
          <w:sz w:val="24"/>
          <w:szCs w:val="24"/>
        </w:rPr>
        <w:t xml:space="preserve"> օդափոխիչի ելքի վրա գոյացող գազի էներգիա, որն օգտագործվում է օդափոխիչի էներգետիկ արդյունավետությունը, ինչպես նա</w:t>
      </w:r>
      <w:r w:rsidR="00CA27E3">
        <w:rPr>
          <w:rFonts w:ascii="Sylfaen" w:hAnsi="Sylfaen"/>
          <w:sz w:val="24"/>
          <w:szCs w:val="24"/>
        </w:rPr>
        <w:t>եւ</w:t>
      </w:r>
      <w:r w:rsidR="00CA27E3" w:rsidRPr="00CA27E3">
        <w:rPr>
          <w:rFonts w:ascii="Sylfaen" w:hAnsi="Sylfaen"/>
          <w:sz w:val="24"/>
          <w:szCs w:val="24"/>
        </w:rPr>
        <w:t xml:space="preserve"> օգտակար գործողության ստատիկ գործակիցը կամ օգտակար գործողության գումարային գործակիցը որոշելու համար.</w:t>
      </w:r>
    </w:p>
    <w:p w14:paraId="6E738A0A" w14:textId="77777777" w:rsidR="00CA27E3" w:rsidRPr="00CA27E3" w:rsidRDefault="006001B9" w:rsidP="006001B9">
      <w:pPr>
        <w:pStyle w:val="a0"/>
        <w:shd w:val="clear" w:color="auto" w:fill="auto"/>
        <w:spacing w:after="160" w:line="348" w:lineRule="auto"/>
        <w:ind w:firstLine="567"/>
        <w:jc w:val="both"/>
        <w:rPr>
          <w:rFonts w:ascii="Sylfaen" w:hAnsi="Sylfaen" w:cs="Sylfaen"/>
          <w:sz w:val="24"/>
          <w:szCs w:val="24"/>
        </w:rPr>
      </w:pPr>
      <w:r w:rsidRPr="006001B9">
        <w:rPr>
          <w:rFonts w:ascii="Sylfaen" w:hAnsi="Sylfaen"/>
          <w:b/>
          <w:sz w:val="24"/>
          <w:szCs w:val="24"/>
        </w:rPr>
        <w:t>օղակավոր ամրակ</w:t>
      </w:r>
      <w:r w:rsidR="00CA27E3" w:rsidRPr="006001B9">
        <w:rPr>
          <w:rFonts w:ascii="Sylfaen" w:hAnsi="Sylfaen"/>
          <w:b/>
          <w:sz w:val="24"/>
          <w:szCs w:val="24"/>
        </w:rPr>
        <w:t>՝</w:t>
      </w:r>
      <w:r w:rsidR="00CA27E3" w:rsidRPr="00CA27E3">
        <w:rPr>
          <w:rFonts w:ascii="Sylfaen" w:hAnsi="Sylfaen"/>
          <w:sz w:val="24"/>
          <w:szCs w:val="24"/>
        </w:rPr>
        <w:t xml:space="preserve"> օղակաձ</w:t>
      </w:r>
      <w:r w:rsidR="00CA27E3">
        <w:rPr>
          <w:rFonts w:ascii="Sylfaen" w:hAnsi="Sylfaen"/>
          <w:sz w:val="24"/>
          <w:szCs w:val="24"/>
        </w:rPr>
        <w:t>եւ</w:t>
      </w:r>
      <w:r w:rsidR="00CA27E3" w:rsidRPr="00CA27E3">
        <w:rPr>
          <w:rFonts w:ascii="Sylfaen" w:hAnsi="Sylfaen"/>
          <w:sz w:val="24"/>
          <w:szCs w:val="24"/>
        </w:rPr>
        <w:t xml:space="preserve"> մանրամաս, որում գտնվում է օդափոխիչը, որը հնարավորություն է տալիս ներհոս-օդաքաշ կառուցվածքներում դրա ամրակման համար. </w:t>
      </w:r>
    </w:p>
    <w:p w14:paraId="61838549" w14:textId="77777777" w:rsidR="00CA27E3" w:rsidRPr="00CA27E3" w:rsidRDefault="006001B9" w:rsidP="006001B9">
      <w:pPr>
        <w:pStyle w:val="a0"/>
        <w:shd w:val="clear" w:color="auto" w:fill="auto"/>
        <w:spacing w:after="160" w:line="348" w:lineRule="auto"/>
        <w:ind w:firstLine="567"/>
        <w:jc w:val="both"/>
        <w:rPr>
          <w:rFonts w:ascii="Sylfaen" w:hAnsi="Sylfaen" w:cs="Sylfaen"/>
          <w:sz w:val="24"/>
          <w:szCs w:val="24"/>
        </w:rPr>
      </w:pPr>
      <w:r w:rsidRPr="006001B9">
        <w:rPr>
          <w:rFonts w:ascii="Sylfaen" w:hAnsi="Sylfaen"/>
          <w:b/>
          <w:sz w:val="24"/>
          <w:szCs w:val="24"/>
        </w:rPr>
        <w:t>կորպուս</w:t>
      </w:r>
      <w:r w:rsidR="00CA27E3" w:rsidRPr="006001B9">
        <w:rPr>
          <w:rFonts w:ascii="Sylfaen" w:hAnsi="Sylfaen"/>
          <w:b/>
          <w:sz w:val="24"/>
          <w:szCs w:val="24"/>
        </w:rPr>
        <w:t>՝</w:t>
      </w:r>
      <w:r w:rsidR="00CA27E3" w:rsidRPr="00CA27E3">
        <w:rPr>
          <w:rFonts w:ascii="Sylfaen" w:hAnsi="Sylfaen"/>
          <w:sz w:val="24"/>
          <w:szCs w:val="24"/>
        </w:rPr>
        <w:t xml:space="preserve"> թ</w:t>
      </w:r>
      <w:r w:rsidR="00CA27E3">
        <w:rPr>
          <w:rFonts w:ascii="Sylfaen" w:hAnsi="Sylfaen"/>
          <w:sz w:val="24"/>
          <w:szCs w:val="24"/>
        </w:rPr>
        <w:t>եւ</w:t>
      </w:r>
      <w:r w:rsidR="00CA27E3" w:rsidRPr="00CA27E3">
        <w:rPr>
          <w:rFonts w:ascii="Sylfaen" w:hAnsi="Sylfaen"/>
          <w:sz w:val="24"/>
          <w:szCs w:val="24"/>
        </w:rPr>
        <w:t>անիվի շուրջ թաղանթ, որը գազն ուղղում է թ</w:t>
      </w:r>
      <w:r w:rsidR="00CA27E3">
        <w:rPr>
          <w:rFonts w:ascii="Sylfaen" w:hAnsi="Sylfaen"/>
          <w:sz w:val="24"/>
          <w:szCs w:val="24"/>
        </w:rPr>
        <w:t>եւ</w:t>
      </w:r>
      <w:r w:rsidR="00CA27E3" w:rsidRPr="00CA27E3">
        <w:rPr>
          <w:rFonts w:ascii="Sylfaen" w:hAnsi="Sylfaen"/>
          <w:sz w:val="24"/>
          <w:szCs w:val="24"/>
        </w:rPr>
        <w:t>անիվ, անցկացնում է թ</w:t>
      </w:r>
      <w:r w:rsidR="00CA27E3">
        <w:rPr>
          <w:rFonts w:ascii="Sylfaen" w:hAnsi="Sylfaen"/>
          <w:sz w:val="24"/>
          <w:szCs w:val="24"/>
        </w:rPr>
        <w:t>եւ</w:t>
      </w:r>
      <w:r w:rsidR="00CA27E3" w:rsidRPr="00CA27E3">
        <w:rPr>
          <w:rFonts w:ascii="Sylfaen" w:hAnsi="Sylfaen"/>
          <w:sz w:val="24"/>
          <w:szCs w:val="24"/>
        </w:rPr>
        <w:t xml:space="preserve">անիվի միջով </w:t>
      </w:r>
      <w:r w:rsidR="00CA27E3">
        <w:rPr>
          <w:rFonts w:ascii="Sylfaen" w:hAnsi="Sylfaen"/>
          <w:sz w:val="24"/>
          <w:szCs w:val="24"/>
        </w:rPr>
        <w:t>եւ</w:t>
      </w:r>
      <w:r w:rsidR="00CA27E3" w:rsidRPr="00CA27E3">
        <w:rPr>
          <w:rFonts w:ascii="Sylfaen" w:hAnsi="Sylfaen"/>
          <w:sz w:val="24"/>
          <w:szCs w:val="24"/>
        </w:rPr>
        <w:t xml:space="preserve"> հեռացնում է օդափոխիչից.</w:t>
      </w:r>
    </w:p>
    <w:p w14:paraId="0D9D31D7" w14:textId="77777777" w:rsidR="00CA27E3" w:rsidRPr="006001B9" w:rsidRDefault="006001B9" w:rsidP="006001B9">
      <w:pPr>
        <w:pStyle w:val="a0"/>
        <w:shd w:val="clear" w:color="auto" w:fill="auto"/>
        <w:spacing w:after="160" w:line="348" w:lineRule="auto"/>
        <w:ind w:firstLine="567"/>
        <w:jc w:val="both"/>
        <w:rPr>
          <w:rFonts w:ascii="Sylfaen" w:hAnsi="Sylfaen" w:cs="Sylfaen"/>
          <w:sz w:val="24"/>
          <w:szCs w:val="24"/>
        </w:rPr>
      </w:pPr>
      <w:r w:rsidRPr="006001B9">
        <w:rPr>
          <w:rFonts w:ascii="Sylfaen" w:hAnsi="Sylfaen"/>
          <w:b/>
          <w:sz w:val="24"/>
          <w:szCs w:val="24"/>
        </w:rPr>
        <w:t>սեղմելիության գործակից</w:t>
      </w:r>
      <w:r w:rsidR="00CA27E3" w:rsidRPr="006001B9">
        <w:rPr>
          <w:rFonts w:ascii="Sylfaen" w:hAnsi="Sylfaen"/>
          <w:b/>
          <w:sz w:val="24"/>
          <w:szCs w:val="24"/>
        </w:rPr>
        <w:t>՝</w:t>
      </w:r>
      <w:r w:rsidR="00CA27E3" w:rsidRPr="00CA27E3">
        <w:rPr>
          <w:rFonts w:ascii="Sylfaen" w:hAnsi="Sylfaen"/>
          <w:sz w:val="24"/>
          <w:szCs w:val="24"/>
        </w:rPr>
        <w:t xml:space="preserve"> անչափս մեծություն, որով որոշվում է սեղմման արժեքը, որին ենթարկվում է գազի հոսքը փորձարկումների (չափումների) ընթացքում, հաշվարկվում է որպես գազի վրա օդափոխիչի կատարած մեխանիկական աշխատանքի </w:t>
      </w:r>
      <w:r w:rsidR="00CA27E3">
        <w:rPr>
          <w:rFonts w:ascii="Sylfaen" w:hAnsi="Sylfaen"/>
          <w:sz w:val="24"/>
          <w:szCs w:val="24"/>
        </w:rPr>
        <w:t>եւ</w:t>
      </w:r>
      <w:r w:rsidR="00CA27E3" w:rsidRPr="00CA27E3">
        <w:rPr>
          <w:rFonts w:ascii="Sylfaen" w:hAnsi="Sylfaen"/>
          <w:sz w:val="24"/>
          <w:szCs w:val="24"/>
        </w:rPr>
        <w:t xml:space="preserve"> այն աշխատանքի հարաբերությունը, որը կկատարվեր նույն զանգվածային ծախսով, ելքային խտությամբ </w:t>
      </w:r>
      <w:r w:rsidR="00CA27E3">
        <w:rPr>
          <w:rFonts w:ascii="Sylfaen" w:hAnsi="Sylfaen"/>
          <w:sz w:val="24"/>
          <w:szCs w:val="24"/>
        </w:rPr>
        <w:t>եւ</w:t>
      </w:r>
      <w:r w:rsidR="00CA27E3" w:rsidRPr="00CA27E3">
        <w:rPr>
          <w:rFonts w:ascii="Sylfaen" w:hAnsi="Sylfaen"/>
          <w:sz w:val="24"/>
          <w:szCs w:val="24"/>
        </w:rPr>
        <w:t xml:space="preserve"> օդափոխիչի ճնշումների հարաբերությամբ սեղմման չենթարկվող հեղուկի վրա (ընդ որում, օդափոխիչի ճնշումը լրիվ ճնշում (k</w:t>
      </w:r>
      <w:r w:rsidR="00CA27E3" w:rsidRPr="00CA27E3">
        <w:rPr>
          <w:rFonts w:ascii="Sylfaen" w:hAnsi="Sylfaen"/>
          <w:sz w:val="24"/>
          <w:szCs w:val="24"/>
          <w:vertAlign w:val="subscript"/>
        </w:rPr>
        <w:t>p</w:t>
      </w:r>
      <w:r w:rsidR="00CA27E3" w:rsidRPr="00CA27E3">
        <w:rPr>
          <w:rFonts w:ascii="Sylfaen" w:hAnsi="Sylfaen"/>
          <w:sz w:val="24"/>
          <w:szCs w:val="24"/>
        </w:rPr>
        <w:t>) կամ ստատիկ ճնշում է (k</w:t>
      </w:r>
      <w:r w:rsidR="00CA27E3" w:rsidRPr="00CA27E3">
        <w:rPr>
          <w:rFonts w:ascii="Sylfaen" w:hAnsi="Sylfaen"/>
          <w:sz w:val="24"/>
          <w:szCs w:val="24"/>
          <w:vertAlign w:val="subscript"/>
        </w:rPr>
        <w:t>ps</w:t>
      </w:r>
      <w:r w:rsidR="00CA27E3" w:rsidRPr="00CA27E3">
        <w:rPr>
          <w:rFonts w:ascii="Sylfaen" w:hAnsi="Sylfaen"/>
          <w:sz w:val="24"/>
          <w:szCs w:val="24"/>
        </w:rPr>
        <w:t>)).</w:t>
      </w:r>
      <w:r>
        <w:rPr>
          <w:rFonts w:ascii="Sylfaen" w:hAnsi="Sylfaen"/>
          <w:sz w:val="24"/>
          <w:szCs w:val="24"/>
        </w:rPr>
        <w:t xml:space="preserve"> </w:t>
      </w:r>
    </w:p>
    <w:p w14:paraId="628DC34B" w14:textId="77777777" w:rsidR="00CA27E3" w:rsidRPr="00CA27E3" w:rsidRDefault="00CA27E3" w:rsidP="006001B9">
      <w:pPr>
        <w:pStyle w:val="a0"/>
        <w:shd w:val="clear" w:color="auto" w:fill="auto"/>
        <w:spacing w:after="160" w:line="348" w:lineRule="auto"/>
        <w:ind w:firstLine="567"/>
        <w:jc w:val="both"/>
        <w:rPr>
          <w:rFonts w:ascii="Sylfaen" w:hAnsi="Sylfaen" w:cs="Sylfaen"/>
          <w:sz w:val="24"/>
          <w:szCs w:val="24"/>
        </w:rPr>
      </w:pPr>
      <w:r w:rsidRPr="006001B9">
        <w:rPr>
          <w:rFonts w:ascii="Sylfaen" w:hAnsi="Sylfaen"/>
          <w:b/>
          <w:sz w:val="24"/>
          <w:szCs w:val="24"/>
        </w:rPr>
        <w:t>աշխատանքի կարճատեւ</w:t>
      </w:r>
      <w:r w:rsidR="006001B9" w:rsidRPr="006001B9">
        <w:rPr>
          <w:rFonts w:ascii="Sylfaen" w:hAnsi="Sylfaen"/>
          <w:b/>
          <w:sz w:val="24"/>
          <w:szCs w:val="24"/>
        </w:rPr>
        <w:t xml:space="preserve"> ռեժիմ</w:t>
      </w:r>
      <w:r w:rsidRPr="006001B9">
        <w:rPr>
          <w:rFonts w:ascii="Sylfaen" w:hAnsi="Sylfaen"/>
          <w:b/>
          <w:sz w:val="24"/>
          <w:szCs w:val="24"/>
        </w:rPr>
        <w:t>՝</w:t>
      </w:r>
      <w:r w:rsidRPr="00CA27E3">
        <w:rPr>
          <w:rFonts w:ascii="Sylfaen" w:hAnsi="Sylfaen"/>
          <w:sz w:val="24"/>
          <w:szCs w:val="24"/>
        </w:rPr>
        <w:t xml:space="preserve"> օդափոխիչի շարժիչի աշխատանքի ռեժիմը մշտական բեռնվածքի դեպքում այնպիսի ժամանակահատվածի ընթացքում, որը բավարար չէ ջերմային հավասարակշռության հասնելու համար. </w:t>
      </w:r>
    </w:p>
    <w:p w14:paraId="738A0B4E" w14:textId="77777777" w:rsidR="00CA27E3" w:rsidRPr="00CA27E3" w:rsidRDefault="00CA27E3" w:rsidP="006001B9">
      <w:pPr>
        <w:pStyle w:val="a0"/>
        <w:shd w:val="clear" w:color="auto" w:fill="auto"/>
        <w:spacing w:after="160" w:line="348" w:lineRule="auto"/>
        <w:ind w:firstLine="567"/>
        <w:jc w:val="both"/>
        <w:rPr>
          <w:rFonts w:ascii="Sylfaen" w:hAnsi="Sylfaen" w:cs="Sylfaen"/>
          <w:sz w:val="24"/>
          <w:szCs w:val="24"/>
        </w:rPr>
      </w:pPr>
      <w:r w:rsidRPr="006001B9">
        <w:rPr>
          <w:rFonts w:ascii="Sylfaen" w:hAnsi="Sylfaen"/>
          <w:b/>
          <w:spacing w:val="-4"/>
          <w:sz w:val="24"/>
          <w:szCs w:val="24"/>
        </w:rPr>
        <w:t>օդափոխիչի թեւ</w:t>
      </w:r>
      <w:r w:rsidR="006001B9" w:rsidRPr="006001B9">
        <w:rPr>
          <w:rFonts w:ascii="Sylfaen" w:hAnsi="Sylfaen"/>
          <w:b/>
          <w:spacing w:val="-4"/>
          <w:sz w:val="24"/>
          <w:szCs w:val="24"/>
        </w:rPr>
        <w:t>անիվը (անիվը)</w:t>
      </w:r>
      <w:r w:rsidRPr="006001B9">
        <w:rPr>
          <w:rFonts w:ascii="Sylfaen" w:hAnsi="Sylfaen"/>
          <w:b/>
          <w:spacing w:val="-4"/>
          <w:sz w:val="24"/>
          <w:szCs w:val="24"/>
        </w:rPr>
        <w:t>՝</w:t>
      </w:r>
      <w:r w:rsidRPr="006001B9">
        <w:rPr>
          <w:rFonts w:ascii="Sylfaen" w:hAnsi="Sylfaen"/>
          <w:spacing w:val="-4"/>
          <w:sz w:val="24"/>
          <w:szCs w:val="24"/>
        </w:rPr>
        <w:t xml:space="preserve"> օդափոխիչի մաս, որը գազի հոսքին էներգիա է հաղորդում</w:t>
      </w:r>
      <w:r w:rsidRPr="00CA27E3">
        <w:rPr>
          <w:rFonts w:ascii="Sylfaen" w:hAnsi="Sylfaen"/>
          <w:sz w:val="24"/>
          <w:szCs w:val="24"/>
        </w:rPr>
        <w:t>.</w:t>
      </w:r>
    </w:p>
    <w:p w14:paraId="11E0A13B" w14:textId="77777777" w:rsidR="00CA27E3" w:rsidRPr="006001B9" w:rsidRDefault="00CA27E3" w:rsidP="006001B9">
      <w:pPr>
        <w:pStyle w:val="a0"/>
        <w:shd w:val="clear" w:color="auto" w:fill="auto"/>
        <w:spacing w:after="160" w:line="348" w:lineRule="auto"/>
        <w:ind w:firstLine="567"/>
        <w:jc w:val="both"/>
        <w:rPr>
          <w:rFonts w:ascii="Sylfaen" w:hAnsi="Sylfaen" w:cs="Sylfaen"/>
          <w:spacing w:val="-6"/>
          <w:sz w:val="24"/>
          <w:szCs w:val="24"/>
        </w:rPr>
      </w:pPr>
      <w:r w:rsidRPr="006001B9">
        <w:rPr>
          <w:rFonts w:ascii="Sylfaen" w:hAnsi="Sylfaen"/>
          <w:b/>
          <w:spacing w:val="-6"/>
          <w:sz w:val="24"/>
          <w:szCs w:val="24"/>
        </w:rPr>
        <w:t xml:space="preserve">շահագործմանը </w:t>
      </w:r>
      <w:r w:rsidR="006001B9" w:rsidRPr="006001B9">
        <w:rPr>
          <w:rFonts w:ascii="Sylfaen" w:hAnsi="Sylfaen"/>
          <w:b/>
          <w:spacing w:val="-6"/>
          <w:sz w:val="24"/>
          <w:szCs w:val="24"/>
        </w:rPr>
        <w:t>ոչ պատրաստ</w:t>
      </w:r>
      <w:r w:rsidRPr="006001B9">
        <w:rPr>
          <w:rFonts w:ascii="Sylfaen" w:hAnsi="Sylfaen"/>
          <w:b/>
          <w:spacing w:val="-6"/>
          <w:sz w:val="24"/>
          <w:szCs w:val="24"/>
        </w:rPr>
        <w:t>՝</w:t>
      </w:r>
      <w:r w:rsidRPr="006001B9">
        <w:rPr>
          <w:rFonts w:ascii="Sylfaen" w:hAnsi="Sylfaen"/>
          <w:spacing w:val="-6"/>
          <w:sz w:val="24"/>
          <w:szCs w:val="24"/>
        </w:rPr>
        <w:t xml:space="preserve"> օդափոխիչ, որը հավաքված է մի քանի բաղադրիչ մասերից, որոնք առնվազն պարունակում են թեւանիվը, սակայն որն անհրաժեշտ է համալրել մեկ կամ մի քանի բաղկացուցիչ մասերով էլեկտրական էներգիան գազի հոսքի էներգիայի կերպափոխելու հնարավորության ստեղծման համար. </w:t>
      </w:r>
    </w:p>
    <w:p w14:paraId="71960B81" w14:textId="77777777" w:rsidR="00CA27E3" w:rsidRPr="006001B9"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ցածրարդյունավետ շարժաբեր</w:t>
      </w:r>
      <w:r w:rsidR="00CA27E3" w:rsidRPr="006001B9">
        <w:rPr>
          <w:rFonts w:ascii="Sylfaen" w:hAnsi="Sylfaen"/>
          <w:b/>
          <w:sz w:val="24"/>
          <w:szCs w:val="24"/>
        </w:rPr>
        <w:t>՝</w:t>
      </w:r>
      <w:r w:rsidR="00CA27E3" w:rsidRPr="00CA27E3">
        <w:rPr>
          <w:rFonts w:ascii="Sylfaen" w:hAnsi="Sylfaen"/>
          <w:sz w:val="24"/>
          <w:szCs w:val="24"/>
        </w:rPr>
        <w:t xml:space="preserve"> շարժաբեր մեխանիզմ, որում օգտագործվում է դրա հաստությունից եռակի պակաս լայնության փոկ կամ այլ տարբերակի շարժաբեր մեխանիզմ, որը բարձրարդյունավետ շարժաբեր չէ.</w:t>
      </w:r>
      <w:r w:rsidR="00CA27E3">
        <w:rPr>
          <w:rFonts w:ascii="Sylfaen" w:hAnsi="Sylfaen"/>
          <w:sz w:val="24"/>
          <w:szCs w:val="24"/>
        </w:rPr>
        <w:t xml:space="preserve"> </w:t>
      </w:r>
    </w:p>
    <w:p w14:paraId="2444411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lastRenderedPageBreak/>
        <w:t>օգտակար գործողության ընդհանուր գործակից (η</w:t>
      </w:r>
      <w:r w:rsidRPr="006001B9">
        <w:rPr>
          <w:rFonts w:ascii="Sylfaen" w:hAnsi="Sylfaen"/>
          <w:b/>
          <w:sz w:val="24"/>
          <w:szCs w:val="24"/>
          <w:vertAlign w:val="subscript"/>
        </w:rPr>
        <w:t>e</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օգտակար գործողության ստատիկ գործակից կամ օգտակար գործողության գումարային գործակից՝ կախված նրանից, թե կոնկրետ դեպքում որն է կիրառելի.</w:t>
      </w:r>
    </w:p>
    <w:p w14:paraId="6982A2B7" w14:textId="77777777" w:rsidR="00CA27E3" w:rsidRPr="006001B9"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առանցքային օդափոխիչ</w:t>
      </w:r>
      <w:r w:rsidR="00CA27E3" w:rsidRPr="006001B9">
        <w:rPr>
          <w:rFonts w:ascii="Sylfaen" w:hAnsi="Sylfaen"/>
          <w:b/>
          <w:sz w:val="24"/>
          <w:szCs w:val="24"/>
        </w:rPr>
        <w:t>՝</w:t>
      </w:r>
      <w:r w:rsidR="00CA27E3" w:rsidRPr="00CA27E3">
        <w:rPr>
          <w:rFonts w:ascii="Sylfaen" w:hAnsi="Sylfaen"/>
          <w:sz w:val="24"/>
          <w:szCs w:val="24"/>
        </w:rPr>
        <w:t xml:space="preserve"> օդափոխիչ, որը գազը տեղափոխում է թ</w:t>
      </w:r>
      <w:r w:rsidR="00CA27E3">
        <w:rPr>
          <w:rFonts w:ascii="Sylfaen" w:hAnsi="Sylfaen"/>
          <w:sz w:val="24"/>
          <w:szCs w:val="24"/>
        </w:rPr>
        <w:t>եւ</w:t>
      </w:r>
      <w:r w:rsidR="00CA27E3" w:rsidRPr="00CA27E3">
        <w:rPr>
          <w:rFonts w:ascii="Sylfaen" w:hAnsi="Sylfaen"/>
          <w:sz w:val="24"/>
          <w:szCs w:val="24"/>
        </w:rPr>
        <w:t>անիվի (թ</w:t>
      </w:r>
      <w:r w:rsidR="00CA27E3">
        <w:rPr>
          <w:rFonts w:ascii="Sylfaen" w:hAnsi="Sylfaen"/>
          <w:sz w:val="24"/>
          <w:szCs w:val="24"/>
        </w:rPr>
        <w:t>եւ</w:t>
      </w:r>
      <w:r w:rsidR="00CA27E3" w:rsidRPr="00CA27E3">
        <w:rPr>
          <w:rFonts w:ascii="Sylfaen" w:hAnsi="Sylfaen"/>
          <w:sz w:val="24"/>
          <w:szCs w:val="24"/>
        </w:rPr>
        <w:t>անիվների) պտտման առանցքի ուղղությամբ՝ թ</w:t>
      </w:r>
      <w:r w:rsidR="00CA27E3">
        <w:rPr>
          <w:rFonts w:ascii="Sylfaen" w:hAnsi="Sylfaen"/>
          <w:sz w:val="24"/>
          <w:szCs w:val="24"/>
        </w:rPr>
        <w:t>եւ</w:t>
      </w:r>
      <w:r w:rsidR="00CA27E3" w:rsidRPr="00CA27E3">
        <w:rPr>
          <w:rFonts w:ascii="Sylfaen" w:hAnsi="Sylfaen"/>
          <w:sz w:val="24"/>
          <w:szCs w:val="24"/>
        </w:rPr>
        <w:t>անիվով (թ</w:t>
      </w:r>
      <w:r w:rsidR="00CA27E3">
        <w:rPr>
          <w:rFonts w:ascii="Sylfaen" w:hAnsi="Sylfaen"/>
          <w:sz w:val="24"/>
          <w:szCs w:val="24"/>
        </w:rPr>
        <w:t>եւ</w:t>
      </w:r>
      <w:r w:rsidR="00CA27E3" w:rsidRPr="00CA27E3">
        <w:rPr>
          <w:rFonts w:ascii="Sylfaen" w:hAnsi="Sylfaen"/>
          <w:sz w:val="24"/>
          <w:szCs w:val="24"/>
        </w:rPr>
        <w:t>անիվներով) շոշափողով շարժվող մրրկային հոսք ձ</w:t>
      </w:r>
      <w:r w:rsidR="00CA27E3">
        <w:rPr>
          <w:rFonts w:ascii="Sylfaen" w:hAnsi="Sylfaen"/>
          <w:sz w:val="24"/>
          <w:szCs w:val="24"/>
        </w:rPr>
        <w:t>եւ</w:t>
      </w:r>
      <w:r w:rsidR="00CA27E3" w:rsidRPr="00CA27E3">
        <w:rPr>
          <w:rFonts w:ascii="Sylfaen" w:hAnsi="Sylfaen"/>
          <w:sz w:val="24"/>
          <w:szCs w:val="24"/>
        </w:rPr>
        <w:t>ավորելով (առանցքային օդափոխիչը կարող է լինել գլանաձ</w:t>
      </w:r>
      <w:r w:rsidR="00CA27E3">
        <w:rPr>
          <w:rFonts w:ascii="Sylfaen" w:hAnsi="Sylfaen"/>
          <w:sz w:val="24"/>
          <w:szCs w:val="24"/>
        </w:rPr>
        <w:t>եւ</w:t>
      </w:r>
      <w:r w:rsidR="00CA27E3" w:rsidRPr="00CA27E3">
        <w:rPr>
          <w:rFonts w:ascii="Sylfaen" w:hAnsi="Sylfaen"/>
          <w:sz w:val="24"/>
          <w:szCs w:val="24"/>
        </w:rPr>
        <w:t xml:space="preserve"> կորպուսով կամ առանց դրա, մուտքային կամ ելքային ուղղորդիչ սարքվածքով, թիթեղաձ</w:t>
      </w:r>
      <w:r w:rsidR="00CA27E3">
        <w:rPr>
          <w:rFonts w:ascii="Sylfaen" w:hAnsi="Sylfaen"/>
          <w:sz w:val="24"/>
          <w:szCs w:val="24"/>
        </w:rPr>
        <w:t>եւ</w:t>
      </w:r>
      <w:r w:rsidR="00CA27E3" w:rsidRPr="00CA27E3">
        <w:rPr>
          <w:rFonts w:ascii="Sylfaen" w:hAnsi="Sylfaen"/>
          <w:sz w:val="24"/>
          <w:szCs w:val="24"/>
        </w:rPr>
        <w:t xml:space="preserve"> կամ օղակավոր ամրակով).</w:t>
      </w:r>
      <w:r w:rsidR="00CA27E3">
        <w:rPr>
          <w:rFonts w:ascii="Sylfaen" w:hAnsi="Sylfaen"/>
          <w:sz w:val="24"/>
          <w:szCs w:val="24"/>
        </w:rPr>
        <w:t xml:space="preserve"> </w:t>
      </w:r>
    </w:p>
    <w:p w14:paraId="53A934A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թիթեղաձեւ</w:t>
      </w:r>
      <w:r w:rsidR="006001B9" w:rsidRPr="006001B9">
        <w:rPr>
          <w:rFonts w:ascii="Sylfaen" w:hAnsi="Sylfaen"/>
          <w:b/>
          <w:sz w:val="24"/>
          <w:szCs w:val="24"/>
        </w:rPr>
        <w:t xml:space="preserve"> ամրակ</w:t>
      </w:r>
      <w:r w:rsidRPr="00CA27E3">
        <w:rPr>
          <w:rFonts w:ascii="Sylfaen" w:hAnsi="Sylfaen"/>
          <w:sz w:val="24"/>
          <w:szCs w:val="24"/>
        </w:rPr>
        <w:t>՝ թիթեղ, որն ունի անցք, որին ամրացված է օդափոխիչը, որը հնարավոր է դարձնում օդափոխիչի ամրակումը ներհոս-օդաքաշ</w:t>
      </w:r>
      <w:r>
        <w:rPr>
          <w:rFonts w:ascii="Sylfaen" w:hAnsi="Sylfaen"/>
          <w:sz w:val="24"/>
          <w:szCs w:val="24"/>
        </w:rPr>
        <w:t xml:space="preserve"> </w:t>
      </w:r>
      <w:r w:rsidRPr="00CA27E3">
        <w:rPr>
          <w:rFonts w:ascii="Sylfaen" w:hAnsi="Sylfaen"/>
          <w:sz w:val="24"/>
          <w:szCs w:val="24"/>
        </w:rPr>
        <w:t xml:space="preserve">կառուցվածքներում. </w:t>
      </w:r>
    </w:p>
    <w:p w14:paraId="1D54B86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լրիվ ճնշում (k</w:t>
      </w:r>
      <w:r w:rsidRPr="006001B9">
        <w:rPr>
          <w:rFonts w:ascii="Sylfaen" w:hAnsi="Sylfaen"/>
          <w:b/>
          <w:sz w:val="24"/>
          <w:szCs w:val="24"/>
          <w:vertAlign w:val="subscript"/>
        </w:rPr>
        <w:t>p</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սեղմելիության գործակիցը օդափոխիչի գազի հոսքի գումարային հզորության հաշվարկման համար.</w:t>
      </w:r>
    </w:p>
    <w:p w14:paraId="56338FA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օդափոխիչով ստեղծվող լրիվ ճնշում (p</w:t>
      </w:r>
      <w:r w:rsidRPr="006001B9">
        <w:rPr>
          <w:rFonts w:ascii="Sylfaen" w:hAnsi="Sylfaen"/>
          <w:b/>
          <w:sz w:val="24"/>
          <w:szCs w:val="24"/>
          <w:vertAlign w:val="subscript"/>
        </w:rPr>
        <w:t>f</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օդափոխիչի ելքի վրա արգելակման ճնշման </w:t>
      </w:r>
      <w:r>
        <w:rPr>
          <w:rFonts w:ascii="Sylfaen" w:hAnsi="Sylfaen"/>
          <w:sz w:val="24"/>
          <w:szCs w:val="24"/>
        </w:rPr>
        <w:t>եւ</w:t>
      </w:r>
      <w:r w:rsidRPr="00CA27E3">
        <w:rPr>
          <w:rFonts w:ascii="Sylfaen" w:hAnsi="Sylfaen"/>
          <w:sz w:val="24"/>
          <w:szCs w:val="24"/>
        </w:rPr>
        <w:t xml:space="preserve"> օդափոխիչի մուտքի վրա արգելակման ճնշման տարբերությունը. </w:t>
      </w:r>
    </w:p>
    <w:p w14:paraId="1319D428" w14:textId="77777777" w:rsidR="00CA27E3" w:rsidRPr="00CA27E3"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շարժաբեր մեխանիզմ</w:t>
      </w:r>
      <w:r w:rsidR="00CA27E3" w:rsidRPr="006001B9">
        <w:rPr>
          <w:rFonts w:ascii="Sylfaen" w:hAnsi="Sylfaen"/>
          <w:b/>
          <w:sz w:val="24"/>
          <w:szCs w:val="24"/>
        </w:rPr>
        <w:t>՝</w:t>
      </w:r>
      <w:r w:rsidR="00CA27E3" w:rsidRPr="00CA27E3">
        <w:rPr>
          <w:rFonts w:ascii="Sylfaen" w:hAnsi="Sylfaen"/>
          <w:sz w:val="24"/>
          <w:szCs w:val="24"/>
        </w:rPr>
        <w:t xml:space="preserve"> օդափոխիչի համար շարժաբերի տեսակը (օրինակ՝ փոկավոր, ատամնավոր կամ շփական փոխանցիչով), որն ուղղակի շարժաբեր չէ.</w:t>
      </w:r>
      <w:r w:rsidR="00CA27E3">
        <w:rPr>
          <w:rFonts w:ascii="Sylfaen" w:hAnsi="Sylfaen"/>
          <w:sz w:val="24"/>
          <w:szCs w:val="24"/>
        </w:rPr>
        <w:t xml:space="preserve"> </w:t>
      </w:r>
    </w:p>
    <w:p w14:paraId="60ECACA4" w14:textId="77777777" w:rsidR="00CA27E3" w:rsidRPr="00CA27E3"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ուղղակի շարժաբեր</w:t>
      </w:r>
      <w:r w:rsidR="00CA27E3" w:rsidRPr="006001B9">
        <w:rPr>
          <w:rFonts w:ascii="Sylfaen" w:hAnsi="Sylfaen"/>
          <w:b/>
          <w:sz w:val="24"/>
          <w:szCs w:val="24"/>
        </w:rPr>
        <w:t>՝</w:t>
      </w:r>
      <w:r w:rsidR="00CA27E3" w:rsidRPr="00CA27E3">
        <w:rPr>
          <w:rFonts w:ascii="Sylfaen" w:hAnsi="Sylfaen"/>
          <w:sz w:val="24"/>
          <w:szCs w:val="24"/>
        </w:rPr>
        <w:t xml:space="preserve"> օդափոխիչի շարժաբերի կոնֆիգուրացիա, որի դեպքում թ</w:t>
      </w:r>
      <w:r w:rsidR="00CA27E3">
        <w:rPr>
          <w:rFonts w:ascii="Sylfaen" w:hAnsi="Sylfaen"/>
          <w:sz w:val="24"/>
          <w:szCs w:val="24"/>
        </w:rPr>
        <w:t>եւ</w:t>
      </w:r>
      <w:r w:rsidR="00CA27E3" w:rsidRPr="00CA27E3">
        <w:rPr>
          <w:rFonts w:ascii="Sylfaen" w:hAnsi="Sylfaen"/>
          <w:sz w:val="24"/>
          <w:szCs w:val="24"/>
        </w:rPr>
        <w:t xml:space="preserve">անիվն ամրացվում է էլեկտրաշարժիչի լիսեռի վրա անմիջապես կամ ճկուն լիսեռի միջոցով, </w:t>
      </w:r>
      <w:r w:rsidR="00CA27E3">
        <w:rPr>
          <w:rFonts w:ascii="Sylfaen" w:hAnsi="Sylfaen"/>
          <w:sz w:val="24"/>
          <w:szCs w:val="24"/>
        </w:rPr>
        <w:t>եւ</w:t>
      </w:r>
      <w:r w:rsidR="00CA27E3" w:rsidRPr="00CA27E3">
        <w:rPr>
          <w:rFonts w:ascii="Sylfaen" w:hAnsi="Sylfaen"/>
          <w:sz w:val="24"/>
          <w:szCs w:val="24"/>
        </w:rPr>
        <w:t xml:space="preserve"> թ</w:t>
      </w:r>
      <w:r w:rsidR="00CA27E3">
        <w:rPr>
          <w:rFonts w:ascii="Sylfaen" w:hAnsi="Sylfaen"/>
          <w:sz w:val="24"/>
          <w:szCs w:val="24"/>
        </w:rPr>
        <w:t>եւ</w:t>
      </w:r>
      <w:r w:rsidR="00CA27E3" w:rsidRPr="00CA27E3">
        <w:rPr>
          <w:rFonts w:ascii="Sylfaen" w:hAnsi="Sylfaen"/>
          <w:sz w:val="24"/>
          <w:szCs w:val="24"/>
        </w:rPr>
        <w:t xml:space="preserve">անիվի պտույտների թիվը հավասար է շարժիչի պտույտների թվին. </w:t>
      </w:r>
    </w:p>
    <w:p w14:paraId="72A7EC90" w14:textId="77777777" w:rsidR="00CA27E3" w:rsidRPr="00CA27E3" w:rsidRDefault="00CA27E3" w:rsidP="006001B9">
      <w:pPr>
        <w:pStyle w:val="a0"/>
        <w:shd w:val="clear" w:color="auto" w:fill="auto"/>
        <w:tabs>
          <w:tab w:val="left" w:pos="3119"/>
        </w:tabs>
        <w:spacing w:after="160"/>
        <w:ind w:firstLine="567"/>
        <w:jc w:val="both"/>
        <w:rPr>
          <w:rFonts w:ascii="Sylfaen" w:hAnsi="Sylfaen" w:cs="Sylfaen"/>
          <w:sz w:val="24"/>
          <w:szCs w:val="24"/>
        </w:rPr>
      </w:pPr>
      <w:r w:rsidRPr="006001B9">
        <w:rPr>
          <w:rFonts w:ascii="Sylfaen" w:hAnsi="Sylfaen"/>
          <w:b/>
          <w:sz w:val="24"/>
          <w:szCs w:val="24"/>
        </w:rPr>
        <w:t>հաշվարկային էներգետիկ արդյունավետություն (η</w:t>
      </w:r>
      <w:r w:rsidRPr="006001B9">
        <w:rPr>
          <w:rFonts w:ascii="Sylfaen" w:hAnsi="Sylfaen"/>
          <w:b/>
          <w:sz w:val="24"/>
          <w:szCs w:val="24"/>
          <w:vertAlign w:val="subscript"/>
        </w:rPr>
        <w:t>հ</w:t>
      </w:r>
      <w:r w:rsidRPr="006001B9">
        <w:rPr>
          <w:rFonts w:ascii="Sylfaen" w:hAnsi="Sylfaen"/>
          <w:b/>
          <w:sz w:val="24"/>
          <w:szCs w:val="24"/>
        </w:rPr>
        <w:t>.</w:t>
      </w:r>
      <w:r w:rsidRPr="006001B9">
        <w:rPr>
          <w:rFonts w:ascii="Sylfaen" w:hAnsi="Sylfaen"/>
          <w:b/>
          <w:sz w:val="24"/>
          <w:szCs w:val="24"/>
          <w:vertAlign w:val="subscript"/>
        </w:rPr>
        <w:t>է</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այն նվազագույն էներգետիկ արդյունավետությունը, որը պետք է ապահովի օդափոխիչը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6001B9" w:rsidRPr="006001B9">
        <w:rPr>
          <w:rFonts w:ascii="Sylfaen" w:hAnsi="Sylfaen"/>
          <w:sz w:val="24"/>
          <w:szCs w:val="24"/>
        </w:rPr>
        <w:tab/>
      </w:r>
      <w:r w:rsidRPr="00CA27E3">
        <w:rPr>
          <w:rFonts w:ascii="Sylfaen" w:hAnsi="Sylfaen"/>
          <w:sz w:val="24"/>
          <w:szCs w:val="24"/>
        </w:rPr>
        <w:t>/20</w:t>
      </w:r>
      <w:r w:rsidR="006001B9" w:rsidRPr="006001B9">
        <w:rPr>
          <w:rFonts w:ascii="Sylfaen" w:hAnsi="Sylfaen"/>
          <w:sz w:val="24"/>
          <w:szCs w:val="24"/>
        </w:rPr>
        <w:tab/>
      </w:r>
      <w:r w:rsidRPr="00CA27E3">
        <w:rPr>
          <w:rFonts w:ascii="Sylfaen" w:hAnsi="Sylfaen"/>
          <w:sz w:val="24"/>
          <w:szCs w:val="24"/>
        </w:rPr>
        <w:t xml:space="preserve">) (այսուհետ՝ տեխնիկական կանոնակարգ) պահանջներին համապատասխանելու համար, որը որոշվում է օպտիմալ </w:t>
      </w:r>
      <w:r w:rsidRPr="00CA27E3">
        <w:rPr>
          <w:rFonts w:ascii="Sylfaen" w:hAnsi="Sylfaen"/>
          <w:sz w:val="24"/>
          <w:szCs w:val="24"/>
        </w:rPr>
        <w:lastRenderedPageBreak/>
        <w:t xml:space="preserve">էներգետիկ արդյունավետության պայմաններում դրա կողմից սպառվող էլեկտրական հզորության հիման վրա. </w:t>
      </w:r>
    </w:p>
    <w:p w14:paraId="2F2B3A1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օգտակար գործողության ստատիկ գործակիցը (p</w:t>
      </w:r>
      <w:r w:rsidRPr="006001B9">
        <w:rPr>
          <w:rFonts w:ascii="Sylfaen" w:hAnsi="Sylfaen"/>
          <w:b/>
          <w:sz w:val="24"/>
          <w:szCs w:val="24"/>
          <w:vertAlign w:val="subscript"/>
        </w:rPr>
        <w:t>sf</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օդափոխիչների էներգետիկ արդյունավետությունը օդափոխիչով ստեղծվող՝ չափված ստատիկ ճնշման հիման վրա. </w:t>
      </w:r>
    </w:p>
    <w:p w14:paraId="2861304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ստատիկ ճնշում (k</w:t>
      </w:r>
      <w:r w:rsidRPr="006001B9">
        <w:rPr>
          <w:rFonts w:ascii="Sylfaen" w:hAnsi="Sylfaen"/>
          <w:b/>
          <w:sz w:val="24"/>
          <w:szCs w:val="24"/>
          <w:vertAlign w:val="subscript"/>
        </w:rPr>
        <w:t>ps</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սեղմելիության գործակիցը օդափոխիչի գազի հոսքի ստատիկ հզորության հաշվարկման համար.</w:t>
      </w:r>
    </w:p>
    <w:p w14:paraId="33868B3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օդափոխիչով ստեղծվող ստատիկ ճնշում (p</w:t>
      </w:r>
      <w:r w:rsidRPr="006001B9">
        <w:rPr>
          <w:rFonts w:ascii="Sylfaen" w:hAnsi="Sylfaen"/>
          <w:b/>
          <w:sz w:val="24"/>
          <w:szCs w:val="24"/>
          <w:vertAlign w:val="subscript"/>
        </w:rPr>
        <w:t>sf</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օդափոխիչով ստեղծվող լրիվ ճնշումը (p</w:t>
      </w:r>
      <w:r w:rsidRPr="00CA27E3">
        <w:rPr>
          <w:rFonts w:ascii="Sylfaen" w:hAnsi="Sylfaen"/>
          <w:sz w:val="24"/>
          <w:szCs w:val="24"/>
          <w:vertAlign w:val="subscript"/>
        </w:rPr>
        <w:t>f</w:t>
      </w:r>
      <w:r w:rsidRPr="00CA27E3">
        <w:rPr>
          <w:rFonts w:ascii="Sylfaen" w:hAnsi="Sylfaen"/>
          <w:sz w:val="24"/>
          <w:szCs w:val="24"/>
        </w:rPr>
        <w:t>)՝ հանած օդափոխիչով ստեղծվող դինամիկ ճնշումը, բազմապատկած Մախի թվով.</w:t>
      </w:r>
      <w:r>
        <w:rPr>
          <w:rFonts w:ascii="Sylfaen" w:hAnsi="Sylfaen"/>
          <w:sz w:val="24"/>
          <w:szCs w:val="24"/>
        </w:rPr>
        <w:t xml:space="preserve"> </w:t>
      </w:r>
    </w:p>
    <w:p w14:paraId="4B97418D" w14:textId="77777777" w:rsidR="00CA27E3" w:rsidRPr="00CA27E3"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սեղմման աստիճանը</w:t>
      </w:r>
      <w:r w:rsidR="00CA27E3" w:rsidRPr="006001B9">
        <w:rPr>
          <w:rFonts w:ascii="Sylfaen" w:hAnsi="Sylfaen"/>
          <w:b/>
          <w:sz w:val="24"/>
          <w:szCs w:val="24"/>
        </w:rPr>
        <w:t>՝</w:t>
      </w:r>
      <w:r w:rsidR="00CA27E3" w:rsidRPr="00CA27E3">
        <w:rPr>
          <w:rFonts w:ascii="Sylfaen" w:hAnsi="Sylfaen"/>
          <w:sz w:val="24"/>
          <w:szCs w:val="24"/>
        </w:rPr>
        <w:t xml:space="preserve"> օդափոխիչի ելքի վրա չափված ստատիկ ճնշման </w:t>
      </w:r>
      <w:r w:rsidR="00CA27E3">
        <w:rPr>
          <w:rFonts w:ascii="Sylfaen" w:hAnsi="Sylfaen"/>
          <w:sz w:val="24"/>
          <w:szCs w:val="24"/>
        </w:rPr>
        <w:t>եւ</w:t>
      </w:r>
      <w:r w:rsidR="00CA27E3" w:rsidRPr="00CA27E3">
        <w:rPr>
          <w:rFonts w:ascii="Sylfaen" w:hAnsi="Sylfaen"/>
          <w:sz w:val="24"/>
          <w:szCs w:val="24"/>
        </w:rPr>
        <w:t xml:space="preserve"> օպտիմալ էներգետիկ արդյունավետության պայմաններում օդափոխիչի աշխատանքի դեպքում օդափոխիչի մուտքի վրա չափված ստատիկ ճնշման հարաբերությունը.</w:t>
      </w:r>
    </w:p>
    <w:p w14:paraId="04BA9B2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օգտակար գործողության գումարային գործակիցը (p</w:t>
      </w:r>
      <w:r w:rsidRPr="006001B9">
        <w:rPr>
          <w:rFonts w:ascii="Sylfaen" w:hAnsi="Sylfaen"/>
          <w:b/>
          <w:sz w:val="24"/>
          <w:szCs w:val="24"/>
          <w:vertAlign w:val="subscript"/>
        </w:rPr>
        <w:t>sf</w:t>
      </w:r>
      <w:r w:rsidR="006001B9" w:rsidRPr="006001B9">
        <w:rPr>
          <w:rFonts w:ascii="Sylfaen" w:hAnsi="Sylfaen"/>
          <w:b/>
          <w:sz w:val="24"/>
          <w:szCs w:val="24"/>
        </w:rPr>
        <w:t>)</w:t>
      </w:r>
      <w:r w:rsidRPr="006001B9">
        <w:rPr>
          <w:rFonts w:ascii="Sylfaen" w:hAnsi="Sylfaen"/>
          <w:b/>
          <w:sz w:val="24"/>
          <w:szCs w:val="24"/>
        </w:rPr>
        <w:t>՝</w:t>
      </w:r>
      <w:r w:rsidRPr="00CA27E3">
        <w:rPr>
          <w:rFonts w:ascii="Sylfaen" w:hAnsi="Sylfaen"/>
          <w:sz w:val="24"/>
          <w:szCs w:val="24"/>
        </w:rPr>
        <w:t xml:space="preserve"> օդափոխիչի էներգետիկ արդյունավետությունը օդափոխիչով ստեղծվող՝ չափված լրիվ ճնշման հիման վրա.</w:t>
      </w:r>
    </w:p>
    <w:p w14:paraId="05DE4A30" w14:textId="77777777" w:rsidR="00CA27E3" w:rsidRPr="006001B9" w:rsidRDefault="006001B9"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t>Մախի թիվը</w:t>
      </w:r>
      <w:r w:rsidR="00CA27E3" w:rsidRPr="006001B9">
        <w:rPr>
          <w:rFonts w:ascii="Sylfaen" w:hAnsi="Sylfaen"/>
          <w:b/>
          <w:sz w:val="24"/>
          <w:szCs w:val="24"/>
        </w:rPr>
        <w:t>՝</w:t>
      </w:r>
      <w:r w:rsidR="00CA27E3" w:rsidRPr="00CA27E3">
        <w:rPr>
          <w:rFonts w:ascii="Sylfaen" w:hAnsi="Sylfaen"/>
          <w:sz w:val="24"/>
          <w:szCs w:val="24"/>
        </w:rPr>
        <w:t xml:space="preserve"> ճշգրտման գործակից, որը կիրառվում է դինամիկ ճնշման նկատմամբ մի կետում, որը որոշվում է որպես արգելակման ճնշում՝ հանած այն ճնշման արժեքը, որը գործադրվում է շրջապատող գազի նկատմամբ բացարձակ զրոյական ճնշման համեմատ հարաբերականորեն անշարժ կետի նկատմամբ՝ բաժանած դինամիկ ճնշման արժեքի վրա.</w:t>
      </w:r>
      <w:r w:rsidR="00CA27E3">
        <w:rPr>
          <w:rFonts w:ascii="Sylfaen" w:hAnsi="Sylfaen"/>
          <w:sz w:val="24"/>
          <w:szCs w:val="24"/>
        </w:rPr>
        <w:t xml:space="preserve"> </w:t>
      </w:r>
    </w:p>
    <w:p w14:paraId="3BD0B6F4" w14:textId="77777777" w:rsidR="006001B9" w:rsidRDefault="006001B9" w:rsidP="00CA27E3">
      <w:pPr>
        <w:pStyle w:val="a0"/>
        <w:shd w:val="clear" w:color="auto" w:fill="auto"/>
        <w:spacing w:after="160"/>
        <w:ind w:firstLine="567"/>
        <w:jc w:val="both"/>
        <w:rPr>
          <w:rFonts w:ascii="Sylfaen" w:hAnsi="Sylfaen"/>
          <w:sz w:val="24"/>
          <w:szCs w:val="24"/>
        </w:rPr>
      </w:pPr>
      <w:r w:rsidRPr="006001B9">
        <w:rPr>
          <w:rFonts w:ascii="Sylfaen" w:hAnsi="Sylfaen"/>
          <w:b/>
          <w:sz w:val="24"/>
          <w:szCs w:val="24"/>
        </w:rPr>
        <w:t>արդյունավետության մակարդակ (N)</w:t>
      </w:r>
      <w:r w:rsidR="00CA27E3" w:rsidRPr="006001B9">
        <w:rPr>
          <w:rFonts w:ascii="Sylfaen" w:hAnsi="Sylfaen"/>
          <w:b/>
          <w:sz w:val="24"/>
          <w:szCs w:val="24"/>
        </w:rPr>
        <w:t>՝</w:t>
      </w:r>
      <w:r w:rsidR="00CA27E3" w:rsidRPr="00CA27E3">
        <w:rPr>
          <w:rFonts w:ascii="Sylfaen" w:hAnsi="Sylfaen"/>
          <w:sz w:val="24"/>
          <w:szCs w:val="24"/>
        </w:rPr>
        <w:t xml:space="preserve"> պարամետր, որն օգտագործվում է որոշակի սպառվող էլեկտրական հզորությամբ օդափոխիչի հաշվարկային էներգետիկ արդյունավետությունը օպտիմալ էներգետիկ արդյունավետության պայմաններում հաշվարկելիս.</w:t>
      </w:r>
      <w:r w:rsidR="00CA27E3">
        <w:rPr>
          <w:rFonts w:ascii="Sylfaen" w:hAnsi="Sylfaen"/>
          <w:sz w:val="24"/>
          <w:szCs w:val="24"/>
        </w:rPr>
        <w:t xml:space="preserve"> </w:t>
      </w:r>
    </w:p>
    <w:p w14:paraId="51078C3A" w14:textId="77777777" w:rsidR="006001B9" w:rsidRDefault="006001B9">
      <w:pPr>
        <w:rPr>
          <w:rFonts w:ascii="Sylfaen" w:eastAsia="Times New Roman" w:hAnsi="Sylfaen" w:cs="Times New Roman"/>
          <w:color w:val="auto"/>
        </w:rPr>
      </w:pPr>
      <w:r>
        <w:rPr>
          <w:rFonts w:ascii="Sylfaen" w:hAnsi="Sylfaen"/>
        </w:rPr>
        <w:br w:type="page"/>
      </w:r>
    </w:p>
    <w:p w14:paraId="299B61E4" w14:textId="77777777" w:rsidR="00CA27E3" w:rsidRPr="006001B9" w:rsidRDefault="00CA27E3" w:rsidP="00CA27E3">
      <w:pPr>
        <w:pStyle w:val="a0"/>
        <w:shd w:val="clear" w:color="auto" w:fill="auto"/>
        <w:spacing w:after="160"/>
        <w:ind w:firstLine="567"/>
        <w:jc w:val="both"/>
        <w:rPr>
          <w:rFonts w:ascii="Sylfaen" w:hAnsi="Sylfaen" w:cs="Sylfaen"/>
          <w:sz w:val="24"/>
          <w:szCs w:val="24"/>
        </w:rPr>
      </w:pPr>
      <w:r w:rsidRPr="006001B9">
        <w:rPr>
          <w:rFonts w:ascii="Sylfaen" w:hAnsi="Sylfaen"/>
          <w:b/>
          <w:sz w:val="24"/>
          <w:szCs w:val="24"/>
        </w:rPr>
        <w:lastRenderedPageBreak/>
        <w:t>պտտման հաճախությունը կարգավորող սարքված</w:t>
      </w:r>
      <w:r w:rsidR="006001B9" w:rsidRPr="006001B9">
        <w:rPr>
          <w:rFonts w:ascii="Sylfaen" w:hAnsi="Sylfaen"/>
          <w:b/>
          <w:sz w:val="24"/>
          <w:szCs w:val="24"/>
        </w:rPr>
        <w:t>ք</w:t>
      </w:r>
      <w:r w:rsidRPr="006001B9">
        <w:rPr>
          <w:rFonts w:ascii="Sylfaen" w:hAnsi="Sylfaen"/>
          <w:b/>
          <w:sz w:val="24"/>
          <w:szCs w:val="24"/>
        </w:rPr>
        <w:t>՝</w:t>
      </w:r>
      <w:r w:rsidRPr="00CA27E3">
        <w:rPr>
          <w:rFonts w:ascii="Sylfaen" w:hAnsi="Sylfaen"/>
          <w:sz w:val="24"/>
          <w:szCs w:val="24"/>
        </w:rPr>
        <w:t xml:space="preserve"> կերպափոխիչ, որը ներկառուցված է էլեկտրաշարժիչի մեջ կամ աշխատում է որպես մեկ էլեկտրաշարժիչ-օդափոխիչ համակարգ, որն անընդհատ կերպափոխում է էլէկտրական էներգիան, որից սնվում է էլեկտրաշարժիչը՝</w:t>
      </w:r>
      <w:r>
        <w:rPr>
          <w:rFonts w:ascii="Sylfaen" w:hAnsi="Sylfaen"/>
          <w:sz w:val="24"/>
          <w:szCs w:val="24"/>
        </w:rPr>
        <w:t xml:space="preserve"> </w:t>
      </w:r>
      <w:r w:rsidRPr="00CA27E3">
        <w:rPr>
          <w:rFonts w:ascii="Sylfaen" w:hAnsi="Sylfaen"/>
          <w:sz w:val="24"/>
          <w:szCs w:val="24"/>
        </w:rPr>
        <w:t>պտտող մոմենտի մեծությունը չափելու գործառույթին համապատասխան էլեկտրաշարժիչից արձակված մեխանիկական հզորության մեծությունը կառավարելու նպատակով՝ կախված էլեկտրաշարժիչի պտտման հաճախությունից, բացառությամբ լարումը կառավարող սարքվածքների, որոնք միայն փոխում են էլեկտրաշարժիչի սնուցման լարումը։</w:t>
      </w:r>
      <w:r>
        <w:rPr>
          <w:rFonts w:ascii="Sylfaen" w:hAnsi="Sylfaen"/>
          <w:sz w:val="24"/>
          <w:szCs w:val="24"/>
        </w:rPr>
        <w:t xml:space="preserve"> </w:t>
      </w:r>
    </w:p>
    <w:p w14:paraId="490732FB" w14:textId="77777777" w:rsidR="00CA27E3" w:rsidRPr="00CA27E3" w:rsidRDefault="00CA27E3" w:rsidP="00CA27E3">
      <w:pPr>
        <w:spacing w:after="160" w:line="360" w:lineRule="auto"/>
        <w:rPr>
          <w:rFonts w:ascii="Sylfaen" w:hAnsi="Sylfaen" w:cs="Sylfaen"/>
        </w:rPr>
      </w:pPr>
    </w:p>
    <w:p w14:paraId="343BA824" w14:textId="77777777" w:rsidR="00CA27E3" w:rsidRPr="00CA27E3" w:rsidRDefault="00CA27E3" w:rsidP="006001B9">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III. Օդափոխիչների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6FAE4890"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D303C2" w:rsidRPr="00D303C2">
        <w:rPr>
          <w:rFonts w:ascii="Sylfaen" w:hAnsi="Sylfaen"/>
          <w:sz w:val="24"/>
          <w:szCs w:val="24"/>
        </w:rPr>
        <w:tab/>
      </w:r>
      <w:r w:rsidRPr="00CA27E3">
        <w:rPr>
          <w:rFonts w:ascii="Sylfaen" w:hAnsi="Sylfaen"/>
          <w:sz w:val="24"/>
          <w:szCs w:val="24"/>
        </w:rPr>
        <w:t>Օդափոխիչի ընդհանուր էներգետիկ արդյունավետության արժեքը, որը որոշվում է որպես սույն բաժնի 4-8-րդ կետերում բերված հաշվարկման կանոնների համաձայն հաշվարկված՝ օդափոխիչի օգտակար գործողության ընդհանուր գործակից (η</w:t>
      </w:r>
      <w:r w:rsidRPr="00CA27E3">
        <w:rPr>
          <w:rFonts w:ascii="Sylfaen" w:hAnsi="Sylfaen"/>
          <w:sz w:val="24"/>
          <w:szCs w:val="24"/>
          <w:vertAlign w:val="subscript"/>
        </w:rPr>
        <w:t>e</w:t>
      </w:r>
      <w:r w:rsidRPr="00CA27E3">
        <w:rPr>
          <w:rFonts w:ascii="Sylfaen" w:hAnsi="Sylfaen"/>
          <w:sz w:val="24"/>
          <w:szCs w:val="24"/>
        </w:rPr>
        <w:t>), պետք է հավասար լինի կամ գերազանցի 1-ին աղյուսակում բերված հաշվարկային էներգաարդյունավետության արժեքը (η</w:t>
      </w:r>
      <w:r w:rsidRPr="00CA27E3">
        <w:rPr>
          <w:rFonts w:ascii="Sylfaen" w:hAnsi="Sylfaen"/>
          <w:sz w:val="24"/>
          <w:szCs w:val="24"/>
          <w:vertAlign w:val="subscript"/>
        </w:rPr>
        <w:t>հ</w:t>
      </w:r>
      <w:r w:rsidRPr="00CA27E3">
        <w:rPr>
          <w:rFonts w:ascii="Sylfaen" w:hAnsi="Sylfaen"/>
          <w:sz w:val="24"/>
          <w:szCs w:val="24"/>
        </w:rPr>
        <w:t>.</w:t>
      </w:r>
      <w:r w:rsidRPr="00CA27E3">
        <w:rPr>
          <w:rFonts w:ascii="Sylfaen" w:hAnsi="Sylfaen"/>
          <w:sz w:val="24"/>
          <w:szCs w:val="24"/>
          <w:vertAlign w:val="subscript"/>
        </w:rPr>
        <w:t>է</w:t>
      </w:r>
      <w:r w:rsidRPr="00CA27E3">
        <w:rPr>
          <w:rFonts w:ascii="Sylfaen" w:hAnsi="Sylfaen"/>
          <w:sz w:val="24"/>
          <w:szCs w:val="24"/>
        </w:rPr>
        <w:t>.)՝</w:t>
      </w:r>
      <w:r>
        <w:rPr>
          <w:rFonts w:ascii="Sylfaen" w:hAnsi="Sylfaen"/>
          <w:sz w:val="24"/>
          <w:szCs w:val="24"/>
        </w:rPr>
        <w:t xml:space="preserve"> </w:t>
      </w:r>
    </w:p>
    <w:p w14:paraId="0C22B43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օդաքաշ օդափոխիչների համար՝ 2020 թվականի սեպտեմբերի 1-ից, </w:t>
      </w:r>
    </w:p>
    <w:p w14:paraId="2A67D3F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օդափոխիչների բոլոր տեսակների համար՝ 2022 թվականի սեպտեմբերի 1-ից։</w:t>
      </w:r>
    </w:p>
    <w:p w14:paraId="6C3C1AA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Օդափոխիչների էներգետիկ արդյունավետությանը ներկայացվող պահանջները չեն տարածվում այն օդափոխիչների վրա, որոնք նախատեսված են շահագործվելու՝ </w:t>
      </w:r>
    </w:p>
    <w:p w14:paraId="58D743A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օպտիմալ էներգետիկ արդյունավետությամբ, որն ապահովվում է րոպեում ոչ</w:t>
      </w:r>
      <w:r w:rsidR="006001B9" w:rsidRPr="006001B9">
        <w:rPr>
          <w:rFonts w:ascii="Sylfaen" w:hAnsi="Sylfaen"/>
          <w:sz w:val="24"/>
          <w:szCs w:val="24"/>
        </w:rPr>
        <w:t> </w:t>
      </w:r>
      <w:r w:rsidRPr="00CA27E3">
        <w:rPr>
          <w:rFonts w:ascii="Sylfaen" w:hAnsi="Sylfaen"/>
          <w:sz w:val="24"/>
          <w:szCs w:val="24"/>
        </w:rPr>
        <w:t xml:space="preserve">պակաս, քան 8 000 պտույտ պտտման հաճախության դեպքում. </w:t>
      </w:r>
    </w:p>
    <w:p w14:paraId="554BF09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1,11-ը գերազանցող սեղմման գործակցի պայմաններում. </w:t>
      </w:r>
    </w:p>
    <w:p w14:paraId="5D594876" w14:textId="77777777" w:rsidR="00CA27E3" w:rsidRPr="006001B9"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ոչ գազանման նյութեր տեղափոխելու համար որպես փոխադրման օդափոխիչներ։</w:t>
      </w:r>
    </w:p>
    <w:p w14:paraId="453DC9E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Կրկնակի կիրառման օդափոխիչների համար, որոնք նախատեսված են ինչպես բնականոն պայմաններում, այնպես էլ արտակարգ իրավիճակներում կարճաժամկետ ռեժիմում աշխատանքի համար՝ հաշվի առնելով հակահրդեհային պաշտպանության պահանջները, թույլատրելի են համարվում 1-ին աղյուսակում նշված մակարդակներից ավելի ցածր էներգետիկ արդյունավետության մակարդակները՝ </w:t>
      </w:r>
    </w:p>
    <w:p w14:paraId="6E76B5F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օդաքաշ օդափոխիչների համար 10 %՝ 2020 թվականի սեպտեմբերի 1-ից, </w:t>
      </w:r>
    </w:p>
    <w:p w14:paraId="5B2FE740" w14:textId="77777777" w:rsidR="00CA27E3" w:rsidRPr="00D303C2" w:rsidRDefault="00CA27E3" w:rsidP="00CA27E3">
      <w:pPr>
        <w:pStyle w:val="a0"/>
        <w:shd w:val="clear" w:color="auto" w:fill="auto"/>
        <w:spacing w:after="160"/>
        <w:ind w:firstLine="567"/>
        <w:jc w:val="both"/>
        <w:rPr>
          <w:rFonts w:ascii="Sylfaen" w:hAnsi="Sylfaen" w:cs="Sylfaen"/>
          <w:spacing w:val="-6"/>
          <w:sz w:val="24"/>
          <w:szCs w:val="24"/>
        </w:rPr>
      </w:pPr>
      <w:r w:rsidRPr="00D303C2">
        <w:rPr>
          <w:rFonts w:ascii="Sylfaen" w:hAnsi="Sylfaen"/>
          <w:spacing w:val="-6"/>
          <w:sz w:val="24"/>
          <w:szCs w:val="24"/>
        </w:rPr>
        <w:t>օդափոխիչների բոլոր տեսակների համար 5 %՝ 2022 թվականի սեպտեմբերի 1-ից։</w:t>
      </w:r>
    </w:p>
    <w:p w14:paraId="57C75B57"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1607F153"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1</w:t>
      </w:r>
    </w:p>
    <w:p w14:paraId="49C1B307" w14:textId="77777777" w:rsidR="00CA27E3" w:rsidRPr="00CA27E3" w:rsidRDefault="00CA27E3" w:rsidP="00CA27E3">
      <w:pPr>
        <w:pStyle w:val="a0"/>
        <w:shd w:val="clear" w:color="auto" w:fill="auto"/>
        <w:spacing w:after="160"/>
        <w:ind w:firstLine="0"/>
        <w:jc w:val="center"/>
        <w:rPr>
          <w:rFonts w:ascii="Sylfaen" w:hAnsi="Sylfaen"/>
          <w:sz w:val="24"/>
          <w:szCs w:val="24"/>
        </w:rPr>
      </w:pPr>
      <w:r w:rsidRPr="00CA27E3">
        <w:rPr>
          <w:rFonts w:ascii="Sylfaen" w:hAnsi="Sylfaen"/>
          <w:sz w:val="24"/>
          <w:szCs w:val="24"/>
        </w:rPr>
        <w:t xml:space="preserve">Օդափոխիչների տարբեր տիպերի համար </w:t>
      </w:r>
      <w:r w:rsidR="006001B9" w:rsidRPr="006001B9">
        <w:rPr>
          <w:rFonts w:ascii="Sylfaen" w:hAnsi="Sylfaen"/>
          <w:sz w:val="24"/>
          <w:szCs w:val="24"/>
        </w:rPr>
        <w:br/>
      </w:r>
      <w:r w:rsidRPr="00CA27E3">
        <w:rPr>
          <w:rFonts w:ascii="Sylfaen" w:hAnsi="Sylfaen"/>
          <w:sz w:val="24"/>
          <w:szCs w:val="24"/>
        </w:rPr>
        <w:t>հաշվարկային էներգետիկ արդյունավետությունը</w:t>
      </w:r>
    </w:p>
    <w:tbl>
      <w:tblPr>
        <w:tblOverlap w:val="never"/>
        <w:tblW w:w="9788" w:type="dxa"/>
        <w:tblInd w:w="-274" w:type="dxa"/>
        <w:tblLayout w:type="fixed"/>
        <w:tblCellMar>
          <w:left w:w="10" w:type="dxa"/>
          <w:right w:w="10" w:type="dxa"/>
        </w:tblCellMar>
        <w:tblLook w:val="0020" w:firstRow="1" w:lastRow="0" w:firstColumn="0" w:lastColumn="0" w:noHBand="0" w:noVBand="0"/>
      </w:tblPr>
      <w:tblGrid>
        <w:gridCol w:w="1985"/>
        <w:gridCol w:w="1414"/>
        <w:gridCol w:w="1560"/>
        <w:gridCol w:w="1699"/>
        <w:gridCol w:w="3130"/>
      </w:tblGrid>
      <w:tr w:rsidR="00CA27E3" w:rsidRPr="00D83000" w14:paraId="317D1CE9" w14:textId="77777777" w:rsidTr="00CC5E75">
        <w:trPr>
          <w:tblHeader/>
        </w:trPr>
        <w:tc>
          <w:tcPr>
            <w:tcW w:w="1985" w:type="dxa"/>
            <w:tcBorders>
              <w:top w:val="single" w:sz="4" w:space="0" w:color="auto"/>
              <w:left w:val="single" w:sz="4" w:space="0" w:color="auto"/>
            </w:tcBorders>
            <w:shd w:val="clear" w:color="auto" w:fill="FFFFFF"/>
            <w:vAlign w:val="center"/>
          </w:tcPr>
          <w:p w14:paraId="26FDDE06" w14:textId="77777777" w:rsidR="00CA27E3" w:rsidRPr="00D83000" w:rsidRDefault="00CA27E3" w:rsidP="006001B9">
            <w:pPr>
              <w:pStyle w:val="a4"/>
              <w:shd w:val="clear" w:color="auto" w:fill="auto"/>
              <w:spacing w:after="120" w:line="240" w:lineRule="auto"/>
              <w:ind w:right="39" w:firstLine="0"/>
              <w:jc w:val="center"/>
              <w:rPr>
                <w:rFonts w:ascii="Sylfaen" w:hAnsi="Sylfaen" w:cs="Sylfaen"/>
                <w:sz w:val="20"/>
                <w:szCs w:val="20"/>
              </w:rPr>
            </w:pPr>
            <w:r w:rsidRPr="00D83000">
              <w:rPr>
                <w:rFonts w:ascii="Sylfaen" w:hAnsi="Sylfaen"/>
                <w:sz w:val="20"/>
                <w:szCs w:val="20"/>
              </w:rPr>
              <w:t xml:space="preserve">Օդափոխիչի տիպը </w:t>
            </w:r>
          </w:p>
        </w:tc>
        <w:tc>
          <w:tcPr>
            <w:tcW w:w="1414" w:type="dxa"/>
            <w:tcBorders>
              <w:top w:val="single" w:sz="4" w:space="0" w:color="auto"/>
              <w:left w:val="single" w:sz="4" w:space="0" w:color="auto"/>
            </w:tcBorders>
            <w:shd w:val="clear" w:color="auto" w:fill="FFFFFF"/>
            <w:vAlign w:val="center"/>
          </w:tcPr>
          <w:p w14:paraId="743B54C8" w14:textId="77777777" w:rsidR="00CA27E3" w:rsidRPr="00D83000" w:rsidRDefault="00CC5E75" w:rsidP="006001B9">
            <w:pPr>
              <w:pStyle w:val="a4"/>
              <w:shd w:val="clear" w:color="auto" w:fill="auto"/>
              <w:spacing w:after="120" w:line="240" w:lineRule="auto"/>
              <w:ind w:right="39" w:firstLine="0"/>
              <w:jc w:val="center"/>
              <w:rPr>
                <w:rFonts w:ascii="Sylfaen" w:hAnsi="Sylfaen" w:cs="Sylfaen"/>
                <w:sz w:val="20"/>
                <w:szCs w:val="20"/>
              </w:rPr>
            </w:pPr>
            <w:r>
              <w:rPr>
                <w:rFonts w:ascii="Sylfaen" w:hAnsi="Sylfaen"/>
                <w:sz w:val="20"/>
                <w:szCs w:val="20"/>
              </w:rPr>
              <w:t>Չափումների կատեգորիան (A-</w:t>
            </w:r>
            <w:r w:rsidR="00CA27E3" w:rsidRPr="00D83000">
              <w:rPr>
                <w:rFonts w:ascii="Sylfaen" w:hAnsi="Sylfaen"/>
                <w:sz w:val="20"/>
                <w:szCs w:val="20"/>
              </w:rPr>
              <w:t xml:space="preserve">D) </w:t>
            </w:r>
          </w:p>
        </w:tc>
        <w:tc>
          <w:tcPr>
            <w:tcW w:w="1560" w:type="dxa"/>
            <w:tcBorders>
              <w:top w:val="single" w:sz="4" w:space="0" w:color="auto"/>
              <w:left w:val="single" w:sz="4" w:space="0" w:color="auto"/>
            </w:tcBorders>
            <w:shd w:val="clear" w:color="auto" w:fill="FFFFFF"/>
            <w:vAlign w:val="center"/>
          </w:tcPr>
          <w:p w14:paraId="23307D3C" w14:textId="77777777" w:rsidR="00CA27E3" w:rsidRPr="00D83000" w:rsidRDefault="00CA27E3" w:rsidP="006001B9">
            <w:pPr>
              <w:pStyle w:val="a4"/>
              <w:shd w:val="clear" w:color="auto" w:fill="auto"/>
              <w:spacing w:after="120" w:line="240" w:lineRule="auto"/>
              <w:ind w:right="39" w:firstLine="0"/>
              <w:jc w:val="center"/>
              <w:rPr>
                <w:rFonts w:ascii="Sylfaen" w:hAnsi="Sylfaen" w:cs="Sylfaen"/>
                <w:sz w:val="20"/>
                <w:szCs w:val="20"/>
              </w:rPr>
            </w:pPr>
            <w:r w:rsidRPr="00D83000">
              <w:rPr>
                <w:rFonts w:ascii="Sylfaen" w:hAnsi="Sylfaen"/>
                <w:sz w:val="20"/>
                <w:szCs w:val="20"/>
              </w:rPr>
              <w:t>Ստատիկ կամ գումարային ՕԳԳ-ն</w:t>
            </w:r>
          </w:p>
        </w:tc>
        <w:tc>
          <w:tcPr>
            <w:tcW w:w="1699" w:type="dxa"/>
            <w:tcBorders>
              <w:top w:val="single" w:sz="4" w:space="0" w:color="auto"/>
              <w:left w:val="single" w:sz="4" w:space="0" w:color="auto"/>
            </w:tcBorders>
            <w:shd w:val="clear" w:color="auto" w:fill="FFFFFF"/>
            <w:vAlign w:val="center"/>
          </w:tcPr>
          <w:p w14:paraId="164134F3" w14:textId="77777777" w:rsidR="00CA27E3" w:rsidRPr="00D83000" w:rsidRDefault="00CA27E3" w:rsidP="006001B9">
            <w:pPr>
              <w:pStyle w:val="a4"/>
              <w:shd w:val="clear" w:color="auto" w:fill="auto"/>
              <w:spacing w:after="120" w:line="240" w:lineRule="auto"/>
              <w:ind w:right="39" w:firstLine="0"/>
              <w:jc w:val="center"/>
              <w:rPr>
                <w:rFonts w:ascii="Sylfaen" w:hAnsi="Sylfaen" w:cs="Sylfaen"/>
                <w:sz w:val="20"/>
                <w:szCs w:val="20"/>
              </w:rPr>
            </w:pPr>
            <w:r w:rsidRPr="00D83000">
              <w:rPr>
                <w:rFonts w:ascii="Sylfaen" w:hAnsi="Sylfaen"/>
                <w:sz w:val="20"/>
                <w:szCs w:val="20"/>
              </w:rPr>
              <w:t>Հզորությունների ընդգրկույթը (P), կՎտ</w:t>
            </w:r>
          </w:p>
        </w:tc>
        <w:tc>
          <w:tcPr>
            <w:tcW w:w="3130" w:type="dxa"/>
            <w:tcBorders>
              <w:top w:val="single" w:sz="4" w:space="0" w:color="auto"/>
              <w:left w:val="single" w:sz="4" w:space="0" w:color="auto"/>
              <w:right w:val="single" w:sz="4" w:space="0" w:color="auto"/>
            </w:tcBorders>
            <w:shd w:val="clear" w:color="auto" w:fill="FFFFFF"/>
            <w:vAlign w:val="center"/>
          </w:tcPr>
          <w:p w14:paraId="5E99130F" w14:textId="77777777" w:rsidR="00CA27E3" w:rsidRPr="00D83000" w:rsidRDefault="00CA27E3" w:rsidP="006001B9">
            <w:pPr>
              <w:pStyle w:val="a4"/>
              <w:shd w:val="clear" w:color="auto" w:fill="auto"/>
              <w:spacing w:after="120" w:line="240" w:lineRule="auto"/>
              <w:ind w:right="39" w:firstLine="0"/>
              <w:jc w:val="center"/>
              <w:rPr>
                <w:rFonts w:ascii="Sylfaen" w:hAnsi="Sylfaen" w:cs="Sylfaen"/>
                <w:sz w:val="20"/>
                <w:szCs w:val="20"/>
              </w:rPr>
            </w:pPr>
            <w:r w:rsidRPr="00D83000">
              <w:rPr>
                <w:rFonts w:ascii="Sylfaen" w:hAnsi="Sylfaen"/>
                <w:sz w:val="20"/>
                <w:szCs w:val="20"/>
              </w:rPr>
              <w:t>Հաշվարկային էներգետիկ արդյունավետությունը (η</w:t>
            </w:r>
            <w:r w:rsidRPr="00D83000">
              <w:rPr>
                <w:rFonts w:ascii="Sylfaen" w:hAnsi="Sylfaen"/>
                <w:sz w:val="20"/>
                <w:szCs w:val="20"/>
                <w:vertAlign w:val="subscript"/>
              </w:rPr>
              <w:t>հ.է.</w:t>
            </w:r>
            <w:r w:rsidRPr="00D83000">
              <w:rPr>
                <w:rFonts w:ascii="Sylfaen" w:hAnsi="Sylfaen"/>
                <w:sz w:val="20"/>
                <w:szCs w:val="20"/>
              </w:rPr>
              <w:t>)*</w:t>
            </w:r>
          </w:p>
        </w:tc>
      </w:tr>
      <w:tr w:rsidR="00CA27E3" w:rsidRPr="00D83000" w14:paraId="58ACEA79" w14:textId="77777777" w:rsidTr="00CC5E75">
        <w:tc>
          <w:tcPr>
            <w:tcW w:w="1985" w:type="dxa"/>
            <w:vMerge w:val="restart"/>
            <w:tcBorders>
              <w:top w:val="single" w:sz="4" w:space="0" w:color="auto"/>
              <w:left w:val="single" w:sz="4" w:space="0" w:color="auto"/>
            </w:tcBorders>
            <w:shd w:val="clear" w:color="auto" w:fill="FFFFFF"/>
            <w:vAlign w:val="center"/>
          </w:tcPr>
          <w:p w14:paraId="27CAF727"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Առանցքային օդափոխիչ</w:t>
            </w:r>
          </w:p>
        </w:tc>
        <w:tc>
          <w:tcPr>
            <w:tcW w:w="1414" w:type="dxa"/>
            <w:vMerge w:val="restart"/>
            <w:tcBorders>
              <w:top w:val="single" w:sz="4" w:space="0" w:color="auto"/>
              <w:left w:val="single" w:sz="4" w:space="0" w:color="auto"/>
            </w:tcBorders>
            <w:shd w:val="clear" w:color="auto" w:fill="FFFFFF"/>
            <w:vAlign w:val="center"/>
          </w:tcPr>
          <w:p w14:paraId="30786B36"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 C</w:t>
            </w:r>
          </w:p>
        </w:tc>
        <w:tc>
          <w:tcPr>
            <w:tcW w:w="1560" w:type="dxa"/>
            <w:vMerge w:val="restart"/>
            <w:tcBorders>
              <w:top w:val="single" w:sz="4" w:space="0" w:color="auto"/>
              <w:left w:val="single" w:sz="4" w:space="0" w:color="auto"/>
            </w:tcBorders>
            <w:shd w:val="clear" w:color="auto" w:fill="FFFFFF"/>
            <w:vAlign w:val="center"/>
          </w:tcPr>
          <w:p w14:paraId="16B5BA81"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ստատիկ</w:t>
            </w:r>
          </w:p>
        </w:tc>
        <w:tc>
          <w:tcPr>
            <w:tcW w:w="1699" w:type="dxa"/>
            <w:tcBorders>
              <w:top w:val="single" w:sz="4" w:space="0" w:color="auto"/>
              <w:left w:val="single" w:sz="4" w:space="0" w:color="auto"/>
            </w:tcBorders>
            <w:shd w:val="clear" w:color="auto" w:fill="FFFFFF"/>
            <w:vAlign w:val="center"/>
          </w:tcPr>
          <w:p w14:paraId="54C0B011"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7F2F67C5"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հ.է.</w:t>
            </w:r>
            <w:r w:rsidRPr="00D83000">
              <w:rPr>
                <w:rFonts w:ascii="Sylfaen" w:hAnsi="Sylfaen"/>
                <w:sz w:val="20"/>
                <w:szCs w:val="20"/>
              </w:rPr>
              <w:t>= 2,74 × lnP - 6,33 + N</w:t>
            </w:r>
          </w:p>
        </w:tc>
      </w:tr>
      <w:tr w:rsidR="00CA27E3" w:rsidRPr="00D83000" w14:paraId="4525DBB6" w14:textId="77777777" w:rsidTr="00CC5E75">
        <w:tc>
          <w:tcPr>
            <w:tcW w:w="1985" w:type="dxa"/>
            <w:vMerge/>
            <w:tcBorders>
              <w:left w:val="single" w:sz="4" w:space="0" w:color="auto"/>
            </w:tcBorders>
            <w:shd w:val="clear" w:color="auto" w:fill="FFFFFF"/>
            <w:vAlign w:val="center"/>
          </w:tcPr>
          <w:p w14:paraId="7CAC122C"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7042299A"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3542F075"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640F878D"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42D01E43"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0,78 × lnP - 1,88 + N</w:t>
            </w:r>
          </w:p>
        </w:tc>
      </w:tr>
      <w:tr w:rsidR="00CA27E3" w:rsidRPr="00D83000" w14:paraId="53A6CAE1" w14:textId="77777777" w:rsidTr="00CC5E75">
        <w:tc>
          <w:tcPr>
            <w:tcW w:w="1985" w:type="dxa"/>
            <w:vMerge/>
            <w:tcBorders>
              <w:left w:val="single" w:sz="4" w:space="0" w:color="auto"/>
            </w:tcBorders>
            <w:shd w:val="clear" w:color="auto" w:fill="FFFFFF"/>
            <w:vAlign w:val="center"/>
          </w:tcPr>
          <w:p w14:paraId="586ABA1F" w14:textId="77777777" w:rsidR="00CA27E3" w:rsidRPr="00D83000" w:rsidRDefault="00CA27E3" w:rsidP="00CC5E75">
            <w:pPr>
              <w:spacing w:after="120"/>
              <w:rPr>
                <w:rFonts w:ascii="Sylfaen" w:hAnsi="Sylfaen" w:cs="Sylfaen"/>
                <w:sz w:val="20"/>
                <w:szCs w:val="20"/>
              </w:rPr>
            </w:pPr>
          </w:p>
        </w:tc>
        <w:tc>
          <w:tcPr>
            <w:tcW w:w="1414" w:type="dxa"/>
            <w:vMerge w:val="restart"/>
            <w:tcBorders>
              <w:top w:val="single" w:sz="4" w:space="0" w:color="auto"/>
              <w:left w:val="single" w:sz="4" w:space="0" w:color="auto"/>
            </w:tcBorders>
            <w:shd w:val="clear" w:color="auto" w:fill="FFFFFF"/>
            <w:vAlign w:val="center"/>
          </w:tcPr>
          <w:p w14:paraId="11730B69"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B/D</w:t>
            </w:r>
          </w:p>
        </w:tc>
        <w:tc>
          <w:tcPr>
            <w:tcW w:w="1560" w:type="dxa"/>
            <w:vMerge w:val="restart"/>
            <w:tcBorders>
              <w:top w:val="single" w:sz="4" w:space="0" w:color="auto"/>
              <w:left w:val="single" w:sz="4" w:space="0" w:color="auto"/>
            </w:tcBorders>
            <w:shd w:val="clear" w:color="auto" w:fill="FFFFFF"/>
            <w:vAlign w:val="center"/>
          </w:tcPr>
          <w:p w14:paraId="05896DF3"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գումարային</w:t>
            </w:r>
          </w:p>
        </w:tc>
        <w:tc>
          <w:tcPr>
            <w:tcW w:w="1699" w:type="dxa"/>
            <w:tcBorders>
              <w:top w:val="single" w:sz="4" w:space="0" w:color="auto"/>
              <w:left w:val="single" w:sz="4" w:space="0" w:color="auto"/>
            </w:tcBorders>
            <w:shd w:val="clear" w:color="auto" w:fill="FFFFFF"/>
            <w:vAlign w:val="center"/>
          </w:tcPr>
          <w:p w14:paraId="044BBC9A"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688F11B2"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2,74 × lnP - 6,33 + N</w:t>
            </w:r>
          </w:p>
        </w:tc>
      </w:tr>
      <w:tr w:rsidR="00CA27E3" w:rsidRPr="00D83000" w14:paraId="58429008" w14:textId="77777777" w:rsidTr="00CC5E75">
        <w:tc>
          <w:tcPr>
            <w:tcW w:w="1985" w:type="dxa"/>
            <w:vMerge/>
            <w:tcBorders>
              <w:left w:val="single" w:sz="4" w:space="0" w:color="auto"/>
              <w:bottom w:val="single" w:sz="4" w:space="0" w:color="auto"/>
            </w:tcBorders>
            <w:shd w:val="clear" w:color="auto" w:fill="FFFFFF"/>
            <w:vAlign w:val="center"/>
          </w:tcPr>
          <w:p w14:paraId="40C20530"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bottom w:val="single" w:sz="4" w:space="0" w:color="auto"/>
            </w:tcBorders>
            <w:shd w:val="clear" w:color="auto" w:fill="FFFFFF"/>
            <w:vAlign w:val="center"/>
          </w:tcPr>
          <w:p w14:paraId="6E4DC80B"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bottom w:val="single" w:sz="4" w:space="0" w:color="auto"/>
            </w:tcBorders>
            <w:shd w:val="clear" w:color="auto" w:fill="FFFFFF"/>
            <w:vAlign w:val="center"/>
          </w:tcPr>
          <w:p w14:paraId="39004462"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bottom w:val="single" w:sz="4" w:space="0" w:color="auto"/>
            </w:tcBorders>
            <w:shd w:val="clear" w:color="auto" w:fill="FFFFFF"/>
            <w:vAlign w:val="center"/>
          </w:tcPr>
          <w:p w14:paraId="5A4C3D24"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center"/>
          </w:tcPr>
          <w:p w14:paraId="39D26A3E"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0,78 × lnP - 1,88 + N</w:t>
            </w:r>
          </w:p>
        </w:tc>
      </w:tr>
      <w:tr w:rsidR="00CA27E3" w:rsidRPr="00D83000" w14:paraId="35AA294D" w14:textId="77777777" w:rsidTr="00CC5E75">
        <w:tc>
          <w:tcPr>
            <w:tcW w:w="1985" w:type="dxa"/>
            <w:vMerge w:val="restart"/>
            <w:tcBorders>
              <w:top w:val="single" w:sz="4" w:space="0" w:color="auto"/>
              <w:left w:val="single" w:sz="4" w:space="0" w:color="auto"/>
            </w:tcBorders>
            <w:shd w:val="clear" w:color="auto" w:fill="FFFFFF"/>
            <w:vAlign w:val="center"/>
          </w:tcPr>
          <w:p w14:paraId="0C9C7600"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 xml:space="preserve">Շառավղային օդափոխիչ՝ առաջ ծալված թիակներով եւ ուղիղ շառավղային թիակներով  </w:t>
            </w:r>
          </w:p>
        </w:tc>
        <w:tc>
          <w:tcPr>
            <w:tcW w:w="1414" w:type="dxa"/>
            <w:vMerge w:val="restart"/>
            <w:tcBorders>
              <w:top w:val="single" w:sz="4" w:space="0" w:color="auto"/>
              <w:left w:val="single" w:sz="4" w:space="0" w:color="auto"/>
            </w:tcBorders>
            <w:shd w:val="clear" w:color="auto" w:fill="FFFFFF"/>
            <w:vAlign w:val="center"/>
          </w:tcPr>
          <w:p w14:paraId="69679179"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A, C</w:t>
            </w:r>
          </w:p>
        </w:tc>
        <w:tc>
          <w:tcPr>
            <w:tcW w:w="1560" w:type="dxa"/>
            <w:vMerge w:val="restart"/>
            <w:tcBorders>
              <w:top w:val="single" w:sz="4" w:space="0" w:color="auto"/>
              <w:left w:val="single" w:sz="4" w:space="0" w:color="auto"/>
            </w:tcBorders>
            <w:shd w:val="clear" w:color="auto" w:fill="FFFFFF"/>
            <w:vAlign w:val="center"/>
          </w:tcPr>
          <w:p w14:paraId="4544C6FE"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ստատիկ</w:t>
            </w:r>
          </w:p>
        </w:tc>
        <w:tc>
          <w:tcPr>
            <w:tcW w:w="1699" w:type="dxa"/>
            <w:tcBorders>
              <w:top w:val="single" w:sz="4" w:space="0" w:color="auto"/>
              <w:left w:val="single" w:sz="4" w:space="0" w:color="auto"/>
            </w:tcBorders>
            <w:shd w:val="clear" w:color="auto" w:fill="FFFFFF"/>
            <w:vAlign w:val="center"/>
          </w:tcPr>
          <w:p w14:paraId="7A92D7A9"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6E6862FB"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2,74 × lnP - 6,33 + N</w:t>
            </w:r>
          </w:p>
        </w:tc>
      </w:tr>
      <w:tr w:rsidR="00CA27E3" w:rsidRPr="00D83000" w14:paraId="460B06DB" w14:textId="77777777" w:rsidTr="00CC5E75">
        <w:tc>
          <w:tcPr>
            <w:tcW w:w="1985" w:type="dxa"/>
            <w:vMerge/>
            <w:tcBorders>
              <w:left w:val="single" w:sz="4" w:space="0" w:color="auto"/>
            </w:tcBorders>
            <w:shd w:val="clear" w:color="auto" w:fill="FFFFFF"/>
            <w:vAlign w:val="center"/>
          </w:tcPr>
          <w:p w14:paraId="5BFF3B06"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69883D07"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2A9A2C4E"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77A2825A"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306FA49E"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0,78 × lnP - 1,88 + N</w:t>
            </w:r>
          </w:p>
        </w:tc>
      </w:tr>
      <w:tr w:rsidR="00CA27E3" w:rsidRPr="00D83000" w14:paraId="05AF1758" w14:textId="77777777" w:rsidTr="00CC5E75">
        <w:tc>
          <w:tcPr>
            <w:tcW w:w="1985" w:type="dxa"/>
            <w:vMerge/>
            <w:tcBorders>
              <w:left w:val="single" w:sz="4" w:space="0" w:color="auto"/>
            </w:tcBorders>
            <w:shd w:val="clear" w:color="auto" w:fill="FFFFFF"/>
            <w:vAlign w:val="center"/>
          </w:tcPr>
          <w:p w14:paraId="3012E803" w14:textId="77777777" w:rsidR="00CA27E3" w:rsidRPr="00D83000" w:rsidRDefault="00CA27E3" w:rsidP="00CC5E75">
            <w:pPr>
              <w:spacing w:after="120"/>
              <w:rPr>
                <w:rFonts w:ascii="Sylfaen" w:hAnsi="Sylfaen" w:cs="Sylfaen"/>
                <w:sz w:val="20"/>
                <w:szCs w:val="20"/>
              </w:rPr>
            </w:pPr>
          </w:p>
        </w:tc>
        <w:tc>
          <w:tcPr>
            <w:tcW w:w="1414" w:type="dxa"/>
            <w:vMerge w:val="restart"/>
            <w:tcBorders>
              <w:top w:val="single" w:sz="4" w:space="0" w:color="auto"/>
              <w:left w:val="single" w:sz="4" w:space="0" w:color="auto"/>
            </w:tcBorders>
            <w:shd w:val="clear" w:color="auto" w:fill="FFFFFF"/>
            <w:vAlign w:val="center"/>
          </w:tcPr>
          <w:p w14:paraId="605B7682"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B, D</w:t>
            </w:r>
          </w:p>
        </w:tc>
        <w:tc>
          <w:tcPr>
            <w:tcW w:w="1560" w:type="dxa"/>
            <w:vMerge w:val="restart"/>
            <w:tcBorders>
              <w:top w:val="single" w:sz="4" w:space="0" w:color="auto"/>
              <w:left w:val="single" w:sz="4" w:space="0" w:color="auto"/>
            </w:tcBorders>
            <w:shd w:val="clear" w:color="auto" w:fill="FFFFFF"/>
            <w:vAlign w:val="center"/>
          </w:tcPr>
          <w:p w14:paraId="2FDE34A4"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գումարային</w:t>
            </w:r>
          </w:p>
        </w:tc>
        <w:tc>
          <w:tcPr>
            <w:tcW w:w="1699" w:type="dxa"/>
            <w:tcBorders>
              <w:top w:val="single" w:sz="4" w:space="0" w:color="auto"/>
              <w:left w:val="single" w:sz="4" w:space="0" w:color="auto"/>
            </w:tcBorders>
            <w:shd w:val="clear" w:color="auto" w:fill="FFFFFF"/>
            <w:vAlign w:val="center"/>
          </w:tcPr>
          <w:p w14:paraId="7A964221"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7173E1EC"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2,74 × lnP - 6,33 + N</w:t>
            </w:r>
          </w:p>
        </w:tc>
      </w:tr>
      <w:tr w:rsidR="00CA27E3" w:rsidRPr="00D83000" w14:paraId="7301E52C" w14:textId="77777777" w:rsidTr="00CC5E75">
        <w:tc>
          <w:tcPr>
            <w:tcW w:w="1985" w:type="dxa"/>
            <w:vMerge/>
            <w:tcBorders>
              <w:left w:val="single" w:sz="4" w:space="0" w:color="auto"/>
            </w:tcBorders>
            <w:shd w:val="clear" w:color="auto" w:fill="FFFFFF"/>
            <w:vAlign w:val="center"/>
          </w:tcPr>
          <w:p w14:paraId="291F4125"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2F12E86E"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036BA273"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5343CB20"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6AD4710D"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0,78 × lnP - 1,88 + N</w:t>
            </w:r>
          </w:p>
        </w:tc>
      </w:tr>
      <w:tr w:rsidR="00CA27E3" w:rsidRPr="00D83000" w14:paraId="4C96DC4D" w14:textId="77777777" w:rsidTr="00CC5E75">
        <w:tc>
          <w:tcPr>
            <w:tcW w:w="1985" w:type="dxa"/>
            <w:vMerge w:val="restart"/>
            <w:tcBorders>
              <w:top w:val="single" w:sz="4" w:space="0" w:color="auto"/>
              <w:left w:val="single" w:sz="4" w:space="0" w:color="auto"/>
            </w:tcBorders>
            <w:shd w:val="clear" w:color="auto" w:fill="FFFFFF"/>
            <w:vAlign w:val="center"/>
          </w:tcPr>
          <w:p w14:paraId="2AC1C717"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Շառավղային օդափոխիչ՝ հետ ծալված թիակներով առանց կորպուսի</w:t>
            </w:r>
          </w:p>
        </w:tc>
        <w:tc>
          <w:tcPr>
            <w:tcW w:w="1414" w:type="dxa"/>
            <w:vMerge w:val="restart"/>
            <w:tcBorders>
              <w:top w:val="single" w:sz="4" w:space="0" w:color="auto"/>
              <w:left w:val="single" w:sz="4" w:space="0" w:color="auto"/>
            </w:tcBorders>
            <w:shd w:val="clear" w:color="auto" w:fill="FFFFFF"/>
            <w:vAlign w:val="center"/>
          </w:tcPr>
          <w:p w14:paraId="66FF8BCE"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A, C</w:t>
            </w:r>
          </w:p>
        </w:tc>
        <w:tc>
          <w:tcPr>
            <w:tcW w:w="1560" w:type="dxa"/>
            <w:vMerge w:val="restart"/>
            <w:tcBorders>
              <w:top w:val="single" w:sz="4" w:space="0" w:color="auto"/>
              <w:left w:val="single" w:sz="4" w:space="0" w:color="auto"/>
            </w:tcBorders>
            <w:shd w:val="clear" w:color="auto" w:fill="FFFFFF"/>
            <w:vAlign w:val="center"/>
          </w:tcPr>
          <w:p w14:paraId="74A33E7E"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ստատիկ</w:t>
            </w:r>
          </w:p>
        </w:tc>
        <w:tc>
          <w:tcPr>
            <w:tcW w:w="1699" w:type="dxa"/>
            <w:tcBorders>
              <w:top w:val="single" w:sz="4" w:space="0" w:color="auto"/>
              <w:left w:val="single" w:sz="4" w:space="0" w:color="auto"/>
            </w:tcBorders>
            <w:shd w:val="clear" w:color="auto" w:fill="FFFFFF"/>
            <w:vAlign w:val="center"/>
          </w:tcPr>
          <w:p w14:paraId="35A14DC0"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0830A0D6"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4,56 × lnP - 10,5 + N</w:t>
            </w:r>
          </w:p>
        </w:tc>
      </w:tr>
      <w:tr w:rsidR="00CA27E3" w:rsidRPr="00D83000" w14:paraId="403F9856" w14:textId="77777777" w:rsidTr="00CC5E75">
        <w:tc>
          <w:tcPr>
            <w:tcW w:w="1985" w:type="dxa"/>
            <w:vMerge/>
            <w:tcBorders>
              <w:left w:val="single" w:sz="4" w:space="0" w:color="auto"/>
            </w:tcBorders>
            <w:shd w:val="clear" w:color="auto" w:fill="FFFFFF"/>
            <w:vAlign w:val="center"/>
          </w:tcPr>
          <w:p w14:paraId="528E5668"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3995A4DB"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3CE22D91"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4BFADC81"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71EA2FFB" w14:textId="77777777" w:rsidR="00CA27E3" w:rsidRPr="00D83000" w:rsidRDefault="00CA27E3" w:rsidP="00CC5E75">
            <w:pPr>
              <w:pStyle w:val="a4"/>
              <w:shd w:val="clear" w:color="auto" w:fill="auto"/>
              <w:spacing w:after="120" w:line="240" w:lineRule="auto"/>
              <w:ind w:firstLine="26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1,1 × lnP - 2,6 + N</w:t>
            </w:r>
          </w:p>
        </w:tc>
      </w:tr>
      <w:tr w:rsidR="00CA27E3" w:rsidRPr="00D83000" w14:paraId="74924638" w14:textId="77777777" w:rsidTr="00CC5E75">
        <w:tc>
          <w:tcPr>
            <w:tcW w:w="1985" w:type="dxa"/>
            <w:vMerge w:val="restart"/>
            <w:tcBorders>
              <w:top w:val="single" w:sz="4" w:space="0" w:color="auto"/>
              <w:left w:val="single" w:sz="4" w:space="0" w:color="auto"/>
            </w:tcBorders>
            <w:shd w:val="clear" w:color="auto" w:fill="FFFFFF"/>
            <w:vAlign w:val="center"/>
          </w:tcPr>
          <w:p w14:paraId="62C3E14C"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 xml:space="preserve">Շառավղային օդափոխիչ՝ հետ </w:t>
            </w:r>
            <w:r w:rsidRPr="00D83000">
              <w:rPr>
                <w:rFonts w:ascii="Sylfaen" w:hAnsi="Sylfaen"/>
                <w:sz w:val="20"/>
                <w:szCs w:val="20"/>
              </w:rPr>
              <w:lastRenderedPageBreak/>
              <w:t>ծալված թիակներով, կորպուսով</w:t>
            </w:r>
          </w:p>
        </w:tc>
        <w:tc>
          <w:tcPr>
            <w:tcW w:w="1414" w:type="dxa"/>
            <w:vMerge w:val="restart"/>
            <w:tcBorders>
              <w:top w:val="single" w:sz="4" w:space="0" w:color="auto"/>
              <w:left w:val="single" w:sz="4" w:space="0" w:color="auto"/>
            </w:tcBorders>
            <w:shd w:val="clear" w:color="auto" w:fill="FFFFFF"/>
            <w:vAlign w:val="center"/>
          </w:tcPr>
          <w:p w14:paraId="0FA71A72"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lastRenderedPageBreak/>
              <w:t>A, C</w:t>
            </w:r>
          </w:p>
        </w:tc>
        <w:tc>
          <w:tcPr>
            <w:tcW w:w="1560" w:type="dxa"/>
            <w:vMerge w:val="restart"/>
            <w:tcBorders>
              <w:top w:val="single" w:sz="4" w:space="0" w:color="auto"/>
              <w:left w:val="single" w:sz="4" w:space="0" w:color="auto"/>
            </w:tcBorders>
            <w:shd w:val="clear" w:color="auto" w:fill="FFFFFF"/>
            <w:vAlign w:val="center"/>
          </w:tcPr>
          <w:p w14:paraId="18AE483B"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ստատիկ</w:t>
            </w:r>
          </w:p>
        </w:tc>
        <w:tc>
          <w:tcPr>
            <w:tcW w:w="1699" w:type="dxa"/>
            <w:tcBorders>
              <w:top w:val="single" w:sz="4" w:space="0" w:color="auto"/>
              <w:left w:val="single" w:sz="4" w:space="0" w:color="auto"/>
            </w:tcBorders>
            <w:shd w:val="clear" w:color="auto" w:fill="FFFFFF"/>
            <w:vAlign w:val="center"/>
          </w:tcPr>
          <w:p w14:paraId="7115B77A"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692CBE6D"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4.56 × lnP - 10.5 + N</w:t>
            </w:r>
          </w:p>
        </w:tc>
      </w:tr>
      <w:tr w:rsidR="00CA27E3" w:rsidRPr="00D83000" w14:paraId="1C1F1186" w14:textId="77777777" w:rsidTr="00CC5E75">
        <w:tc>
          <w:tcPr>
            <w:tcW w:w="1985" w:type="dxa"/>
            <w:vMerge/>
            <w:tcBorders>
              <w:left w:val="single" w:sz="4" w:space="0" w:color="auto"/>
            </w:tcBorders>
            <w:shd w:val="clear" w:color="auto" w:fill="FFFFFF"/>
            <w:vAlign w:val="center"/>
          </w:tcPr>
          <w:p w14:paraId="2A9CBE64"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5A40D978"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04E3B3F4"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2E7B4593"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4A28D924"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1.1 × lnP - 2.6 + N</w:t>
            </w:r>
          </w:p>
        </w:tc>
      </w:tr>
      <w:tr w:rsidR="00CA27E3" w:rsidRPr="00D83000" w14:paraId="68D63574" w14:textId="77777777" w:rsidTr="00CC5E75">
        <w:tc>
          <w:tcPr>
            <w:tcW w:w="1985" w:type="dxa"/>
            <w:vMerge/>
            <w:tcBorders>
              <w:left w:val="single" w:sz="4" w:space="0" w:color="auto"/>
            </w:tcBorders>
            <w:shd w:val="clear" w:color="auto" w:fill="FFFFFF"/>
            <w:vAlign w:val="center"/>
          </w:tcPr>
          <w:p w14:paraId="6EEFF42E" w14:textId="77777777" w:rsidR="00CA27E3" w:rsidRPr="00D83000" w:rsidRDefault="00CA27E3" w:rsidP="00CC5E75">
            <w:pPr>
              <w:spacing w:after="120"/>
              <w:rPr>
                <w:rFonts w:ascii="Sylfaen" w:hAnsi="Sylfaen" w:cs="Sylfaen"/>
                <w:sz w:val="20"/>
                <w:szCs w:val="20"/>
              </w:rPr>
            </w:pPr>
          </w:p>
        </w:tc>
        <w:tc>
          <w:tcPr>
            <w:tcW w:w="1414" w:type="dxa"/>
            <w:vMerge w:val="restart"/>
            <w:tcBorders>
              <w:top w:val="single" w:sz="4" w:space="0" w:color="auto"/>
              <w:left w:val="single" w:sz="4" w:space="0" w:color="auto"/>
            </w:tcBorders>
            <w:shd w:val="clear" w:color="auto" w:fill="FFFFFF"/>
            <w:vAlign w:val="center"/>
          </w:tcPr>
          <w:p w14:paraId="067772E3"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B/D</w:t>
            </w:r>
          </w:p>
        </w:tc>
        <w:tc>
          <w:tcPr>
            <w:tcW w:w="1560" w:type="dxa"/>
            <w:vMerge w:val="restart"/>
            <w:tcBorders>
              <w:top w:val="single" w:sz="4" w:space="0" w:color="auto"/>
              <w:left w:val="single" w:sz="4" w:space="0" w:color="auto"/>
            </w:tcBorders>
            <w:shd w:val="clear" w:color="auto" w:fill="FFFFFF"/>
            <w:vAlign w:val="center"/>
          </w:tcPr>
          <w:p w14:paraId="2F7F30C7"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գումարային</w:t>
            </w:r>
          </w:p>
        </w:tc>
        <w:tc>
          <w:tcPr>
            <w:tcW w:w="1699" w:type="dxa"/>
            <w:tcBorders>
              <w:top w:val="single" w:sz="4" w:space="0" w:color="auto"/>
              <w:left w:val="single" w:sz="4" w:space="0" w:color="auto"/>
            </w:tcBorders>
            <w:shd w:val="clear" w:color="auto" w:fill="FFFFFF"/>
            <w:vAlign w:val="center"/>
          </w:tcPr>
          <w:p w14:paraId="3D7F129E"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4EFA0672"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4.56 × lnP - 10.5 + N</w:t>
            </w:r>
          </w:p>
        </w:tc>
      </w:tr>
      <w:tr w:rsidR="00CA27E3" w:rsidRPr="00D83000" w14:paraId="18BD6F3F" w14:textId="77777777" w:rsidTr="00CC5E75">
        <w:tc>
          <w:tcPr>
            <w:tcW w:w="1985" w:type="dxa"/>
            <w:vMerge/>
            <w:tcBorders>
              <w:left w:val="single" w:sz="4" w:space="0" w:color="auto"/>
            </w:tcBorders>
            <w:shd w:val="clear" w:color="auto" w:fill="FFFFFF"/>
            <w:vAlign w:val="center"/>
          </w:tcPr>
          <w:p w14:paraId="7CCD8E82"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74E11C97"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7B12C75C"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1A771407"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654810E8"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1.1 × lnP - 2.6 + N</w:t>
            </w:r>
          </w:p>
        </w:tc>
      </w:tr>
      <w:tr w:rsidR="00CA27E3" w:rsidRPr="00D83000" w14:paraId="201E3B98" w14:textId="77777777" w:rsidTr="00CC5E75">
        <w:tc>
          <w:tcPr>
            <w:tcW w:w="1985" w:type="dxa"/>
            <w:vMerge w:val="restart"/>
            <w:tcBorders>
              <w:top w:val="single" w:sz="4" w:space="0" w:color="auto"/>
              <w:left w:val="single" w:sz="4" w:space="0" w:color="auto"/>
            </w:tcBorders>
            <w:shd w:val="clear" w:color="auto" w:fill="FFFFFF"/>
            <w:vAlign w:val="center"/>
          </w:tcPr>
          <w:p w14:paraId="36618AFF"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Անկյունագծային օդափոխիչ</w:t>
            </w:r>
          </w:p>
        </w:tc>
        <w:tc>
          <w:tcPr>
            <w:tcW w:w="1414" w:type="dxa"/>
            <w:vMerge w:val="restart"/>
            <w:tcBorders>
              <w:top w:val="single" w:sz="4" w:space="0" w:color="auto"/>
              <w:left w:val="single" w:sz="4" w:space="0" w:color="auto"/>
            </w:tcBorders>
            <w:shd w:val="clear" w:color="auto" w:fill="FFFFFF"/>
            <w:vAlign w:val="center"/>
          </w:tcPr>
          <w:p w14:paraId="571E1A93"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A, C</w:t>
            </w:r>
          </w:p>
        </w:tc>
        <w:tc>
          <w:tcPr>
            <w:tcW w:w="1560" w:type="dxa"/>
            <w:vMerge w:val="restart"/>
            <w:tcBorders>
              <w:top w:val="single" w:sz="4" w:space="0" w:color="auto"/>
              <w:left w:val="single" w:sz="4" w:space="0" w:color="auto"/>
            </w:tcBorders>
            <w:shd w:val="clear" w:color="auto" w:fill="FFFFFF"/>
            <w:vAlign w:val="center"/>
          </w:tcPr>
          <w:p w14:paraId="38EE4D3F"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ստատիկ</w:t>
            </w:r>
          </w:p>
        </w:tc>
        <w:tc>
          <w:tcPr>
            <w:tcW w:w="1699" w:type="dxa"/>
            <w:tcBorders>
              <w:top w:val="single" w:sz="4" w:space="0" w:color="auto"/>
              <w:left w:val="single" w:sz="4" w:space="0" w:color="auto"/>
            </w:tcBorders>
            <w:shd w:val="clear" w:color="auto" w:fill="FFFFFF"/>
            <w:vAlign w:val="center"/>
          </w:tcPr>
          <w:p w14:paraId="29164D8B"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57A9974D"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xml:space="preserve"> = 4.56 × lnP - 10.5 + N</w:t>
            </w:r>
          </w:p>
        </w:tc>
      </w:tr>
      <w:tr w:rsidR="00CA27E3" w:rsidRPr="00D83000" w14:paraId="1763E3EB" w14:textId="77777777" w:rsidTr="00CC5E75">
        <w:tc>
          <w:tcPr>
            <w:tcW w:w="1985" w:type="dxa"/>
            <w:vMerge/>
            <w:tcBorders>
              <w:left w:val="single" w:sz="4" w:space="0" w:color="auto"/>
            </w:tcBorders>
            <w:shd w:val="clear" w:color="auto" w:fill="FFFFFF"/>
            <w:vAlign w:val="center"/>
          </w:tcPr>
          <w:p w14:paraId="42E0E8CC"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494FA4E3"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0F757CF2"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294719A5"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27AF9E98" w14:textId="77777777" w:rsidR="00CA27E3" w:rsidRPr="00D83000" w:rsidRDefault="00CA27E3" w:rsidP="00CC5E75">
            <w:pPr>
              <w:pStyle w:val="a4"/>
              <w:shd w:val="clear" w:color="auto" w:fill="auto"/>
              <w:spacing w:after="120" w:line="240" w:lineRule="auto"/>
              <w:ind w:firstLine="26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1.1 × lnP - 2.6 + N</w:t>
            </w:r>
          </w:p>
        </w:tc>
      </w:tr>
      <w:tr w:rsidR="00CA27E3" w:rsidRPr="00D83000" w14:paraId="5C20A003" w14:textId="77777777" w:rsidTr="00CC5E75">
        <w:tc>
          <w:tcPr>
            <w:tcW w:w="1985" w:type="dxa"/>
            <w:vMerge/>
            <w:tcBorders>
              <w:left w:val="single" w:sz="4" w:space="0" w:color="auto"/>
            </w:tcBorders>
            <w:shd w:val="clear" w:color="auto" w:fill="FFFFFF"/>
            <w:vAlign w:val="center"/>
          </w:tcPr>
          <w:p w14:paraId="6E2B78C6" w14:textId="77777777" w:rsidR="00CA27E3" w:rsidRPr="00D83000" w:rsidRDefault="00CA27E3" w:rsidP="00CC5E75">
            <w:pPr>
              <w:spacing w:after="120"/>
              <w:rPr>
                <w:rFonts w:ascii="Sylfaen" w:hAnsi="Sylfaen" w:cs="Sylfaen"/>
                <w:sz w:val="20"/>
                <w:szCs w:val="20"/>
              </w:rPr>
            </w:pPr>
          </w:p>
        </w:tc>
        <w:tc>
          <w:tcPr>
            <w:tcW w:w="1414" w:type="dxa"/>
            <w:vMerge w:val="restart"/>
            <w:tcBorders>
              <w:top w:val="single" w:sz="4" w:space="0" w:color="auto"/>
              <w:left w:val="single" w:sz="4" w:space="0" w:color="auto"/>
            </w:tcBorders>
            <w:shd w:val="clear" w:color="auto" w:fill="FFFFFF"/>
            <w:vAlign w:val="center"/>
          </w:tcPr>
          <w:p w14:paraId="14C52BEF"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B, D</w:t>
            </w:r>
          </w:p>
        </w:tc>
        <w:tc>
          <w:tcPr>
            <w:tcW w:w="1560" w:type="dxa"/>
            <w:vMerge w:val="restart"/>
            <w:tcBorders>
              <w:top w:val="single" w:sz="4" w:space="0" w:color="auto"/>
              <w:left w:val="single" w:sz="4" w:space="0" w:color="auto"/>
            </w:tcBorders>
            <w:shd w:val="clear" w:color="auto" w:fill="FFFFFF"/>
            <w:vAlign w:val="center"/>
          </w:tcPr>
          <w:p w14:paraId="6B3327CB"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գումարային</w:t>
            </w:r>
          </w:p>
        </w:tc>
        <w:tc>
          <w:tcPr>
            <w:tcW w:w="1699" w:type="dxa"/>
            <w:tcBorders>
              <w:top w:val="single" w:sz="4" w:space="0" w:color="auto"/>
              <w:left w:val="single" w:sz="4" w:space="0" w:color="auto"/>
            </w:tcBorders>
            <w:shd w:val="clear" w:color="auto" w:fill="FFFFFF"/>
            <w:vAlign w:val="center"/>
          </w:tcPr>
          <w:p w14:paraId="248A8AE3"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71FEEEEB"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4.56 × lnP - 10.5 + N</w:t>
            </w:r>
          </w:p>
        </w:tc>
      </w:tr>
      <w:tr w:rsidR="00CA27E3" w:rsidRPr="00D83000" w14:paraId="148B1576" w14:textId="77777777" w:rsidTr="00CC5E75">
        <w:tc>
          <w:tcPr>
            <w:tcW w:w="1985" w:type="dxa"/>
            <w:vMerge/>
            <w:tcBorders>
              <w:left w:val="single" w:sz="4" w:space="0" w:color="auto"/>
            </w:tcBorders>
            <w:shd w:val="clear" w:color="auto" w:fill="FFFFFF"/>
            <w:vAlign w:val="center"/>
          </w:tcPr>
          <w:p w14:paraId="6AA769A1" w14:textId="77777777" w:rsidR="00CA27E3" w:rsidRPr="00D83000" w:rsidRDefault="00CA27E3" w:rsidP="00CC5E75">
            <w:pPr>
              <w:spacing w:after="120"/>
              <w:rPr>
                <w:rFonts w:ascii="Sylfaen" w:hAnsi="Sylfaen" w:cs="Sylfaen"/>
                <w:sz w:val="20"/>
                <w:szCs w:val="20"/>
              </w:rPr>
            </w:pPr>
          </w:p>
        </w:tc>
        <w:tc>
          <w:tcPr>
            <w:tcW w:w="1414" w:type="dxa"/>
            <w:vMerge/>
            <w:tcBorders>
              <w:left w:val="single" w:sz="4" w:space="0" w:color="auto"/>
            </w:tcBorders>
            <w:shd w:val="clear" w:color="auto" w:fill="FFFFFF"/>
            <w:vAlign w:val="center"/>
          </w:tcPr>
          <w:p w14:paraId="338C3DD3" w14:textId="77777777" w:rsidR="00CA27E3" w:rsidRPr="00D83000" w:rsidRDefault="00CA27E3" w:rsidP="00CC5E75">
            <w:pPr>
              <w:spacing w:after="120"/>
              <w:jc w:val="center"/>
              <w:rPr>
                <w:rFonts w:ascii="Sylfaen" w:hAnsi="Sylfaen" w:cs="Sylfaen"/>
                <w:sz w:val="20"/>
                <w:szCs w:val="20"/>
              </w:rPr>
            </w:pPr>
          </w:p>
        </w:tc>
        <w:tc>
          <w:tcPr>
            <w:tcW w:w="1560" w:type="dxa"/>
            <w:vMerge/>
            <w:tcBorders>
              <w:left w:val="single" w:sz="4" w:space="0" w:color="auto"/>
            </w:tcBorders>
            <w:shd w:val="clear" w:color="auto" w:fill="FFFFFF"/>
            <w:vAlign w:val="center"/>
          </w:tcPr>
          <w:p w14:paraId="262C968E" w14:textId="77777777" w:rsidR="00CA27E3" w:rsidRPr="00D83000" w:rsidRDefault="00CA27E3" w:rsidP="00CC5E75">
            <w:pPr>
              <w:spacing w:after="120"/>
              <w:jc w:val="center"/>
              <w:rPr>
                <w:rFonts w:ascii="Sylfaen" w:hAnsi="Sylfaen" w:cs="Sylfaen"/>
                <w:sz w:val="20"/>
                <w:szCs w:val="20"/>
              </w:rPr>
            </w:pPr>
          </w:p>
        </w:tc>
        <w:tc>
          <w:tcPr>
            <w:tcW w:w="1699" w:type="dxa"/>
            <w:tcBorders>
              <w:top w:val="single" w:sz="4" w:space="0" w:color="auto"/>
              <w:left w:val="single" w:sz="4" w:space="0" w:color="auto"/>
            </w:tcBorders>
            <w:shd w:val="clear" w:color="auto" w:fill="FFFFFF"/>
            <w:vAlign w:val="center"/>
          </w:tcPr>
          <w:p w14:paraId="17988354" w14:textId="77777777" w:rsidR="00CA27E3" w:rsidRPr="00D83000" w:rsidRDefault="00CA27E3" w:rsidP="00CC5E75">
            <w:pPr>
              <w:pStyle w:val="a4"/>
              <w:shd w:val="clear" w:color="auto" w:fill="auto"/>
              <w:spacing w:after="120" w:line="240" w:lineRule="auto"/>
              <w:ind w:firstLine="240"/>
              <w:jc w:val="center"/>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right w:val="single" w:sz="4" w:space="0" w:color="auto"/>
            </w:tcBorders>
            <w:shd w:val="clear" w:color="auto" w:fill="FFFFFF"/>
            <w:vAlign w:val="center"/>
          </w:tcPr>
          <w:p w14:paraId="50F2FAC4"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1.1 × lnP - 2.6 + N</w:t>
            </w:r>
          </w:p>
        </w:tc>
      </w:tr>
      <w:tr w:rsidR="00CA27E3" w:rsidRPr="00D83000" w14:paraId="69A1CBAE" w14:textId="77777777" w:rsidTr="00CC5E75">
        <w:tc>
          <w:tcPr>
            <w:tcW w:w="1985" w:type="dxa"/>
            <w:vMerge w:val="restart"/>
            <w:tcBorders>
              <w:top w:val="single" w:sz="4" w:space="0" w:color="auto"/>
              <w:left w:val="single" w:sz="4" w:space="0" w:color="auto"/>
            </w:tcBorders>
            <w:shd w:val="clear" w:color="auto" w:fill="FFFFFF"/>
            <w:vAlign w:val="center"/>
          </w:tcPr>
          <w:p w14:paraId="36C304B1"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Տրամագծային օդափոխիչ</w:t>
            </w:r>
          </w:p>
        </w:tc>
        <w:tc>
          <w:tcPr>
            <w:tcW w:w="1414" w:type="dxa"/>
            <w:vMerge w:val="restart"/>
            <w:tcBorders>
              <w:top w:val="single" w:sz="4" w:space="0" w:color="auto"/>
              <w:left w:val="single" w:sz="4" w:space="0" w:color="auto"/>
            </w:tcBorders>
            <w:shd w:val="clear" w:color="auto" w:fill="FFFFFF"/>
            <w:vAlign w:val="center"/>
          </w:tcPr>
          <w:p w14:paraId="7297D64F" w14:textId="77777777" w:rsidR="00CA27E3" w:rsidRPr="00D83000" w:rsidRDefault="00CA27E3" w:rsidP="00CC5E75">
            <w:pPr>
              <w:pStyle w:val="a4"/>
              <w:shd w:val="clear" w:color="auto" w:fill="auto"/>
              <w:spacing w:after="120" w:line="240" w:lineRule="auto"/>
              <w:jc w:val="center"/>
              <w:rPr>
                <w:rFonts w:ascii="Sylfaen" w:hAnsi="Sylfaen" w:cs="Sylfaen"/>
                <w:sz w:val="20"/>
                <w:szCs w:val="20"/>
              </w:rPr>
            </w:pPr>
            <w:r w:rsidRPr="00D83000">
              <w:rPr>
                <w:rFonts w:ascii="Sylfaen" w:hAnsi="Sylfaen"/>
                <w:sz w:val="20"/>
                <w:szCs w:val="20"/>
              </w:rPr>
              <w:t>B, D</w:t>
            </w:r>
          </w:p>
        </w:tc>
        <w:tc>
          <w:tcPr>
            <w:tcW w:w="1560" w:type="dxa"/>
            <w:vMerge w:val="restart"/>
            <w:tcBorders>
              <w:top w:val="single" w:sz="4" w:space="0" w:color="auto"/>
              <w:left w:val="single" w:sz="4" w:space="0" w:color="auto"/>
            </w:tcBorders>
            <w:shd w:val="clear" w:color="auto" w:fill="FFFFFF"/>
            <w:vAlign w:val="center"/>
          </w:tcPr>
          <w:p w14:paraId="46059700" w14:textId="77777777" w:rsidR="00CA27E3" w:rsidRPr="00D83000" w:rsidRDefault="00CA27E3" w:rsidP="00CC5E75">
            <w:pPr>
              <w:pStyle w:val="a4"/>
              <w:shd w:val="clear" w:color="auto" w:fill="auto"/>
              <w:spacing w:after="120" w:line="240" w:lineRule="auto"/>
              <w:ind w:firstLine="200"/>
              <w:jc w:val="center"/>
              <w:rPr>
                <w:rFonts w:ascii="Sylfaen" w:hAnsi="Sylfaen" w:cs="Sylfaen"/>
                <w:sz w:val="20"/>
                <w:szCs w:val="20"/>
              </w:rPr>
            </w:pPr>
            <w:r w:rsidRPr="00D83000">
              <w:rPr>
                <w:rFonts w:ascii="Sylfaen" w:hAnsi="Sylfaen"/>
                <w:sz w:val="20"/>
                <w:szCs w:val="20"/>
              </w:rPr>
              <w:t>գումարային</w:t>
            </w:r>
          </w:p>
        </w:tc>
        <w:tc>
          <w:tcPr>
            <w:tcW w:w="1699" w:type="dxa"/>
            <w:tcBorders>
              <w:top w:val="single" w:sz="4" w:space="0" w:color="auto"/>
              <w:left w:val="single" w:sz="4" w:space="0" w:color="auto"/>
            </w:tcBorders>
            <w:shd w:val="clear" w:color="auto" w:fill="FFFFFF"/>
            <w:vAlign w:val="center"/>
          </w:tcPr>
          <w:p w14:paraId="5F7EB00B"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0.125 ≤ P ≤ 10</w:t>
            </w:r>
          </w:p>
        </w:tc>
        <w:tc>
          <w:tcPr>
            <w:tcW w:w="3130" w:type="dxa"/>
            <w:tcBorders>
              <w:top w:val="single" w:sz="4" w:space="0" w:color="auto"/>
              <w:left w:val="single" w:sz="4" w:space="0" w:color="auto"/>
              <w:right w:val="single" w:sz="4" w:space="0" w:color="auto"/>
            </w:tcBorders>
            <w:shd w:val="clear" w:color="auto" w:fill="FFFFFF"/>
            <w:vAlign w:val="center"/>
          </w:tcPr>
          <w:p w14:paraId="1A34760F"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1.14 × lnP - 2.6 + N</w:t>
            </w:r>
          </w:p>
        </w:tc>
      </w:tr>
      <w:tr w:rsidR="00CA27E3" w:rsidRPr="00D83000" w14:paraId="3921C4DB" w14:textId="77777777" w:rsidTr="00CC5E75">
        <w:tc>
          <w:tcPr>
            <w:tcW w:w="1985" w:type="dxa"/>
            <w:vMerge/>
            <w:tcBorders>
              <w:left w:val="single" w:sz="4" w:space="0" w:color="auto"/>
              <w:bottom w:val="single" w:sz="4" w:space="0" w:color="auto"/>
            </w:tcBorders>
            <w:shd w:val="clear" w:color="auto" w:fill="FFFFFF"/>
          </w:tcPr>
          <w:p w14:paraId="7F0FAED2" w14:textId="77777777" w:rsidR="00CA27E3" w:rsidRPr="00D83000" w:rsidRDefault="00CA27E3" w:rsidP="00D83000">
            <w:pPr>
              <w:spacing w:after="120"/>
              <w:rPr>
                <w:rFonts w:ascii="Sylfaen" w:hAnsi="Sylfaen" w:cs="Sylfaen"/>
                <w:sz w:val="20"/>
                <w:szCs w:val="20"/>
              </w:rPr>
            </w:pPr>
          </w:p>
        </w:tc>
        <w:tc>
          <w:tcPr>
            <w:tcW w:w="1414" w:type="dxa"/>
            <w:vMerge/>
            <w:tcBorders>
              <w:left w:val="single" w:sz="4" w:space="0" w:color="auto"/>
              <w:bottom w:val="single" w:sz="4" w:space="0" w:color="auto"/>
            </w:tcBorders>
            <w:shd w:val="clear" w:color="auto" w:fill="FFFFFF"/>
          </w:tcPr>
          <w:p w14:paraId="17B29B9D" w14:textId="77777777" w:rsidR="00CA27E3" w:rsidRPr="00D83000" w:rsidRDefault="00CA27E3" w:rsidP="00D83000">
            <w:pPr>
              <w:spacing w:after="120"/>
              <w:rPr>
                <w:rFonts w:ascii="Sylfaen" w:hAnsi="Sylfaen" w:cs="Sylfaen"/>
                <w:sz w:val="20"/>
                <w:szCs w:val="20"/>
              </w:rPr>
            </w:pPr>
          </w:p>
        </w:tc>
        <w:tc>
          <w:tcPr>
            <w:tcW w:w="1560" w:type="dxa"/>
            <w:vMerge/>
            <w:tcBorders>
              <w:left w:val="single" w:sz="4" w:space="0" w:color="auto"/>
              <w:bottom w:val="single" w:sz="4" w:space="0" w:color="auto"/>
            </w:tcBorders>
            <w:shd w:val="clear" w:color="auto" w:fill="FFFFFF"/>
          </w:tcPr>
          <w:p w14:paraId="3A088A1C" w14:textId="77777777" w:rsidR="00CA27E3" w:rsidRPr="00D83000" w:rsidRDefault="00CA27E3" w:rsidP="00D83000">
            <w:pPr>
              <w:spacing w:after="120"/>
              <w:rPr>
                <w:rFonts w:ascii="Sylfaen" w:hAnsi="Sylfaen" w:cs="Sylfaen"/>
                <w:sz w:val="20"/>
                <w:szCs w:val="20"/>
              </w:rPr>
            </w:pPr>
          </w:p>
        </w:tc>
        <w:tc>
          <w:tcPr>
            <w:tcW w:w="1699" w:type="dxa"/>
            <w:tcBorders>
              <w:top w:val="single" w:sz="4" w:space="0" w:color="auto"/>
              <w:left w:val="single" w:sz="4" w:space="0" w:color="auto"/>
              <w:bottom w:val="single" w:sz="4" w:space="0" w:color="auto"/>
            </w:tcBorders>
            <w:shd w:val="clear" w:color="auto" w:fill="FFFFFF"/>
          </w:tcPr>
          <w:p w14:paraId="74A73739" w14:textId="77777777" w:rsidR="00CA27E3" w:rsidRPr="00D83000" w:rsidRDefault="00CA27E3" w:rsidP="00D83000">
            <w:pPr>
              <w:pStyle w:val="a4"/>
              <w:shd w:val="clear" w:color="auto" w:fill="auto"/>
              <w:spacing w:after="120" w:line="240" w:lineRule="auto"/>
              <w:ind w:firstLine="240"/>
              <w:jc w:val="both"/>
              <w:rPr>
                <w:rFonts w:ascii="Sylfaen" w:hAnsi="Sylfaen" w:cs="Sylfaen"/>
                <w:sz w:val="20"/>
                <w:szCs w:val="20"/>
              </w:rPr>
            </w:pPr>
            <w:r w:rsidRPr="00D83000">
              <w:rPr>
                <w:rFonts w:ascii="Sylfaen" w:hAnsi="Sylfaen"/>
                <w:sz w:val="20"/>
                <w:szCs w:val="20"/>
              </w:rPr>
              <w:t>10 &lt; P ≤ 500</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4DFE8AD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 xml:space="preserve"> հ.է.</w:t>
            </w:r>
            <w:r w:rsidRPr="00D83000">
              <w:rPr>
                <w:rFonts w:ascii="Sylfaen" w:hAnsi="Sylfaen"/>
                <w:sz w:val="20"/>
                <w:szCs w:val="20"/>
              </w:rPr>
              <w:t>= N</w:t>
            </w:r>
          </w:p>
        </w:tc>
      </w:tr>
    </w:tbl>
    <w:p w14:paraId="5F89E278" w14:textId="77777777" w:rsidR="00CA27E3" w:rsidRPr="00CC5E75" w:rsidRDefault="00CA27E3" w:rsidP="00D303C2">
      <w:pPr>
        <w:pStyle w:val="a0"/>
        <w:shd w:val="clear" w:color="auto" w:fill="auto"/>
        <w:spacing w:after="160"/>
        <w:ind w:firstLine="0"/>
        <w:jc w:val="both"/>
        <w:rPr>
          <w:rFonts w:ascii="Sylfaen" w:hAnsi="Sylfaen"/>
          <w:sz w:val="20"/>
          <w:szCs w:val="20"/>
        </w:rPr>
      </w:pPr>
      <w:r w:rsidRPr="00CC5E75">
        <w:rPr>
          <w:rFonts w:ascii="Sylfaen" w:hAnsi="Sylfaen"/>
          <w:sz w:val="20"/>
          <w:szCs w:val="20"/>
        </w:rPr>
        <w:t xml:space="preserve">* Արդյունավետության մակարդակի արժեքները (N) բերված են 2-րդ աղյուսակում։ </w:t>
      </w:r>
    </w:p>
    <w:p w14:paraId="47C1F86D"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77643779"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2</w:t>
      </w:r>
    </w:p>
    <w:p w14:paraId="5AB120E8"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Օդափոխիչների արդյունավետության մակարդակը (N)</w:t>
      </w:r>
    </w:p>
    <w:tbl>
      <w:tblPr>
        <w:tblOverlap w:val="never"/>
        <w:tblW w:w="9719" w:type="dxa"/>
        <w:jc w:val="center"/>
        <w:tblLayout w:type="fixed"/>
        <w:tblCellMar>
          <w:left w:w="10" w:type="dxa"/>
          <w:right w:w="10" w:type="dxa"/>
        </w:tblCellMar>
        <w:tblLook w:val="0020" w:firstRow="1" w:lastRow="0" w:firstColumn="0" w:lastColumn="0" w:noHBand="0" w:noVBand="0"/>
      </w:tblPr>
      <w:tblGrid>
        <w:gridCol w:w="2876"/>
        <w:gridCol w:w="2126"/>
        <w:gridCol w:w="2126"/>
        <w:gridCol w:w="2591"/>
      </w:tblGrid>
      <w:tr w:rsidR="00CA27E3" w:rsidRPr="00D83000" w14:paraId="4DFEFCD3" w14:textId="77777777" w:rsidTr="00CC5E75">
        <w:trPr>
          <w:tblHeader/>
          <w:jc w:val="center"/>
        </w:trPr>
        <w:tc>
          <w:tcPr>
            <w:tcW w:w="2876" w:type="dxa"/>
            <w:vMerge w:val="restart"/>
            <w:tcBorders>
              <w:top w:val="single" w:sz="4" w:space="0" w:color="auto"/>
              <w:left w:val="single" w:sz="4" w:space="0" w:color="auto"/>
            </w:tcBorders>
            <w:shd w:val="clear" w:color="auto" w:fill="FFFFFF"/>
            <w:vAlign w:val="center"/>
          </w:tcPr>
          <w:p w14:paraId="5848392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Օդափոխիչի տիպը</w:t>
            </w:r>
          </w:p>
        </w:tc>
        <w:tc>
          <w:tcPr>
            <w:tcW w:w="2126" w:type="dxa"/>
            <w:vMerge w:val="restart"/>
            <w:tcBorders>
              <w:top w:val="single" w:sz="4" w:space="0" w:color="auto"/>
              <w:left w:val="single" w:sz="4" w:space="0" w:color="auto"/>
            </w:tcBorders>
            <w:shd w:val="clear" w:color="auto" w:fill="FFFFFF"/>
            <w:vAlign w:val="center"/>
          </w:tcPr>
          <w:p w14:paraId="65C6457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Չափումների կատեգորիան (A - D)</w:t>
            </w:r>
          </w:p>
        </w:tc>
        <w:tc>
          <w:tcPr>
            <w:tcW w:w="4717" w:type="dxa"/>
            <w:gridSpan w:val="2"/>
            <w:tcBorders>
              <w:top w:val="single" w:sz="4" w:space="0" w:color="auto"/>
              <w:left w:val="single" w:sz="4" w:space="0" w:color="auto"/>
              <w:right w:val="single" w:sz="4" w:space="0" w:color="auto"/>
            </w:tcBorders>
            <w:shd w:val="clear" w:color="auto" w:fill="FFFFFF"/>
            <w:vAlign w:val="center"/>
          </w:tcPr>
          <w:p w14:paraId="0263E96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Արդյունավետության մակարդակը (N)</w:t>
            </w:r>
          </w:p>
        </w:tc>
      </w:tr>
      <w:tr w:rsidR="00CA27E3" w:rsidRPr="00D83000" w14:paraId="6E3BED83" w14:textId="77777777" w:rsidTr="00CC5E75">
        <w:trPr>
          <w:tblHeader/>
          <w:jc w:val="center"/>
        </w:trPr>
        <w:tc>
          <w:tcPr>
            <w:tcW w:w="2876" w:type="dxa"/>
            <w:vMerge/>
            <w:tcBorders>
              <w:left w:val="single" w:sz="4" w:space="0" w:color="auto"/>
            </w:tcBorders>
            <w:shd w:val="clear" w:color="auto" w:fill="FFFFFF"/>
            <w:vAlign w:val="center"/>
          </w:tcPr>
          <w:p w14:paraId="4A35F8A8" w14:textId="77777777" w:rsidR="00CA27E3" w:rsidRPr="00D83000" w:rsidRDefault="00CA27E3" w:rsidP="00D83000">
            <w:pPr>
              <w:spacing w:after="120"/>
              <w:jc w:val="center"/>
              <w:rPr>
                <w:rFonts w:ascii="Sylfaen" w:hAnsi="Sylfaen" w:cs="Sylfaen"/>
                <w:sz w:val="20"/>
                <w:szCs w:val="20"/>
              </w:rPr>
            </w:pPr>
          </w:p>
        </w:tc>
        <w:tc>
          <w:tcPr>
            <w:tcW w:w="2126" w:type="dxa"/>
            <w:vMerge/>
            <w:tcBorders>
              <w:left w:val="single" w:sz="4" w:space="0" w:color="auto"/>
            </w:tcBorders>
            <w:shd w:val="clear" w:color="auto" w:fill="FFFFFF"/>
            <w:vAlign w:val="center"/>
          </w:tcPr>
          <w:p w14:paraId="139112E3" w14:textId="77777777" w:rsidR="00CA27E3" w:rsidRPr="00D83000" w:rsidRDefault="00CA27E3" w:rsidP="00D83000">
            <w:pPr>
              <w:spacing w:after="120"/>
              <w:jc w:val="center"/>
              <w:rPr>
                <w:rFonts w:ascii="Sylfaen" w:hAnsi="Sylfaen" w:cs="Sylfaen"/>
                <w:sz w:val="20"/>
                <w:szCs w:val="20"/>
              </w:rPr>
            </w:pPr>
          </w:p>
        </w:tc>
        <w:tc>
          <w:tcPr>
            <w:tcW w:w="2126" w:type="dxa"/>
            <w:tcBorders>
              <w:top w:val="single" w:sz="4" w:space="0" w:color="auto"/>
              <w:left w:val="single" w:sz="4" w:space="0" w:color="auto"/>
            </w:tcBorders>
            <w:shd w:val="clear" w:color="auto" w:fill="FFFFFF"/>
            <w:vAlign w:val="center"/>
          </w:tcPr>
          <w:p w14:paraId="3F8E376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2020 թվականի սեպտեմբերի 1-ից</w:t>
            </w:r>
          </w:p>
        </w:tc>
        <w:tc>
          <w:tcPr>
            <w:tcW w:w="2591" w:type="dxa"/>
            <w:tcBorders>
              <w:top w:val="single" w:sz="4" w:space="0" w:color="auto"/>
              <w:left w:val="single" w:sz="4" w:space="0" w:color="auto"/>
              <w:right w:val="single" w:sz="4" w:space="0" w:color="auto"/>
            </w:tcBorders>
            <w:shd w:val="clear" w:color="auto" w:fill="FFFFFF"/>
            <w:vAlign w:val="center"/>
          </w:tcPr>
          <w:p w14:paraId="4DEF3E75" w14:textId="77777777" w:rsidR="00CA27E3" w:rsidRPr="00D83000" w:rsidRDefault="00CA27E3" w:rsidP="00CC5E75">
            <w:pPr>
              <w:pStyle w:val="a4"/>
              <w:shd w:val="clear" w:color="auto" w:fill="auto"/>
              <w:spacing w:after="120" w:line="240" w:lineRule="auto"/>
              <w:ind w:right="171" w:firstLine="0"/>
              <w:jc w:val="center"/>
              <w:rPr>
                <w:rFonts w:ascii="Sylfaen" w:hAnsi="Sylfaen" w:cs="Sylfaen"/>
                <w:sz w:val="20"/>
                <w:szCs w:val="20"/>
              </w:rPr>
            </w:pPr>
            <w:r w:rsidRPr="00D83000">
              <w:rPr>
                <w:rFonts w:ascii="Sylfaen" w:hAnsi="Sylfaen"/>
                <w:sz w:val="20"/>
                <w:szCs w:val="20"/>
              </w:rPr>
              <w:t>2022 թվականի սեպտեմբերի</w:t>
            </w:r>
            <w:r w:rsidR="00CC5E75">
              <w:rPr>
                <w:rFonts w:ascii="Sylfaen" w:hAnsi="Sylfaen"/>
                <w:sz w:val="20"/>
                <w:szCs w:val="20"/>
              </w:rPr>
              <w:t> </w:t>
            </w:r>
            <w:r w:rsidRPr="00D83000">
              <w:rPr>
                <w:rFonts w:ascii="Sylfaen" w:hAnsi="Sylfaen"/>
                <w:sz w:val="20"/>
                <w:szCs w:val="20"/>
              </w:rPr>
              <w:t>1-ից</w:t>
            </w:r>
          </w:p>
        </w:tc>
      </w:tr>
      <w:tr w:rsidR="00CA27E3" w:rsidRPr="00D83000" w14:paraId="341F0739" w14:textId="77777777" w:rsidTr="00CC5E75">
        <w:trPr>
          <w:jc w:val="center"/>
        </w:trPr>
        <w:tc>
          <w:tcPr>
            <w:tcW w:w="2876" w:type="dxa"/>
            <w:vMerge w:val="restart"/>
            <w:tcBorders>
              <w:top w:val="single" w:sz="4" w:space="0" w:color="auto"/>
              <w:left w:val="single" w:sz="4" w:space="0" w:color="auto"/>
            </w:tcBorders>
            <w:shd w:val="clear" w:color="auto" w:fill="FFFFFF"/>
            <w:vAlign w:val="center"/>
          </w:tcPr>
          <w:p w14:paraId="0C13A0B8"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Առանցքային օդափոխիչ</w:t>
            </w:r>
          </w:p>
        </w:tc>
        <w:tc>
          <w:tcPr>
            <w:tcW w:w="2126" w:type="dxa"/>
            <w:tcBorders>
              <w:top w:val="single" w:sz="4" w:space="0" w:color="auto"/>
              <w:left w:val="single" w:sz="4" w:space="0" w:color="auto"/>
            </w:tcBorders>
            <w:shd w:val="clear" w:color="auto" w:fill="FFFFFF"/>
            <w:vAlign w:val="center"/>
          </w:tcPr>
          <w:p w14:paraId="68097C7F"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 C</w:t>
            </w:r>
          </w:p>
        </w:tc>
        <w:tc>
          <w:tcPr>
            <w:tcW w:w="2126" w:type="dxa"/>
            <w:tcBorders>
              <w:top w:val="single" w:sz="4" w:space="0" w:color="auto"/>
              <w:left w:val="single" w:sz="4" w:space="0" w:color="auto"/>
            </w:tcBorders>
            <w:shd w:val="clear" w:color="auto" w:fill="FFFFFF"/>
            <w:vAlign w:val="center"/>
          </w:tcPr>
          <w:p w14:paraId="4EFA032E"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36</w:t>
            </w:r>
          </w:p>
        </w:tc>
        <w:tc>
          <w:tcPr>
            <w:tcW w:w="2591" w:type="dxa"/>
            <w:tcBorders>
              <w:top w:val="single" w:sz="4" w:space="0" w:color="auto"/>
              <w:left w:val="single" w:sz="4" w:space="0" w:color="auto"/>
              <w:right w:val="single" w:sz="4" w:space="0" w:color="auto"/>
            </w:tcBorders>
            <w:shd w:val="clear" w:color="auto" w:fill="FFFFFF"/>
            <w:vAlign w:val="center"/>
          </w:tcPr>
          <w:p w14:paraId="6858DCE4"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w:t>
            </w:r>
          </w:p>
        </w:tc>
      </w:tr>
      <w:tr w:rsidR="00CA27E3" w:rsidRPr="00D83000" w14:paraId="76350226" w14:textId="77777777" w:rsidTr="00CC5E75">
        <w:trPr>
          <w:jc w:val="center"/>
        </w:trPr>
        <w:tc>
          <w:tcPr>
            <w:tcW w:w="2876" w:type="dxa"/>
            <w:vMerge/>
            <w:tcBorders>
              <w:left w:val="single" w:sz="4" w:space="0" w:color="auto"/>
              <w:bottom w:val="single" w:sz="4" w:space="0" w:color="auto"/>
            </w:tcBorders>
            <w:shd w:val="clear" w:color="auto" w:fill="FFFFFF"/>
            <w:vAlign w:val="center"/>
          </w:tcPr>
          <w:p w14:paraId="2564DADE" w14:textId="77777777" w:rsidR="00CA27E3" w:rsidRPr="00D83000" w:rsidRDefault="00CA27E3" w:rsidP="00CC5E75">
            <w:pPr>
              <w:spacing w:after="120"/>
              <w:rPr>
                <w:rFonts w:ascii="Sylfaen" w:hAnsi="Sylfaen" w:cs="Sylfaen"/>
                <w:sz w:val="20"/>
                <w:szCs w:val="20"/>
              </w:rPr>
            </w:pPr>
          </w:p>
        </w:tc>
        <w:tc>
          <w:tcPr>
            <w:tcW w:w="2126" w:type="dxa"/>
            <w:tcBorders>
              <w:top w:val="single" w:sz="4" w:space="0" w:color="auto"/>
              <w:left w:val="single" w:sz="4" w:space="0" w:color="auto"/>
              <w:bottom w:val="single" w:sz="4" w:space="0" w:color="auto"/>
            </w:tcBorders>
            <w:shd w:val="clear" w:color="auto" w:fill="FFFFFF"/>
            <w:vAlign w:val="center"/>
          </w:tcPr>
          <w:p w14:paraId="292D433A"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B, D</w:t>
            </w:r>
          </w:p>
        </w:tc>
        <w:tc>
          <w:tcPr>
            <w:tcW w:w="2126" w:type="dxa"/>
            <w:tcBorders>
              <w:top w:val="single" w:sz="4" w:space="0" w:color="auto"/>
              <w:left w:val="single" w:sz="4" w:space="0" w:color="auto"/>
              <w:bottom w:val="single" w:sz="4" w:space="0" w:color="auto"/>
            </w:tcBorders>
            <w:shd w:val="clear" w:color="auto" w:fill="FFFFFF"/>
            <w:vAlign w:val="center"/>
          </w:tcPr>
          <w:p w14:paraId="4878D3F9"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2591" w:type="dxa"/>
            <w:tcBorders>
              <w:top w:val="single" w:sz="4" w:space="0" w:color="auto"/>
              <w:left w:val="single" w:sz="4" w:space="0" w:color="auto"/>
              <w:bottom w:val="single" w:sz="4" w:space="0" w:color="auto"/>
              <w:right w:val="single" w:sz="4" w:space="0" w:color="auto"/>
            </w:tcBorders>
            <w:shd w:val="clear" w:color="auto" w:fill="FFFFFF"/>
            <w:vAlign w:val="center"/>
          </w:tcPr>
          <w:p w14:paraId="5E68D15F"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w:t>
            </w:r>
          </w:p>
        </w:tc>
      </w:tr>
      <w:tr w:rsidR="00CA27E3" w:rsidRPr="00D83000" w14:paraId="5C46993A" w14:textId="77777777" w:rsidTr="00CC5E75">
        <w:trPr>
          <w:jc w:val="center"/>
        </w:trPr>
        <w:tc>
          <w:tcPr>
            <w:tcW w:w="2876" w:type="dxa"/>
            <w:vMerge w:val="restart"/>
            <w:tcBorders>
              <w:top w:val="single" w:sz="4" w:space="0" w:color="auto"/>
              <w:left w:val="single" w:sz="4" w:space="0" w:color="auto"/>
            </w:tcBorders>
            <w:shd w:val="clear" w:color="auto" w:fill="FFFFFF"/>
            <w:vAlign w:val="center"/>
          </w:tcPr>
          <w:p w14:paraId="6AA0676F"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Շառավղային օդափոխիչ՝ առաջ ծալված թիակներով եւ շառավղային օդափոխիչ՝ ուղիղ շառավղային թիակներով</w:t>
            </w:r>
          </w:p>
        </w:tc>
        <w:tc>
          <w:tcPr>
            <w:tcW w:w="2126" w:type="dxa"/>
            <w:tcBorders>
              <w:top w:val="single" w:sz="4" w:space="0" w:color="auto"/>
              <w:left w:val="single" w:sz="4" w:space="0" w:color="auto"/>
            </w:tcBorders>
            <w:shd w:val="clear" w:color="auto" w:fill="FFFFFF"/>
            <w:vAlign w:val="center"/>
          </w:tcPr>
          <w:p w14:paraId="26AD0270"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 C</w:t>
            </w:r>
          </w:p>
        </w:tc>
        <w:tc>
          <w:tcPr>
            <w:tcW w:w="2126" w:type="dxa"/>
            <w:tcBorders>
              <w:top w:val="single" w:sz="4" w:space="0" w:color="auto"/>
              <w:left w:val="single" w:sz="4" w:space="0" w:color="auto"/>
            </w:tcBorders>
            <w:shd w:val="clear" w:color="auto" w:fill="FFFFFF"/>
            <w:vAlign w:val="center"/>
          </w:tcPr>
          <w:p w14:paraId="564358DB"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37</w:t>
            </w:r>
          </w:p>
        </w:tc>
        <w:tc>
          <w:tcPr>
            <w:tcW w:w="2591" w:type="dxa"/>
            <w:tcBorders>
              <w:top w:val="single" w:sz="4" w:space="0" w:color="auto"/>
              <w:left w:val="single" w:sz="4" w:space="0" w:color="auto"/>
              <w:right w:val="single" w:sz="4" w:space="0" w:color="auto"/>
            </w:tcBorders>
            <w:shd w:val="clear" w:color="auto" w:fill="FFFFFF"/>
            <w:vAlign w:val="center"/>
          </w:tcPr>
          <w:p w14:paraId="70B49F0D"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44</w:t>
            </w:r>
          </w:p>
        </w:tc>
      </w:tr>
      <w:tr w:rsidR="00CA27E3" w:rsidRPr="00D83000" w14:paraId="3B845440" w14:textId="77777777" w:rsidTr="00CC5E75">
        <w:trPr>
          <w:jc w:val="center"/>
        </w:trPr>
        <w:tc>
          <w:tcPr>
            <w:tcW w:w="2876" w:type="dxa"/>
            <w:vMerge/>
            <w:tcBorders>
              <w:left w:val="single" w:sz="4" w:space="0" w:color="auto"/>
            </w:tcBorders>
            <w:shd w:val="clear" w:color="auto" w:fill="FFFFFF"/>
            <w:vAlign w:val="center"/>
          </w:tcPr>
          <w:p w14:paraId="1B71284E" w14:textId="77777777" w:rsidR="00CA27E3" w:rsidRPr="00D83000" w:rsidRDefault="00CA27E3" w:rsidP="00CC5E75">
            <w:pPr>
              <w:spacing w:after="120"/>
              <w:rPr>
                <w:rFonts w:ascii="Sylfaen" w:hAnsi="Sylfaen" w:cs="Sylfaen"/>
                <w:sz w:val="20"/>
                <w:szCs w:val="20"/>
              </w:rPr>
            </w:pPr>
          </w:p>
        </w:tc>
        <w:tc>
          <w:tcPr>
            <w:tcW w:w="2126" w:type="dxa"/>
            <w:tcBorders>
              <w:top w:val="single" w:sz="4" w:space="0" w:color="auto"/>
              <w:left w:val="single" w:sz="4" w:space="0" w:color="auto"/>
            </w:tcBorders>
            <w:shd w:val="clear" w:color="auto" w:fill="FFFFFF"/>
            <w:vAlign w:val="center"/>
          </w:tcPr>
          <w:p w14:paraId="5F23F0D5"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B, D</w:t>
            </w:r>
          </w:p>
        </w:tc>
        <w:tc>
          <w:tcPr>
            <w:tcW w:w="2126" w:type="dxa"/>
            <w:tcBorders>
              <w:top w:val="single" w:sz="4" w:space="0" w:color="auto"/>
              <w:left w:val="single" w:sz="4" w:space="0" w:color="auto"/>
            </w:tcBorders>
            <w:shd w:val="clear" w:color="auto" w:fill="FFFFFF"/>
            <w:vAlign w:val="center"/>
          </w:tcPr>
          <w:p w14:paraId="00DAF393"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42</w:t>
            </w:r>
          </w:p>
        </w:tc>
        <w:tc>
          <w:tcPr>
            <w:tcW w:w="2591" w:type="dxa"/>
            <w:tcBorders>
              <w:top w:val="single" w:sz="4" w:space="0" w:color="auto"/>
              <w:left w:val="single" w:sz="4" w:space="0" w:color="auto"/>
              <w:right w:val="single" w:sz="4" w:space="0" w:color="auto"/>
            </w:tcBorders>
            <w:shd w:val="clear" w:color="auto" w:fill="FFFFFF"/>
            <w:vAlign w:val="center"/>
          </w:tcPr>
          <w:p w14:paraId="6ABEF9DC"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49</w:t>
            </w:r>
          </w:p>
        </w:tc>
      </w:tr>
      <w:tr w:rsidR="00CA27E3" w:rsidRPr="00D83000" w14:paraId="145A6E27" w14:textId="77777777" w:rsidTr="00CC5E75">
        <w:trPr>
          <w:jc w:val="center"/>
        </w:trPr>
        <w:tc>
          <w:tcPr>
            <w:tcW w:w="2876" w:type="dxa"/>
            <w:tcBorders>
              <w:top w:val="single" w:sz="4" w:space="0" w:color="auto"/>
              <w:left w:val="single" w:sz="4" w:space="0" w:color="auto"/>
            </w:tcBorders>
            <w:shd w:val="clear" w:color="auto" w:fill="FFFFFF"/>
            <w:vAlign w:val="center"/>
          </w:tcPr>
          <w:p w14:paraId="5EA0ECB2"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Շառավղային օդափոխիչ՝ հետ ծալված թիակներով առանց կորպուսի</w:t>
            </w:r>
          </w:p>
        </w:tc>
        <w:tc>
          <w:tcPr>
            <w:tcW w:w="2126" w:type="dxa"/>
            <w:tcBorders>
              <w:top w:val="single" w:sz="4" w:space="0" w:color="auto"/>
              <w:left w:val="single" w:sz="4" w:space="0" w:color="auto"/>
            </w:tcBorders>
            <w:shd w:val="clear" w:color="auto" w:fill="FFFFFF"/>
            <w:vAlign w:val="center"/>
          </w:tcPr>
          <w:p w14:paraId="5EA55383"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 C</w:t>
            </w:r>
          </w:p>
        </w:tc>
        <w:tc>
          <w:tcPr>
            <w:tcW w:w="2126" w:type="dxa"/>
            <w:tcBorders>
              <w:top w:val="single" w:sz="4" w:space="0" w:color="auto"/>
              <w:left w:val="single" w:sz="4" w:space="0" w:color="auto"/>
            </w:tcBorders>
            <w:shd w:val="clear" w:color="auto" w:fill="FFFFFF"/>
            <w:vAlign w:val="center"/>
          </w:tcPr>
          <w:p w14:paraId="0781A32F"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w:t>
            </w:r>
          </w:p>
        </w:tc>
        <w:tc>
          <w:tcPr>
            <w:tcW w:w="2591" w:type="dxa"/>
            <w:tcBorders>
              <w:top w:val="single" w:sz="4" w:space="0" w:color="auto"/>
              <w:left w:val="single" w:sz="4" w:space="0" w:color="auto"/>
              <w:right w:val="single" w:sz="4" w:space="0" w:color="auto"/>
            </w:tcBorders>
            <w:shd w:val="clear" w:color="auto" w:fill="FFFFFF"/>
            <w:vAlign w:val="center"/>
          </w:tcPr>
          <w:p w14:paraId="135DE658"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62</w:t>
            </w:r>
          </w:p>
        </w:tc>
      </w:tr>
      <w:tr w:rsidR="00CA27E3" w:rsidRPr="00D83000" w14:paraId="2A95A90E" w14:textId="77777777" w:rsidTr="00CC5E75">
        <w:trPr>
          <w:jc w:val="center"/>
        </w:trPr>
        <w:tc>
          <w:tcPr>
            <w:tcW w:w="2876" w:type="dxa"/>
            <w:vMerge w:val="restart"/>
            <w:tcBorders>
              <w:top w:val="single" w:sz="4" w:space="0" w:color="auto"/>
              <w:left w:val="single" w:sz="4" w:space="0" w:color="auto"/>
            </w:tcBorders>
            <w:shd w:val="clear" w:color="auto" w:fill="FFFFFF"/>
            <w:vAlign w:val="center"/>
          </w:tcPr>
          <w:p w14:paraId="6C4079C6"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Շառավղային օդափոխիչ՝ հետ ծալված թիակներով կորպուսով</w:t>
            </w:r>
          </w:p>
        </w:tc>
        <w:tc>
          <w:tcPr>
            <w:tcW w:w="2126" w:type="dxa"/>
            <w:tcBorders>
              <w:top w:val="single" w:sz="4" w:space="0" w:color="auto"/>
              <w:left w:val="single" w:sz="4" w:space="0" w:color="auto"/>
            </w:tcBorders>
            <w:shd w:val="clear" w:color="auto" w:fill="FFFFFF"/>
            <w:vAlign w:val="center"/>
          </w:tcPr>
          <w:p w14:paraId="008C9632"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 C</w:t>
            </w:r>
          </w:p>
        </w:tc>
        <w:tc>
          <w:tcPr>
            <w:tcW w:w="2126" w:type="dxa"/>
            <w:tcBorders>
              <w:top w:val="single" w:sz="4" w:space="0" w:color="auto"/>
              <w:left w:val="single" w:sz="4" w:space="0" w:color="auto"/>
            </w:tcBorders>
            <w:shd w:val="clear" w:color="auto" w:fill="FFFFFF"/>
            <w:vAlign w:val="center"/>
          </w:tcPr>
          <w:p w14:paraId="2C6AB9FB"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w:t>
            </w:r>
          </w:p>
        </w:tc>
        <w:tc>
          <w:tcPr>
            <w:tcW w:w="2591" w:type="dxa"/>
            <w:tcBorders>
              <w:top w:val="single" w:sz="4" w:space="0" w:color="auto"/>
              <w:left w:val="single" w:sz="4" w:space="0" w:color="auto"/>
              <w:right w:val="single" w:sz="4" w:space="0" w:color="auto"/>
            </w:tcBorders>
            <w:shd w:val="clear" w:color="auto" w:fill="FFFFFF"/>
            <w:vAlign w:val="center"/>
          </w:tcPr>
          <w:p w14:paraId="156DA668"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61</w:t>
            </w:r>
          </w:p>
        </w:tc>
      </w:tr>
      <w:tr w:rsidR="00CA27E3" w:rsidRPr="00D83000" w14:paraId="17CBBC56" w14:textId="77777777" w:rsidTr="00CC5E75">
        <w:trPr>
          <w:jc w:val="center"/>
        </w:trPr>
        <w:tc>
          <w:tcPr>
            <w:tcW w:w="2876" w:type="dxa"/>
            <w:vMerge/>
            <w:tcBorders>
              <w:left w:val="single" w:sz="4" w:space="0" w:color="auto"/>
            </w:tcBorders>
            <w:shd w:val="clear" w:color="auto" w:fill="FFFFFF"/>
            <w:vAlign w:val="center"/>
          </w:tcPr>
          <w:p w14:paraId="4A8341EF" w14:textId="77777777" w:rsidR="00CA27E3" w:rsidRPr="00D83000" w:rsidRDefault="00CA27E3" w:rsidP="00CC5E75">
            <w:pPr>
              <w:spacing w:after="120"/>
              <w:rPr>
                <w:rFonts w:ascii="Sylfaen" w:hAnsi="Sylfaen" w:cs="Sylfaen"/>
                <w:sz w:val="20"/>
                <w:szCs w:val="20"/>
              </w:rPr>
            </w:pPr>
          </w:p>
        </w:tc>
        <w:tc>
          <w:tcPr>
            <w:tcW w:w="2126" w:type="dxa"/>
            <w:tcBorders>
              <w:top w:val="single" w:sz="4" w:space="0" w:color="auto"/>
              <w:left w:val="single" w:sz="4" w:space="0" w:color="auto"/>
            </w:tcBorders>
            <w:shd w:val="clear" w:color="auto" w:fill="FFFFFF"/>
            <w:vAlign w:val="center"/>
          </w:tcPr>
          <w:p w14:paraId="288546BA"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B, D</w:t>
            </w:r>
          </w:p>
        </w:tc>
        <w:tc>
          <w:tcPr>
            <w:tcW w:w="2126" w:type="dxa"/>
            <w:tcBorders>
              <w:top w:val="single" w:sz="4" w:space="0" w:color="auto"/>
              <w:left w:val="single" w:sz="4" w:space="0" w:color="auto"/>
            </w:tcBorders>
            <w:shd w:val="clear" w:color="auto" w:fill="FFFFFF"/>
            <w:vAlign w:val="center"/>
          </w:tcPr>
          <w:p w14:paraId="1BF72816"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61</w:t>
            </w:r>
          </w:p>
        </w:tc>
        <w:tc>
          <w:tcPr>
            <w:tcW w:w="2591" w:type="dxa"/>
            <w:tcBorders>
              <w:top w:val="single" w:sz="4" w:space="0" w:color="auto"/>
              <w:left w:val="single" w:sz="4" w:space="0" w:color="auto"/>
              <w:right w:val="single" w:sz="4" w:space="0" w:color="auto"/>
            </w:tcBorders>
            <w:shd w:val="clear" w:color="auto" w:fill="FFFFFF"/>
            <w:vAlign w:val="center"/>
          </w:tcPr>
          <w:p w14:paraId="73C997A6"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64</w:t>
            </w:r>
          </w:p>
        </w:tc>
      </w:tr>
      <w:tr w:rsidR="00CA27E3" w:rsidRPr="00D83000" w14:paraId="7D3B66D8" w14:textId="77777777" w:rsidTr="00CC5E75">
        <w:trPr>
          <w:jc w:val="center"/>
        </w:trPr>
        <w:tc>
          <w:tcPr>
            <w:tcW w:w="2876" w:type="dxa"/>
            <w:vMerge w:val="restart"/>
            <w:tcBorders>
              <w:top w:val="single" w:sz="4" w:space="0" w:color="auto"/>
              <w:left w:val="single" w:sz="4" w:space="0" w:color="auto"/>
            </w:tcBorders>
            <w:shd w:val="clear" w:color="auto" w:fill="FFFFFF"/>
            <w:vAlign w:val="center"/>
          </w:tcPr>
          <w:p w14:paraId="7E04DA9F"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Անկյունագծային օդափոխիչ</w:t>
            </w:r>
          </w:p>
        </w:tc>
        <w:tc>
          <w:tcPr>
            <w:tcW w:w="2126" w:type="dxa"/>
            <w:tcBorders>
              <w:top w:val="single" w:sz="4" w:space="0" w:color="auto"/>
              <w:left w:val="single" w:sz="4" w:space="0" w:color="auto"/>
            </w:tcBorders>
            <w:shd w:val="clear" w:color="auto" w:fill="FFFFFF"/>
            <w:vAlign w:val="center"/>
          </w:tcPr>
          <w:p w14:paraId="1B440C7C"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 C</w:t>
            </w:r>
          </w:p>
        </w:tc>
        <w:tc>
          <w:tcPr>
            <w:tcW w:w="2126" w:type="dxa"/>
            <w:tcBorders>
              <w:top w:val="single" w:sz="4" w:space="0" w:color="auto"/>
              <w:left w:val="single" w:sz="4" w:space="0" w:color="auto"/>
            </w:tcBorders>
            <w:shd w:val="clear" w:color="auto" w:fill="FFFFFF"/>
            <w:vAlign w:val="center"/>
          </w:tcPr>
          <w:p w14:paraId="1C9FBB4E"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47</w:t>
            </w:r>
          </w:p>
        </w:tc>
        <w:tc>
          <w:tcPr>
            <w:tcW w:w="2591" w:type="dxa"/>
            <w:tcBorders>
              <w:top w:val="single" w:sz="4" w:space="0" w:color="auto"/>
              <w:left w:val="single" w:sz="4" w:space="0" w:color="auto"/>
              <w:right w:val="single" w:sz="4" w:space="0" w:color="auto"/>
            </w:tcBorders>
            <w:shd w:val="clear" w:color="auto" w:fill="FFFFFF"/>
            <w:vAlign w:val="center"/>
          </w:tcPr>
          <w:p w14:paraId="36E1530A"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r>
      <w:tr w:rsidR="00CA27E3" w:rsidRPr="00D83000" w14:paraId="40B4A8DC" w14:textId="77777777" w:rsidTr="00CC5E75">
        <w:trPr>
          <w:jc w:val="center"/>
        </w:trPr>
        <w:tc>
          <w:tcPr>
            <w:tcW w:w="2876" w:type="dxa"/>
            <w:vMerge/>
            <w:tcBorders>
              <w:left w:val="single" w:sz="4" w:space="0" w:color="auto"/>
            </w:tcBorders>
            <w:shd w:val="clear" w:color="auto" w:fill="FFFFFF"/>
            <w:vAlign w:val="center"/>
          </w:tcPr>
          <w:p w14:paraId="6AE55FDB" w14:textId="77777777" w:rsidR="00CA27E3" w:rsidRPr="00D83000" w:rsidRDefault="00CA27E3" w:rsidP="00CC5E75">
            <w:pPr>
              <w:spacing w:after="120"/>
              <w:rPr>
                <w:rFonts w:ascii="Sylfaen" w:hAnsi="Sylfaen" w:cs="Sylfaen"/>
                <w:sz w:val="20"/>
                <w:szCs w:val="20"/>
              </w:rPr>
            </w:pPr>
          </w:p>
        </w:tc>
        <w:tc>
          <w:tcPr>
            <w:tcW w:w="2126" w:type="dxa"/>
            <w:tcBorders>
              <w:top w:val="single" w:sz="4" w:space="0" w:color="auto"/>
              <w:left w:val="single" w:sz="4" w:space="0" w:color="auto"/>
            </w:tcBorders>
            <w:shd w:val="clear" w:color="auto" w:fill="FFFFFF"/>
            <w:vAlign w:val="center"/>
          </w:tcPr>
          <w:p w14:paraId="7C9B4A44"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B, D</w:t>
            </w:r>
          </w:p>
        </w:tc>
        <w:tc>
          <w:tcPr>
            <w:tcW w:w="2126" w:type="dxa"/>
            <w:tcBorders>
              <w:top w:val="single" w:sz="4" w:space="0" w:color="auto"/>
              <w:left w:val="single" w:sz="4" w:space="0" w:color="auto"/>
            </w:tcBorders>
            <w:shd w:val="clear" w:color="auto" w:fill="FFFFFF"/>
            <w:vAlign w:val="center"/>
          </w:tcPr>
          <w:p w14:paraId="6C7D20B1"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w:t>
            </w:r>
          </w:p>
        </w:tc>
        <w:tc>
          <w:tcPr>
            <w:tcW w:w="2591" w:type="dxa"/>
            <w:tcBorders>
              <w:top w:val="single" w:sz="4" w:space="0" w:color="auto"/>
              <w:left w:val="single" w:sz="4" w:space="0" w:color="auto"/>
              <w:right w:val="single" w:sz="4" w:space="0" w:color="auto"/>
            </w:tcBorders>
            <w:shd w:val="clear" w:color="auto" w:fill="FFFFFF"/>
            <w:vAlign w:val="center"/>
          </w:tcPr>
          <w:p w14:paraId="175C083C"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62</w:t>
            </w:r>
          </w:p>
        </w:tc>
      </w:tr>
      <w:tr w:rsidR="00CA27E3" w:rsidRPr="00D83000" w14:paraId="1A0E093E" w14:textId="77777777" w:rsidTr="00CC5E75">
        <w:trPr>
          <w:jc w:val="center"/>
        </w:trPr>
        <w:tc>
          <w:tcPr>
            <w:tcW w:w="2876" w:type="dxa"/>
            <w:tcBorders>
              <w:top w:val="single" w:sz="4" w:space="0" w:color="auto"/>
              <w:left w:val="single" w:sz="4" w:space="0" w:color="auto"/>
              <w:bottom w:val="single" w:sz="4" w:space="0" w:color="auto"/>
            </w:tcBorders>
            <w:shd w:val="clear" w:color="auto" w:fill="FFFFFF"/>
            <w:vAlign w:val="center"/>
          </w:tcPr>
          <w:p w14:paraId="6DBEC933" w14:textId="77777777" w:rsidR="00CA27E3" w:rsidRPr="00D83000" w:rsidRDefault="00CA27E3" w:rsidP="00CC5E75">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Տրամագծային օդափոխիչ</w:t>
            </w:r>
          </w:p>
        </w:tc>
        <w:tc>
          <w:tcPr>
            <w:tcW w:w="2126" w:type="dxa"/>
            <w:tcBorders>
              <w:top w:val="single" w:sz="4" w:space="0" w:color="auto"/>
              <w:left w:val="single" w:sz="4" w:space="0" w:color="auto"/>
              <w:bottom w:val="single" w:sz="4" w:space="0" w:color="auto"/>
            </w:tcBorders>
            <w:shd w:val="clear" w:color="auto" w:fill="FFFFFF"/>
            <w:vAlign w:val="center"/>
          </w:tcPr>
          <w:p w14:paraId="4B399C18"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B, D</w:t>
            </w:r>
          </w:p>
        </w:tc>
        <w:tc>
          <w:tcPr>
            <w:tcW w:w="2126" w:type="dxa"/>
            <w:tcBorders>
              <w:top w:val="single" w:sz="4" w:space="0" w:color="auto"/>
              <w:left w:val="single" w:sz="4" w:space="0" w:color="auto"/>
              <w:bottom w:val="single" w:sz="4" w:space="0" w:color="auto"/>
            </w:tcBorders>
            <w:shd w:val="clear" w:color="auto" w:fill="FFFFFF"/>
            <w:vAlign w:val="center"/>
          </w:tcPr>
          <w:p w14:paraId="7C261437"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13</w:t>
            </w:r>
          </w:p>
        </w:tc>
        <w:tc>
          <w:tcPr>
            <w:tcW w:w="2591" w:type="dxa"/>
            <w:tcBorders>
              <w:top w:val="single" w:sz="4" w:space="0" w:color="auto"/>
              <w:left w:val="single" w:sz="4" w:space="0" w:color="auto"/>
              <w:bottom w:val="single" w:sz="4" w:space="0" w:color="auto"/>
              <w:right w:val="single" w:sz="4" w:space="0" w:color="auto"/>
            </w:tcBorders>
            <w:shd w:val="clear" w:color="auto" w:fill="FFFFFF"/>
            <w:vAlign w:val="center"/>
          </w:tcPr>
          <w:p w14:paraId="5BE27777" w14:textId="77777777" w:rsidR="00CA27E3" w:rsidRPr="00D83000" w:rsidRDefault="00CA27E3" w:rsidP="00CC5E75">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21</w:t>
            </w:r>
          </w:p>
        </w:tc>
      </w:tr>
    </w:tbl>
    <w:p w14:paraId="2785506A" w14:textId="77777777" w:rsidR="00CA27E3" w:rsidRDefault="00CA27E3" w:rsidP="00CA27E3">
      <w:pPr>
        <w:spacing w:after="160" w:line="360" w:lineRule="auto"/>
        <w:rPr>
          <w:rFonts w:ascii="Sylfaen" w:hAnsi="Sylfaen" w:cs="Sylfaen"/>
        </w:rPr>
      </w:pPr>
    </w:p>
    <w:p w14:paraId="406AB186" w14:textId="77777777" w:rsidR="00CC5E75" w:rsidRPr="00CA27E3" w:rsidRDefault="00CC5E75" w:rsidP="00CA27E3">
      <w:pPr>
        <w:spacing w:after="160" w:line="360" w:lineRule="auto"/>
        <w:rPr>
          <w:rFonts w:ascii="Sylfaen" w:hAnsi="Sylfaen" w:cs="Sylfaen"/>
        </w:rPr>
      </w:pPr>
    </w:p>
    <w:p w14:paraId="5829324D"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4.</w:t>
      </w:r>
      <w:r w:rsidR="00D303C2" w:rsidRPr="00D303C2">
        <w:rPr>
          <w:rFonts w:ascii="Sylfaen" w:hAnsi="Sylfaen"/>
          <w:sz w:val="24"/>
          <w:szCs w:val="24"/>
        </w:rPr>
        <w:tab/>
      </w:r>
      <w:r w:rsidRPr="00CA27E3">
        <w:rPr>
          <w:rFonts w:ascii="Sylfaen" w:hAnsi="Sylfaen"/>
          <w:sz w:val="24"/>
          <w:szCs w:val="24"/>
        </w:rPr>
        <w:t xml:space="preserve">Օդափոխիչի էներգետիկ արդյունավետության պարամետրերի հաշվարկման կանոնները հիմնված են օդափոխիչի գազի հոսքի հզորության </w:t>
      </w:r>
      <w:r>
        <w:rPr>
          <w:rFonts w:ascii="Sylfaen" w:hAnsi="Sylfaen"/>
          <w:sz w:val="24"/>
          <w:szCs w:val="24"/>
        </w:rPr>
        <w:t>եւ</w:t>
      </w:r>
      <w:r w:rsidRPr="00CA27E3">
        <w:rPr>
          <w:rFonts w:ascii="Sylfaen" w:hAnsi="Sylfaen"/>
          <w:sz w:val="24"/>
          <w:szCs w:val="24"/>
        </w:rPr>
        <w:t xml:space="preserve"> էլեկտրաշարժիչի սպառվող էլեկտրական հզորության միջ</w:t>
      </w:r>
      <w:r>
        <w:rPr>
          <w:rFonts w:ascii="Sylfaen" w:hAnsi="Sylfaen"/>
          <w:sz w:val="24"/>
          <w:szCs w:val="24"/>
        </w:rPr>
        <w:t>եւ</w:t>
      </w:r>
      <w:r w:rsidRPr="00CA27E3">
        <w:rPr>
          <w:rFonts w:ascii="Sylfaen" w:hAnsi="Sylfaen"/>
          <w:sz w:val="24"/>
          <w:szCs w:val="24"/>
        </w:rPr>
        <w:t xml:space="preserve"> հարաբերության վրա, ընդ որում՝ օդափոխիչի գազի հոսքի հզորությունը գազի ծախսի </w:t>
      </w:r>
      <w:r>
        <w:rPr>
          <w:rFonts w:ascii="Sylfaen" w:hAnsi="Sylfaen"/>
          <w:sz w:val="24"/>
          <w:szCs w:val="24"/>
        </w:rPr>
        <w:t>եւ</w:t>
      </w:r>
      <w:r w:rsidRPr="00CA27E3">
        <w:rPr>
          <w:rFonts w:ascii="Sylfaen" w:hAnsi="Sylfaen"/>
          <w:sz w:val="24"/>
          <w:szCs w:val="24"/>
        </w:rPr>
        <w:t xml:space="preserve"> օդափոխիչի մուտքի ու ելքի միջ</w:t>
      </w:r>
      <w:r>
        <w:rPr>
          <w:rFonts w:ascii="Sylfaen" w:hAnsi="Sylfaen"/>
          <w:sz w:val="24"/>
          <w:szCs w:val="24"/>
        </w:rPr>
        <w:t>եւ</w:t>
      </w:r>
      <w:r w:rsidRPr="00CA27E3">
        <w:rPr>
          <w:rFonts w:ascii="Sylfaen" w:hAnsi="Sylfaen"/>
          <w:sz w:val="24"/>
          <w:szCs w:val="24"/>
        </w:rPr>
        <w:t xml:space="preserve"> ճնշումների տարբերությունն է։</w:t>
      </w:r>
      <w:r>
        <w:rPr>
          <w:rFonts w:ascii="Sylfaen" w:hAnsi="Sylfaen"/>
          <w:sz w:val="24"/>
          <w:szCs w:val="24"/>
        </w:rPr>
        <w:t xml:space="preserve"> </w:t>
      </w:r>
      <w:r w:rsidRPr="00CA27E3">
        <w:rPr>
          <w:rFonts w:ascii="Sylfaen" w:hAnsi="Sylfaen"/>
          <w:sz w:val="24"/>
          <w:szCs w:val="24"/>
        </w:rPr>
        <w:t xml:space="preserve"> Ճնշումը ստատիկ ճնշում է կամ լրիվ ճնշում, որը ստատիկ </w:t>
      </w:r>
      <w:r>
        <w:rPr>
          <w:rFonts w:ascii="Sylfaen" w:hAnsi="Sylfaen"/>
          <w:sz w:val="24"/>
          <w:szCs w:val="24"/>
        </w:rPr>
        <w:t>եւ</w:t>
      </w:r>
      <w:r w:rsidRPr="00CA27E3">
        <w:rPr>
          <w:rFonts w:ascii="Sylfaen" w:hAnsi="Sylfaen"/>
          <w:sz w:val="24"/>
          <w:szCs w:val="24"/>
        </w:rPr>
        <w:t xml:space="preserve"> դինամիկ ճնշումների գումարն է՝ չափումների կատեգորիայից </w:t>
      </w:r>
      <w:r>
        <w:rPr>
          <w:rFonts w:ascii="Sylfaen" w:hAnsi="Sylfaen"/>
          <w:sz w:val="24"/>
          <w:szCs w:val="24"/>
        </w:rPr>
        <w:t>եւ</w:t>
      </w:r>
      <w:r w:rsidRPr="00CA27E3">
        <w:rPr>
          <w:rFonts w:ascii="Sylfaen" w:hAnsi="Sylfaen"/>
          <w:sz w:val="24"/>
          <w:szCs w:val="24"/>
        </w:rPr>
        <w:t xml:space="preserve"> արդյունավետության մակարդակից կախված։</w:t>
      </w:r>
    </w:p>
    <w:p w14:paraId="3F7B9EE5"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D303C2" w:rsidRPr="00D303C2">
        <w:rPr>
          <w:rFonts w:ascii="Sylfaen" w:hAnsi="Sylfaen"/>
          <w:sz w:val="24"/>
          <w:szCs w:val="24"/>
        </w:rPr>
        <w:tab/>
      </w:r>
      <w:r w:rsidRPr="00CA27E3">
        <w:rPr>
          <w:rFonts w:ascii="Sylfaen" w:hAnsi="Sylfaen"/>
          <w:sz w:val="24"/>
          <w:szCs w:val="24"/>
        </w:rPr>
        <w:t xml:space="preserve">Եթե օդափոխիչը մատակարարվում է շահագործման պատրաստ վիճակում, ապա օդափոխիչի գազի հոսքի հզորությունը </w:t>
      </w:r>
      <w:r>
        <w:rPr>
          <w:rFonts w:ascii="Sylfaen" w:hAnsi="Sylfaen"/>
          <w:sz w:val="24"/>
          <w:szCs w:val="24"/>
        </w:rPr>
        <w:t>եւ</w:t>
      </w:r>
      <w:r w:rsidRPr="00CA27E3">
        <w:rPr>
          <w:rFonts w:ascii="Sylfaen" w:hAnsi="Sylfaen"/>
          <w:sz w:val="24"/>
          <w:szCs w:val="24"/>
        </w:rPr>
        <w:t xml:space="preserve"> էլեկտրաշարժիչի սպառվող էլեկտրական հզորությունը հարկավոր է չափել օպտիմալ էներգետիկ արդյունավետության պայմաններում՝</w:t>
      </w:r>
      <w:r w:rsidR="00CC5E75">
        <w:rPr>
          <w:rFonts w:ascii="Sylfaen" w:hAnsi="Sylfaen"/>
          <w:sz w:val="24"/>
          <w:szCs w:val="24"/>
        </w:rPr>
        <w:t xml:space="preserve"> </w:t>
      </w:r>
    </w:p>
    <w:p w14:paraId="048B98C1"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առանց պտտման հաճախության կարգավորման օդափոխիչների համար օգտակար գործողության ընդհանուր գործակիցը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r>
        <w:rPr>
          <w:rFonts w:ascii="Sylfaen" w:hAnsi="Sylfaen"/>
          <w:sz w:val="24"/>
          <w:szCs w:val="24"/>
        </w:rPr>
        <w:t xml:space="preserve"> </w:t>
      </w:r>
    </w:p>
    <w:p w14:paraId="7A6FC44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e</w:t>
      </w:r>
      <w:r w:rsidRPr="00CA27E3">
        <w:rPr>
          <w:rFonts w:ascii="Sylfaen" w:hAnsi="Sylfaen"/>
          <w:sz w:val="24"/>
          <w:szCs w:val="24"/>
        </w:rPr>
        <w:t xml:space="preserve"> = P</w:t>
      </w:r>
      <w:r w:rsidRPr="00CA27E3">
        <w:rPr>
          <w:rFonts w:ascii="Sylfaen" w:hAnsi="Sylfaen"/>
          <w:sz w:val="24"/>
          <w:szCs w:val="24"/>
          <w:vertAlign w:val="subscript"/>
        </w:rPr>
        <w:t>u(s)</w:t>
      </w:r>
      <w:r w:rsidRPr="00CA27E3">
        <w:rPr>
          <w:rFonts w:ascii="Sylfaen" w:hAnsi="Sylfaen"/>
          <w:sz w:val="24"/>
          <w:szCs w:val="24"/>
        </w:rPr>
        <w:t xml:space="preserve"> / P</w:t>
      </w:r>
      <w:r w:rsidRPr="00CA27E3">
        <w:rPr>
          <w:rFonts w:ascii="Sylfaen" w:hAnsi="Sylfaen"/>
          <w:sz w:val="24"/>
          <w:szCs w:val="24"/>
          <w:vertAlign w:val="subscript"/>
        </w:rPr>
        <w:t>e</w:t>
      </w:r>
      <w:r w:rsidRPr="00CA27E3">
        <w:rPr>
          <w:rFonts w:ascii="Sylfaen" w:hAnsi="Sylfaen"/>
          <w:sz w:val="24"/>
          <w:szCs w:val="24"/>
        </w:rPr>
        <w:t xml:space="preserve"> ,</w:t>
      </w:r>
    </w:p>
    <w:p w14:paraId="2CC8EEE5" w14:textId="77777777" w:rsidR="00CA27E3" w:rsidRPr="00CA27E3" w:rsidRDefault="00CA27E3" w:rsidP="00CC5E75">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որտեղ՝</w:t>
      </w:r>
    </w:p>
    <w:p w14:paraId="338195A4" w14:textId="77777777" w:rsidR="00CA27E3" w:rsidRPr="00CA27E3" w:rsidRDefault="00CA27E3" w:rsidP="00CC5E75">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e</w:t>
      </w:r>
      <w:r w:rsidRPr="00CA27E3">
        <w:rPr>
          <w:rFonts w:ascii="Sylfaen" w:hAnsi="Sylfaen"/>
          <w:sz w:val="24"/>
          <w:szCs w:val="24"/>
        </w:rPr>
        <w:t>՝ օգտակար գործողության ընդհանուր գործակիցը.</w:t>
      </w:r>
    </w:p>
    <w:p w14:paraId="0D56953D" w14:textId="77777777" w:rsidR="00CA27E3" w:rsidRPr="00CA27E3" w:rsidRDefault="00CA27E3" w:rsidP="00CC5E75">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u</w:t>
      </w:r>
      <w:r w:rsidRPr="00CA27E3">
        <w:rPr>
          <w:rFonts w:ascii="Sylfaen" w:hAnsi="Sylfaen"/>
          <w:sz w:val="24"/>
          <w:szCs w:val="24"/>
        </w:rPr>
        <w:t>(</w:t>
      </w:r>
      <w:r w:rsidRPr="00CA27E3">
        <w:rPr>
          <w:rFonts w:ascii="Sylfaen" w:hAnsi="Sylfaen"/>
          <w:sz w:val="24"/>
          <w:szCs w:val="24"/>
          <w:vertAlign w:val="subscript"/>
        </w:rPr>
        <w:t>s</w:t>
      </w:r>
      <w:r w:rsidRPr="00CA27E3">
        <w:rPr>
          <w:rFonts w:ascii="Sylfaen" w:hAnsi="Sylfaen"/>
          <w:sz w:val="24"/>
          <w:szCs w:val="24"/>
        </w:rPr>
        <w:t>)՝ օդափոխիչի գազի հոսքի հզորությունը, որը որոշվում է սույն պահանջների 7-րդ կետին համապատասխան օդափոխիչի՝ օպտիմալ էներգետիկ արդյունավետության պայմաններում աշխատանքի դեպքում.</w:t>
      </w:r>
    </w:p>
    <w:p w14:paraId="4DA804C6" w14:textId="77777777" w:rsidR="00CA27E3" w:rsidRPr="00D303C2" w:rsidRDefault="00CA27E3" w:rsidP="00CC5E75">
      <w:pPr>
        <w:pStyle w:val="a0"/>
        <w:shd w:val="clear" w:color="auto" w:fill="auto"/>
        <w:spacing w:after="160" w:line="346" w:lineRule="auto"/>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e</w:t>
      </w:r>
      <w:r w:rsidRPr="00CA27E3">
        <w:rPr>
          <w:rFonts w:ascii="Sylfaen" w:hAnsi="Sylfaen"/>
          <w:sz w:val="24"/>
          <w:szCs w:val="24"/>
        </w:rPr>
        <w:t>՝ էլեկտրաշարժիչի սպառվող էլեկտրական հզորությունը՝ չափված էլեկտրաշարժիչի արտանցիչների վրա օդափոխիչի՝ օպտիմալ էներգետիկ արդյունավետության պայմաններում աշխատանքի դեպքում.</w:t>
      </w:r>
      <w:r>
        <w:rPr>
          <w:rFonts w:ascii="Sylfaen" w:hAnsi="Sylfaen"/>
          <w:sz w:val="24"/>
          <w:szCs w:val="24"/>
        </w:rPr>
        <w:t xml:space="preserve"> </w:t>
      </w:r>
    </w:p>
    <w:p w14:paraId="41CC01F0" w14:textId="77777777" w:rsidR="00CA27E3" w:rsidRPr="00CA27E3" w:rsidRDefault="00CA27E3" w:rsidP="00CC5E75">
      <w:pPr>
        <w:pStyle w:val="a0"/>
        <w:shd w:val="clear" w:color="auto" w:fill="auto"/>
        <w:tabs>
          <w:tab w:val="left" w:pos="1134"/>
        </w:tabs>
        <w:spacing w:after="160" w:line="346" w:lineRule="auto"/>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պտտման հաճախության կարգավորմամբ օդափոխիչների համար օգտակար գործողության ընդհանուր գործակիցը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4A731E24"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e</w:t>
      </w:r>
      <w:r w:rsidRPr="00CA27E3">
        <w:rPr>
          <w:rFonts w:ascii="Sylfaen" w:hAnsi="Sylfaen"/>
          <w:sz w:val="24"/>
          <w:szCs w:val="24"/>
        </w:rPr>
        <w:t xml:space="preserve"> = (P</w:t>
      </w:r>
      <w:r w:rsidRPr="00CA27E3">
        <w:rPr>
          <w:rFonts w:ascii="Sylfaen" w:hAnsi="Sylfaen"/>
          <w:sz w:val="24"/>
          <w:szCs w:val="24"/>
          <w:vertAlign w:val="subscript"/>
        </w:rPr>
        <w:t>u(s)</w:t>
      </w:r>
      <w:r w:rsidRPr="00CA27E3">
        <w:rPr>
          <w:rFonts w:ascii="Sylfaen" w:hAnsi="Sylfaen"/>
          <w:sz w:val="24"/>
          <w:szCs w:val="24"/>
        </w:rPr>
        <w:t>/P</w:t>
      </w:r>
      <w:r w:rsidRPr="00CA27E3">
        <w:rPr>
          <w:rFonts w:ascii="Sylfaen" w:hAnsi="Sylfaen"/>
          <w:sz w:val="24"/>
          <w:szCs w:val="24"/>
          <w:vertAlign w:val="subscript"/>
        </w:rPr>
        <w:t>e(d)</w:t>
      </w:r>
      <w:r w:rsidRPr="00CA27E3">
        <w:rPr>
          <w:rFonts w:ascii="Sylfaen" w:hAnsi="Sylfaen"/>
          <w:sz w:val="24"/>
          <w:szCs w:val="24"/>
        </w:rPr>
        <w:t>) × C</w:t>
      </w:r>
      <w:r w:rsidRPr="00CA27E3">
        <w:rPr>
          <w:rFonts w:ascii="Sylfaen" w:hAnsi="Sylfaen"/>
          <w:sz w:val="24"/>
          <w:szCs w:val="24"/>
          <w:vertAlign w:val="subscript"/>
        </w:rPr>
        <w:t>c</w:t>
      </w:r>
      <w:r w:rsidRPr="00CA27E3">
        <w:rPr>
          <w:rFonts w:ascii="Sylfaen" w:hAnsi="Sylfaen"/>
          <w:sz w:val="24"/>
          <w:szCs w:val="24"/>
        </w:rPr>
        <w:t xml:space="preserve"> ,</w:t>
      </w:r>
    </w:p>
    <w:p w14:paraId="3D582FA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որտեղ՝</w:t>
      </w:r>
    </w:p>
    <w:p w14:paraId="7B282A8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e</w:t>
      </w:r>
      <w:r w:rsidRPr="00CA27E3">
        <w:rPr>
          <w:rFonts w:ascii="Sylfaen" w:hAnsi="Sylfaen"/>
          <w:sz w:val="24"/>
          <w:szCs w:val="24"/>
        </w:rPr>
        <w:t>՝ օգտակար գործողության ընդհանուր գործակիցը.</w:t>
      </w:r>
    </w:p>
    <w:p w14:paraId="4EF52EC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u</w:t>
      </w:r>
      <w:r w:rsidRPr="00CA27E3">
        <w:rPr>
          <w:rFonts w:ascii="Sylfaen" w:hAnsi="Sylfaen"/>
          <w:sz w:val="24"/>
          <w:szCs w:val="24"/>
        </w:rPr>
        <w:t>(</w:t>
      </w:r>
      <w:r w:rsidRPr="00CA27E3">
        <w:rPr>
          <w:rFonts w:ascii="Sylfaen" w:hAnsi="Sylfaen"/>
          <w:sz w:val="24"/>
          <w:szCs w:val="24"/>
          <w:vertAlign w:val="subscript"/>
        </w:rPr>
        <w:t>s</w:t>
      </w:r>
      <w:r w:rsidRPr="00CA27E3">
        <w:rPr>
          <w:rFonts w:ascii="Sylfaen" w:hAnsi="Sylfaen"/>
          <w:sz w:val="24"/>
          <w:szCs w:val="24"/>
        </w:rPr>
        <w:t>)՝ օդափոխիչի գազի հոսքի հզորությունը, որը որոշվում է սույն պահանջների 7-րդ կետին համապատասխան օդափոխիչի՝ օպտիմալ էներգետիկ արդյունավետության պայմաններում աշխատանքի դեպքում.</w:t>
      </w:r>
    </w:p>
    <w:p w14:paraId="2F0F593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e</w:t>
      </w:r>
      <w:r w:rsidRPr="00CA27E3">
        <w:rPr>
          <w:rFonts w:ascii="Sylfaen" w:hAnsi="Sylfaen"/>
          <w:sz w:val="24"/>
          <w:szCs w:val="24"/>
        </w:rPr>
        <w:t>(</w:t>
      </w:r>
      <w:r w:rsidRPr="00CA27E3">
        <w:rPr>
          <w:rFonts w:ascii="Sylfaen" w:hAnsi="Sylfaen"/>
          <w:sz w:val="24"/>
          <w:szCs w:val="24"/>
          <w:vertAlign w:val="subscript"/>
        </w:rPr>
        <w:t>d</w:t>
      </w:r>
      <w:r w:rsidRPr="00CA27E3">
        <w:rPr>
          <w:rFonts w:ascii="Sylfaen" w:hAnsi="Sylfaen"/>
          <w:sz w:val="24"/>
          <w:szCs w:val="24"/>
        </w:rPr>
        <w:t>)՝ էլեկտրաշարժիչի սպառվող էլեկտրական հզորությունը՝</w:t>
      </w:r>
      <w:r>
        <w:rPr>
          <w:rFonts w:ascii="Sylfaen" w:hAnsi="Sylfaen"/>
          <w:sz w:val="24"/>
          <w:szCs w:val="24"/>
        </w:rPr>
        <w:t xml:space="preserve"> </w:t>
      </w:r>
      <w:r w:rsidRPr="00CA27E3">
        <w:rPr>
          <w:rFonts w:ascii="Sylfaen" w:hAnsi="Sylfaen"/>
          <w:sz w:val="24"/>
          <w:szCs w:val="24"/>
        </w:rPr>
        <w:t xml:space="preserve">չափված պտտման </w:t>
      </w:r>
      <w:r w:rsidRPr="00CC5E75">
        <w:rPr>
          <w:rFonts w:ascii="Sylfaen" w:hAnsi="Sylfaen"/>
          <w:sz w:val="24"/>
          <w:szCs w:val="24"/>
        </w:rPr>
        <w:t>արագության կարգավորչի արտանցիչների վրա օդափոխիչի</w:t>
      </w:r>
      <w:r w:rsidRPr="00CA27E3">
        <w:rPr>
          <w:rFonts w:ascii="Sylfaen" w:hAnsi="Sylfaen"/>
          <w:sz w:val="24"/>
          <w:szCs w:val="24"/>
        </w:rPr>
        <w:t>՝ օպտիմալ էներգարդյունավետության պայմաններում աշխատանքի դեպքում.</w:t>
      </w:r>
    </w:p>
    <w:p w14:paraId="7ADD4D5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c</w:t>
      </w:r>
      <w:r w:rsidRPr="00CA27E3">
        <w:rPr>
          <w:rFonts w:ascii="Sylfaen" w:hAnsi="Sylfaen"/>
          <w:sz w:val="24"/>
          <w:szCs w:val="24"/>
        </w:rPr>
        <w:t>՝ մասնակի բեռնվածքի ճշգրտման գործակիցը, որը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16EC1630"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c</w:t>
      </w:r>
      <w:r w:rsidRPr="00CA27E3">
        <w:rPr>
          <w:rFonts w:ascii="Sylfaen" w:hAnsi="Sylfaen"/>
          <w:sz w:val="24"/>
          <w:szCs w:val="24"/>
        </w:rPr>
        <w:t xml:space="preserve"> = - 0,03 × ln(P</w:t>
      </w:r>
      <w:r w:rsidRPr="00CA27E3">
        <w:rPr>
          <w:rFonts w:ascii="Sylfaen" w:hAnsi="Sylfaen"/>
          <w:sz w:val="24"/>
          <w:szCs w:val="24"/>
          <w:vertAlign w:val="subscript"/>
        </w:rPr>
        <w:t>e(d)</w:t>
      </w:r>
      <w:r w:rsidRPr="00CA27E3">
        <w:rPr>
          <w:rFonts w:ascii="Sylfaen" w:hAnsi="Sylfaen"/>
          <w:sz w:val="24"/>
          <w:szCs w:val="24"/>
        </w:rPr>
        <w:t>) + 1,088,</w:t>
      </w:r>
      <w:r>
        <w:rPr>
          <w:rFonts w:ascii="Sylfaen" w:hAnsi="Sylfaen"/>
          <w:sz w:val="24"/>
          <w:szCs w:val="24"/>
        </w:rPr>
        <w:t xml:space="preserve"> </w:t>
      </w:r>
      <w:r w:rsidRPr="00CA27E3">
        <w:rPr>
          <w:rFonts w:ascii="Sylfaen" w:hAnsi="Sylfaen"/>
          <w:sz w:val="24"/>
          <w:szCs w:val="24"/>
        </w:rPr>
        <w:t>P</w:t>
      </w:r>
      <w:r w:rsidRPr="00CA27E3">
        <w:rPr>
          <w:rFonts w:ascii="Sylfaen" w:hAnsi="Sylfaen"/>
          <w:sz w:val="24"/>
          <w:szCs w:val="24"/>
          <w:vertAlign w:val="subscript"/>
        </w:rPr>
        <w:t>e(d)</w:t>
      </w:r>
      <w:r w:rsidRPr="00CA27E3">
        <w:rPr>
          <w:rFonts w:ascii="Sylfaen" w:hAnsi="Sylfaen"/>
          <w:sz w:val="24"/>
          <w:szCs w:val="24"/>
        </w:rPr>
        <w:t xml:space="preserve"> &lt; 5 կՎտ-ի դեպքում.</w:t>
      </w:r>
    </w:p>
    <w:p w14:paraId="7A1BE95B"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1BD4318F"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c</w:t>
      </w:r>
      <w:r w:rsidRPr="00CA27E3">
        <w:rPr>
          <w:rFonts w:ascii="Sylfaen" w:hAnsi="Sylfaen"/>
          <w:sz w:val="24"/>
          <w:szCs w:val="24"/>
        </w:rPr>
        <w:t xml:space="preserve"> = 1,04՝ P</w:t>
      </w:r>
      <w:r w:rsidRPr="00CA27E3">
        <w:rPr>
          <w:rFonts w:ascii="Sylfaen" w:hAnsi="Sylfaen"/>
          <w:sz w:val="24"/>
          <w:szCs w:val="24"/>
          <w:vertAlign w:val="subscript"/>
        </w:rPr>
        <w:t>e(d)</w:t>
      </w:r>
      <w:r w:rsidRPr="00CA27E3">
        <w:rPr>
          <w:rFonts w:ascii="Sylfaen" w:hAnsi="Sylfaen"/>
          <w:sz w:val="24"/>
          <w:szCs w:val="24"/>
        </w:rPr>
        <w:t xml:space="preserve"> ≥ 5 կՎտ-ի դեպքում։</w:t>
      </w:r>
    </w:p>
    <w:p w14:paraId="367E0B33"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D303C2" w:rsidRPr="00D303C2">
        <w:rPr>
          <w:rFonts w:ascii="Sylfaen" w:hAnsi="Sylfaen"/>
          <w:sz w:val="24"/>
          <w:szCs w:val="24"/>
        </w:rPr>
        <w:tab/>
      </w:r>
      <w:r w:rsidRPr="00CA27E3">
        <w:rPr>
          <w:rFonts w:ascii="Sylfaen" w:hAnsi="Sylfaen"/>
          <w:sz w:val="24"/>
          <w:szCs w:val="24"/>
        </w:rPr>
        <w:t>Եթե օդափոխիչը մատակարարվում է շահագործման համար ոչ պատրաստ վիճակում, ապա օգտակար գործողության ընդհանուր գործակիցը թ</w:t>
      </w:r>
      <w:r>
        <w:rPr>
          <w:rFonts w:ascii="Sylfaen" w:hAnsi="Sylfaen"/>
          <w:sz w:val="24"/>
          <w:szCs w:val="24"/>
        </w:rPr>
        <w:t>եւ</w:t>
      </w:r>
      <w:r w:rsidRPr="00CA27E3">
        <w:rPr>
          <w:rFonts w:ascii="Sylfaen" w:hAnsi="Sylfaen"/>
          <w:sz w:val="24"/>
          <w:szCs w:val="24"/>
        </w:rPr>
        <w:t>անիվի օպտիմալ էներգետիկ արդյունավետության պայմաններում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r>
        <w:rPr>
          <w:rFonts w:ascii="Sylfaen" w:hAnsi="Sylfaen"/>
          <w:sz w:val="24"/>
          <w:szCs w:val="24"/>
        </w:rPr>
        <w:t xml:space="preserve"> </w:t>
      </w:r>
    </w:p>
    <w:p w14:paraId="1C806B9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e</w:t>
      </w:r>
      <w:r w:rsidRPr="00CA27E3">
        <w:rPr>
          <w:rFonts w:ascii="Sylfaen" w:hAnsi="Sylfaen"/>
          <w:sz w:val="24"/>
          <w:szCs w:val="24"/>
        </w:rPr>
        <w:t xml:space="preserve"> = η</w:t>
      </w:r>
      <w:r w:rsidRPr="00CA27E3">
        <w:rPr>
          <w:rFonts w:ascii="Sylfaen" w:hAnsi="Sylfaen"/>
          <w:sz w:val="24"/>
          <w:szCs w:val="24"/>
          <w:vertAlign w:val="subscript"/>
        </w:rPr>
        <w:t>r</w:t>
      </w:r>
      <w:r w:rsidRPr="00CA27E3">
        <w:rPr>
          <w:rFonts w:ascii="Sylfaen" w:hAnsi="Sylfaen"/>
          <w:sz w:val="24"/>
          <w:szCs w:val="24"/>
        </w:rPr>
        <w:t>·η</w:t>
      </w:r>
      <w:r w:rsidRPr="00CA27E3">
        <w:rPr>
          <w:rFonts w:ascii="Sylfaen" w:hAnsi="Sylfaen"/>
          <w:sz w:val="24"/>
          <w:szCs w:val="24"/>
          <w:vertAlign w:val="subscript"/>
        </w:rPr>
        <w:t xml:space="preserve">m </w:t>
      </w:r>
      <w:r w:rsidRPr="00CA27E3">
        <w:rPr>
          <w:rFonts w:ascii="Sylfaen" w:hAnsi="Sylfaen"/>
          <w:sz w:val="24"/>
          <w:szCs w:val="24"/>
        </w:rPr>
        <w:t>·η</w:t>
      </w:r>
      <w:r w:rsidRPr="00CA27E3">
        <w:rPr>
          <w:rFonts w:ascii="Sylfaen" w:hAnsi="Sylfaen"/>
          <w:sz w:val="24"/>
          <w:szCs w:val="24"/>
          <w:vertAlign w:val="subscript"/>
        </w:rPr>
        <w:t>T</w:t>
      </w:r>
      <w:r w:rsidRPr="00CA27E3">
        <w:rPr>
          <w:rFonts w:ascii="Sylfaen" w:hAnsi="Sylfaen"/>
          <w:sz w:val="24"/>
          <w:szCs w:val="24"/>
        </w:rPr>
        <w:t>·C</w:t>
      </w:r>
      <w:r w:rsidRPr="00CA27E3">
        <w:rPr>
          <w:rFonts w:ascii="Sylfaen" w:hAnsi="Sylfaen"/>
          <w:sz w:val="24"/>
          <w:szCs w:val="24"/>
          <w:vertAlign w:val="subscript"/>
        </w:rPr>
        <w:t>m</w:t>
      </w:r>
      <w:r w:rsidRPr="00CA27E3">
        <w:rPr>
          <w:rFonts w:ascii="Sylfaen" w:hAnsi="Sylfaen"/>
          <w:sz w:val="24"/>
          <w:szCs w:val="24"/>
        </w:rPr>
        <w:t>·C</w:t>
      </w:r>
      <w:r w:rsidRPr="00CA27E3">
        <w:rPr>
          <w:rFonts w:ascii="Sylfaen" w:hAnsi="Sylfaen"/>
          <w:sz w:val="24"/>
          <w:szCs w:val="24"/>
          <w:vertAlign w:val="subscript"/>
        </w:rPr>
        <w:t>c</w:t>
      </w:r>
      <w:r w:rsidRPr="00CA27E3">
        <w:rPr>
          <w:rFonts w:ascii="Sylfaen" w:hAnsi="Sylfaen"/>
          <w:sz w:val="24"/>
          <w:szCs w:val="24"/>
        </w:rPr>
        <w:t xml:space="preserve"> ,</w:t>
      </w:r>
    </w:p>
    <w:p w14:paraId="05AD0F79" w14:textId="77777777" w:rsidR="00CC5E75" w:rsidRPr="003D2C38" w:rsidRDefault="00CC5E75" w:rsidP="00CA27E3">
      <w:pPr>
        <w:pStyle w:val="a0"/>
        <w:shd w:val="clear" w:color="auto" w:fill="auto"/>
        <w:spacing w:after="160"/>
        <w:ind w:firstLine="567"/>
        <w:jc w:val="both"/>
        <w:rPr>
          <w:rFonts w:ascii="Sylfaen" w:hAnsi="Sylfaen"/>
          <w:sz w:val="24"/>
          <w:szCs w:val="24"/>
        </w:rPr>
      </w:pPr>
    </w:p>
    <w:p w14:paraId="5B37599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7574DE6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e-ն</w:t>
      </w:r>
      <w:r w:rsidRPr="00CA27E3">
        <w:rPr>
          <w:rFonts w:ascii="Sylfaen" w:hAnsi="Sylfaen"/>
          <w:sz w:val="24"/>
          <w:szCs w:val="24"/>
        </w:rPr>
        <w:t>՝ օգտակար գործողության ընդհանուր գործակիցն է.</w:t>
      </w:r>
    </w:p>
    <w:p w14:paraId="1F8417FE" w14:textId="77777777" w:rsidR="00CC5E75"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η</w:t>
      </w:r>
      <w:r w:rsidRPr="00CA27E3">
        <w:rPr>
          <w:rFonts w:ascii="Sylfaen" w:hAnsi="Sylfaen"/>
          <w:sz w:val="24"/>
          <w:szCs w:val="24"/>
          <w:vertAlign w:val="subscript"/>
        </w:rPr>
        <w:t>r-ն</w:t>
      </w:r>
      <w:r w:rsidRPr="00CA27E3">
        <w:rPr>
          <w:rFonts w:ascii="Sylfaen" w:hAnsi="Sylfaen"/>
          <w:sz w:val="24"/>
          <w:szCs w:val="24"/>
        </w:rPr>
        <w:t>՝ թ</w:t>
      </w:r>
      <w:r>
        <w:rPr>
          <w:rFonts w:ascii="Sylfaen" w:hAnsi="Sylfaen"/>
          <w:sz w:val="24"/>
          <w:szCs w:val="24"/>
        </w:rPr>
        <w:t>եւ</w:t>
      </w:r>
      <w:r w:rsidRPr="00CA27E3">
        <w:rPr>
          <w:rFonts w:ascii="Sylfaen" w:hAnsi="Sylfaen"/>
          <w:sz w:val="24"/>
          <w:szCs w:val="24"/>
        </w:rPr>
        <w:t>անիվի արդյունավետությունն է, որը համապատասխանում է</w:t>
      </w:r>
      <w:r>
        <w:rPr>
          <w:rFonts w:ascii="Sylfaen" w:hAnsi="Sylfaen"/>
          <w:sz w:val="24"/>
          <w:szCs w:val="24"/>
        </w:rPr>
        <w:t xml:space="preserve"> </w:t>
      </w:r>
      <w:r w:rsidRPr="00CA27E3">
        <w:rPr>
          <w:rFonts w:ascii="Sylfaen" w:hAnsi="Sylfaen"/>
          <w:sz w:val="24"/>
          <w:szCs w:val="24"/>
        </w:rPr>
        <w:t>P</w:t>
      </w:r>
      <w:r w:rsidRPr="00CA27E3">
        <w:rPr>
          <w:rFonts w:ascii="Sylfaen" w:hAnsi="Sylfaen"/>
          <w:sz w:val="24"/>
          <w:szCs w:val="24"/>
          <w:vertAlign w:val="subscript"/>
        </w:rPr>
        <w:t>u</w:t>
      </w:r>
      <w:r w:rsidRPr="00CA27E3">
        <w:rPr>
          <w:rFonts w:ascii="Sylfaen" w:hAnsi="Sylfaen"/>
          <w:sz w:val="24"/>
          <w:szCs w:val="24"/>
        </w:rPr>
        <w:t>(</w:t>
      </w:r>
      <w:r w:rsidRPr="00CA27E3">
        <w:rPr>
          <w:rFonts w:ascii="Sylfaen" w:hAnsi="Sylfaen"/>
          <w:sz w:val="24"/>
          <w:szCs w:val="24"/>
          <w:vertAlign w:val="subscript"/>
        </w:rPr>
        <w:t>s</w:t>
      </w:r>
      <w:r w:rsidRPr="00CA27E3">
        <w:rPr>
          <w:rFonts w:ascii="Sylfaen" w:hAnsi="Sylfaen"/>
          <w:sz w:val="24"/>
          <w:szCs w:val="24"/>
        </w:rPr>
        <w:t>∕P</w:t>
      </w:r>
      <w:r w:rsidRPr="00CA27E3">
        <w:rPr>
          <w:rFonts w:ascii="Sylfaen" w:hAnsi="Sylfaen"/>
          <w:sz w:val="24"/>
          <w:szCs w:val="24"/>
          <w:vertAlign w:val="subscript"/>
        </w:rPr>
        <w:t>a-ին.</w:t>
      </w:r>
      <w:r w:rsidRPr="00CA27E3">
        <w:rPr>
          <w:rFonts w:ascii="Sylfaen" w:hAnsi="Sylfaen"/>
          <w:sz w:val="24"/>
          <w:szCs w:val="24"/>
        </w:rPr>
        <w:t xml:space="preserve"> </w:t>
      </w:r>
    </w:p>
    <w:p w14:paraId="29991C5A" w14:textId="77777777" w:rsidR="00CC5E75" w:rsidRDefault="00CC5E75">
      <w:pPr>
        <w:rPr>
          <w:rFonts w:ascii="Sylfaen" w:eastAsia="Times New Roman" w:hAnsi="Sylfaen" w:cs="Times New Roman"/>
          <w:color w:val="auto"/>
        </w:rPr>
      </w:pPr>
      <w:r>
        <w:rPr>
          <w:rFonts w:ascii="Sylfaen" w:hAnsi="Sylfaen"/>
        </w:rPr>
        <w:br w:type="page"/>
      </w:r>
    </w:p>
    <w:p w14:paraId="71E1818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որտեղ՝</w:t>
      </w:r>
    </w:p>
    <w:p w14:paraId="7334351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u</w:t>
      </w:r>
      <w:r w:rsidRPr="00CA27E3">
        <w:rPr>
          <w:rFonts w:ascii="Sylfaen" w:hAnsi="Sylfaen"/>
          <w:sz w:val="24"/>
          <w:szCs w:val="24"/>
        </w:rPr>
        <w:t>(</w:t>
      </w:r>
      <w:r w:rsidRPr="00CA27E3">
        <w:rPr>
          <w:rFonts w:ascii="Sylfaen" w:hAnsi="Sylfaen"/>
          <w:sz w:val="24"/>
          <w:szCs w:val="24"/>
          <w:vertAlign w:val="subscript"/>
        </w:rPr>
        <w:t>s</w:t>
      </w:r>
      <w:r w:rsidRPr="00CA27E3">
        <w:rPr>
          <w:rFonts w:ascii="Sylfaen" w:hAnsi="Sylfaen"/>
          <w:sz w:val="24"/>
          <w:szCs w:val="24"/>
        </w:rPr>
        <w:t>)-ը՝ օդափոխիչի գազի հոսքի հզորությունն է, որը որոշվում է սույն փաստաթղթի 7-րդ կետին համապատասխան թ</w:t>
      </w:r>
      <w:r>
        <w:rPr>
          <w:rFonts w:ascii="Sylfaen" w:hAnsi="Sylfaen"/>
          <w:sz w:val="24"/>
          <w:szCs w:val="24"/>
        </w:rPr>
        <w:t>եւ</w:t>
      </w:r>
      <w:r w:rsidRPr="00CA27E3">
        <w:rPr>
          <w:rFonts w:ascii="Sylfaen" w:hAnsi="Sylfaen"/>
          <w:sz w:val="24"/>
          <w:szCs w:val="24"/>
        </w:rPr>
        <w:t xml:space="preserve">անիվի օպտիմալ էներգետիկ արդյունավետության պայմաններում. </w:t>
      </w:r>
    </w:p>
    <w:p w14:paraId="34E6CEF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a-ն</w:t>
      </w:r>
      <w:r w:rsidRPr="00CA27E3">
        <w:rPr>
          <w:rFonts w:ascii="Sylfaen" w:hAnsi="Sylfaen"/>
          <w:sz w:val="24"/>
          <w:szCs w:val="24"/>
        </w:rPr>
        <w:t>՝ օդափոխիչի գազի հոսքի հզորությունն է թ</w:t>
      </w:r>
      <w:r>
        <w:rPr>
          <w:rFonts w:ascii="Sylfaen" w:hAnsi="Sylfaen"/>
          <w:sz w:val="24"/>
          <w:szCs w:val="24"/>
        </w:rPr>
        <w:t>եւ</w:t>
      </w:r>
      <w:r w:rsidRPr="00CA27E3">
        <w:rPr>
          <w:rFonts w:ascii="Sylfaen" w:hAnsi="Sylfaen"/>
          <w:sz w:val="24"/>
          <w:szCs w:val="24"/>
        </w:rPr>
        <w:t>անիվի օպտիմալ էներգաարդյունավետության պայմաններում.</w:t>
      </w:r>
    </w:p>
    <w:p w14:paraId="159D9D9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m-ը</w:t>
      </w:r>
      <w:r w:rsidRPr="00CA27E3">
        <w:rPr>
          <w:rFonts w:ascii="Sylfaen" w:hAnsi="Sylfaen"/>
          <w:sz w:val="24"/>
          <w:szCs w:val="24"/>
        </w:rPr>
        <w:t>՝ լրակազմի մեջ մտնող էլեկտրաշարժիչի անվանական արդյունավետությունն է, որը նախատեսված է տեխնիկական կանոնակարգի թիվ 3 հավելվածով։ Եթե շարժիչը ներառված չէ նշված հավելվածի կիրառության ոլորտում կամ բացակայում է օդափոխիչի մատակարարվող լրակազմում, ապա շարժիչի անվանական արդյունավետությունը (η</w:t>
      </w:r>
      <w:r w:rsidRPr="00CA27E3">
        <w:rPr>
          <w:rFonts w:ascii="Sylfaen" w:hAnsi="Sylfaen"/>
          <w:sz w:val="24"/>
          <w:szCs w:val="24"/>
          <w:vertAlign w:val="subscript"/>
        </w:rPr>
        <w:t>m</w:t>
      </w:r>
      <w:r w:rsidRPr="00CA27E3">
        <w:rPr>
          <w:rFonts w:ascii="Sylfaen" w:hAnsi="Sylfaen"/>
          <w:sz w:val="24"/>
          <w:szCs w:val="24"/>
        </w:rPr>
        <w:t>) սահմանվում է հետ</w:t>
      </w:r>
      <w:r>
        <w:rPr>
          <w:rFonts w:ascii="Sylfaen" w:hAnsi="Sylfaen"/>
          <w:sz w:val="24"/>
          <w:szCs w:val="24"/>
        </w:rPr>
        <w:t>եւ</w:t>
      </w:r>
      <w:r w:rsidRPr="00CA27E3">
        <w:rPr>
          <w:rFonts w:ascii="Sylfaen" w:hAnsi="Sylfaen"/>
          <w:sz w:val="24"/>
          <w:szCs w:val="24"/>
        </w:rPr>
        <w:t>յալ արժեքների հիման վրա՝</w:t>
      </w:r>
      <w:r>
        <w:rPr>
          <w:rFonts w:ascii="Sylfaen" w:hAnsi="Sylfaen"/>
          <w:sz w:val="24"/>
          <w:szCs w:val="24"/>
        </w:rPr>
        <w:t xml:space="preserve"> </w:t>
      </w:r>
    </w:p>
    <w:p w14:paraId="5AB35982" w14:textId="77777777" w:rsidR="00CA27E3" w:rsidRPr="00CC5E75" w:rsidRDefault="00CA27E3" w:rsidP="00CA27E3">
      <w:pPr>
        <w:pStyle w:val="a0"/>
        <w:shd w:val="clear" w:color="auto" w:fill="auto"/>
        <w:spacing w:after="160"/>
        <w:ind w:firstLine="567"/>
        <w:jc w:val="both"/>
        <w:rPr>
          <w:rFonts w:ascii="Sylfaen" w:hAnsi="Sylfaen" w:cs="Sylfaen"/>
          <w:spacing w:val="6"/>
          <w:sz w:val="24"/>
          <w:szCs w:val="24"/>
        </w:rPr>
      </w:pPr>
      <w:r w:rsidRPr="00CC5E75">
        <w:rPr>
          <w:rFonts w:ascii="Sylfaen" w:hAnsi="Sylfaen"/>
          <w:spacing w:val="6"/>
          <w:sz w:val="24"/>
          <w:szCs w:val="24"/>
        </w:rPr>
        <w:t>եթե առաջարկվող՝ էլեկտրաշարժիչի սպառվող էլետրական հզորությունը՝ P</w:t>
      </w:r>
      <w:r w:rsidRPr="00CC5E75">
        <w:rPr>
          <w:rFonts w:ascii="Sylfaen" w:hAnsi="Sylfaen"/>
          <w:spacing w:val="6"/>
          <w:sz w:val="24"/>
          <w:szCs w:val="24"/>
          <w:vertAlign w:val="subscript"/>
        </w:rPr>
        <w:t>e</w:t>
      </w:r>
      <w:r w:rsidRPr="00CC5E75">
        <w:rPr>
          <w:rFonts w:ascii="Sylfaen" w:hAnsi="Sylfaen"/>
          <w:spacing w:val="6"/>
          <w:sz w:val="24"/>
          <w:szCs w:val="24"/>
        </w:rPr>
        <w:t xml:space="preserve"> ≥ 0,75 կՎտ է, ապա անվանական արդյունավետությունը հաշվարկվում է հետեւյալ բանաձեւով՝ </w:t>
      </w:r>
    </w:p>
    <w:p w14:paraId="2D7DBE2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m</w:t>
      </w:r>
      <w:r w:rsidRPr="00CA27E3">
        <w:rPr>
          <w:rFonts w:ascii="Sylfaen" w:hAnsi="Sylfaen"/>
          <w:sz w:val="24"/>
          <w:szCs w:val="24"/>
        </w:rPr>
        <w:t>= 0,000278 × (x</w:t>
      </w:r>
      <w:r w:rsidRPr="00CA27E3">
        <w:rPr>
          <w:rFonts w:ascii="Sylfaen" w:hAnsi="Sylfaen"/>
          <w:sz w:val="24"/>
          <w:szCs w:val="24"/>
          <w:vertAlign w:val="superscript"/>
        </w:rPr>
        <w:t>3</w:t>
      </w:r>
      <w:r w:rsidRPr="00CA27E3">
        <w:rPr>
          <w:rFonts w:ascii="Sylfaen" w:hAnsi="Sylfaen"/>
          <w:sz w:val="24"/>
          <w:szCs w:val="24"/>
        </w:rPr>
        <w:t>) - 0,019247 × (x</w:t>
      </w:r>
      <w:r w:rsidRPr="00CA27E3">
        <w:rPr>
          <w:rFonts w:ascii="Sylfaen" w:hAnsi="Sylfaen"/>
          <w:sz w:val="24"/>
          <w:szCs w:val="24"/>
          <w:vertAlign w:val="superscript"/>
        </w:rPr>
        <w:t>2</w:t>
      </w:r>
      <w:r w:rsidRPr="00CA27E3">
        <w:rPr>
          <w:rFonts w:ascii="Sylfaen" w:hAnsi="Sylfaen"/>
          <w:sz w:val="24"/>
          <w:szCs w:val="24"/>
        </w:rPr>
        <w:t>) + 0,104395 × x + 0,809761,</w:t>
      </w:r>
    </w:p>
    <w:p w14:paraId="4BF47D30" w14:textId="77777777" w:rsidR="00CC5E75" w:rsidRPr="003D2C38" w:rsidRDefault="00CC5E75" w:rsidP="00CA27E3">
      <w:pPr>
        <w:pStyle w:val="a0"/>
        <w:shd w:val="clear" w:color="auto" w:fill="auto"/>
        <w:spacing w:after="160"/>
        <w:ind w:firstLine="567"/>
        <w:jc w:val="both"/>
        <w:rPr>
          <w:rFonts w:ascii="Sylfaen" w:hAnsi="Sylfaen"/>
          <w:sz w:val="24"/>
          <w:szCs w:val="24"/>
        </w:rPr>
      </w:pPr>
    </w:p>
    <w:p w14:paraId="7D737BE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5265CC4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x = lg(P</w:t>
      </w:r>
      <w:r w:rsidRPr="00CA27E3">
        <w:rPr>
          <w:rFonts w:ascii="Sylfaen" w:hAnsi="Sylfaen"/>
          <w:sz w:val="24"/>
          <w:szCs w:val="24"/>
          <w:vertAlign w:val="subscript"/>
        </w:rPr>
        <w:t>e</w:t>
      </w:r>
      <w:r w:rsidRPr="00CA27E3">
        <w:rPr>
          <w:rFonts w:ascii="Sylfaen" w:hAnsi="Sylfaen"/>
          <w:sz w:val="24"/>
          <w:szCs w:val="24"/>
        </w:rPr>
        <w:t>),</w:t>
      </w:r>
    </w:p>
    <w:p w14:paraId="265A747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e-ն</w:t>
      </w:r>
      <w:r w:rsidRPr="00CA27E3">
        <w:rPr>
          <w:rFonts w:ascii="Sylfaen" w:hAnsi="Sylfaen"/>
          <w:sz w:val="24"/>
          <w:szCs w:val="24"/>
        </w:rPr>
        <w:t>՝ էլեկտրաշարժիչի սպառվող էլեկտրական հզորությունն է՝ չափված էլեկտրաշարժիչի արտանցիչների վրա օդափոխիչի՝ օպտիմալ էներգետիկ արդյունավետության պայմաններում աշխատանքի դեպքում.</w:t>
      </w:r>
    </w:p>
    <w:p w14:paraId="7732EDAA" w14:textId="77777777" w:rsidR="00CA27E3" w:rsidRPr="00CC5E75" w:rsidRDefault="00CA27E3" w:rsidP="00CA27E3">
      <w:pPr>
        <w:pStyle w:val="a0"/>
        <w:shd w:val="clear" w:color="auto" w:fill="auto"/>
        <w:spacing w:after="160"/>
        <w:ind w:firstLine="567"/>
        <w:jc w:val="both"/>
        <w:rPr>
          <w:rFonts w:ascii="Sylfaen" w:hAnsi="Sylfaen" w:cs="Sylfaen"/>
          <w:spacing w:val="6"/>
          <w:sz w:val="24"/>
          <w:szCs w:val="24"/>
        </w:rPr>
      </w:pPr>
      <w:r w:rsidRPr="00CC5E75">
        <w:rPr>
          <w:rFonts w:ascii="Sylfaen" w:hAnsi="Sylfaen"/>
          <w:spacing w:val="6"/>
          <w:sz w:val="24"/>
          <w:szCs w:val="24"/>
        </w:rPr>
        <w:t>եթե առաջարկվող՝ էլեկտրաշարժիչի սպառվող էլետրական հզորությունը՝ P</w:t>
      </w:r>
      <w:r w:rsidRPr="00CC5E75">
        <w:rPr>
          <w:rFonts w:ascii="Sylfaen" w:hAnsi="Sylfaen"/>
          <w:spacing w:val="6"/>
          <w:sz w:val="24"/>
          <w:szCs w:val="24"/>
          <w:vertAlign w:val="subscript"/>
        </w:rPr>
        <w:t>e</w:t>
      </w:r>
      <w:r w:rsidRPr="00CC5E75">
        <w:rPr>
          <w:rFonts w:ascii="Sylfaen" w:hAnsi="Sylfaen"/>
          <w:spacing w:val="6"/>
          <w:sz w:val="24"/>
          <w:szCs w:val="24"/>
        </w:rPr>
        <w:t xml:space="preserve"> &lt; 0,75 կՎտ է, ապա անվանական արդյունավետությունը հաշվարկվում է հետեւյալ բանաձեւով՝</w:t>
      </w:r>
    </w:p>
    <w:p w14:paraId="77D49D4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m</w:t>
      </w:r>
      <w:r w:rsidRPr="00CA27E3">
        <w:rPr>
          <w:rFonts w:ascii="Sylfaen" w:hAnsi="Sylfaen"/>
          <w:sz w:val="24"/>
          <w:szCs w:val="24"/>
        </w:rPr>
        <w:t xml:space="preserve"> = 0,1462 × ln(P</w:t>
      </w:r>
      <w:r w:rsidRPr="00CA27E3">
        <w:rPr>
          <w:rFonts w:ascii="Sylfaen" w:hAnsi="Sylfaen"/>
          <w:sz w:val="24"/>
          <w:szCs w:val="24"/>
          <w:vertAlign w:val="subscript"/>
        </w:rPr>
        <w:t>e</w:t>
      </w:r>
      <w:r w:rsidRPr="00CA27E3">
        <w:rPr>
          <w:rFonts w:ascii="Sylfaen" w:hAnsi="Sylfaen"/>
          <w:sz w:val="24"/>
          <w:szCs w:val="24"/>
        </w:rPr>
        <w:t>) + 0,8381,</w:t>
      </w:r>
    </w:p>
    <w:p w14:paraId="32A3674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որտեղ՝</w:t>
      </w:r>
    </w:p>
    <w:p w14:paraId="41BD82E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e-ն</w:t>
      </w:r>
      <w:r w:rsidRPr="00CA27E3">
        <w:rPr>
          <w:rFonts w:ascii="Sylfaen" w:hAnsi="Sylfaen"/>
          <w:sz w:val="24"/>
          <w:szCs w:val="24"/>
        </w:rPr>
        <w:t>՝ էլեկտրաշարժիչի սպառվող էլեկտրական հզորությունն է՝ չափված էլեկտրաշարժիչի արտանցիչների վրա օդափոխիչի՝ օպտիմալ էներգետիկ արդյունավետության պայմաններում աշխատանքի դեպքում, ընդ որում՝ էլեկտրաշարժիչի սպառվող էլեկտրական հզորությունը (P</w:t>
      </w:r>
      <w:r w:rsidRPr="00CA27E3">
        <w:rPr>
          <w:rFonts w:ascii="Sylfaen" w:hAnsi="Sylfaen"/>
          <w:sz w:val="24"/>
          <w:szCs w:val="24"/>
          <w:vertAlign w:val="subscript"/>
        </w:rPr>
        <w:t>e</w:t>
      </w:r>
      <w:r w:rsidRPr="00CA27E3">
        <w:rPr>
          <w:rFonts w:ascii="Sylfaen" w:hAnsi="Sylfaen"/>
          <w:sz w:val="24"/>
          <w:szCs w:val="24"/>
        </w:rPr>
        <w:t xml:space="preserve">), որն առաջարկվել է օդափոխիչի արտադրողի կողմից, պետք է լինի բավարար, որպեսզի օդափոխիչը հասնի իր օպտիմալ էներգետիկ արդյունավետությանը (անհրաժեշտության դեպքում հաշվի առնելով շարժաբերով պայմանավորված կորուստները). </w:t>
      </w:r>
    </w:p>
    <w:p w14:paraId="1E52D026"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т-ն</w:t>
      </w:r>
      <w:r w:rsidRPr="00CA27E3">
        <w:rPr>
          <w:rFonts w:ascii="Sylfaen" w:hAnsi="Sylfaen"/>
          <w:sz w:val="24"/>
          <w:szCs w:val="24"/>
        </w:rPr>
        <w:t>՝ շարժաբերի մեխանիզմի արդյունավետությունն է, որի համար օգտագործվում են հետ</w:t>
      </w:r>
      <w:r>
        <w:rPr>
          <w:rFonts w:ascii="Sylfaen" w:hAnsi="Sylfaen"/>
          <w:sz w:val="24"/>
          <w:szCs w:val="24"/>
        </w:rPr>
        <w:t>եւ</w:t>
      </w:r>
      <w:r w:rsidRPr="00CA27E3">
        <w:rPr>
          <w:rFonts w:ascii="Sylfaen" w:hAnsi="Sylfaen"/>
          <w:sz w:val="24"/>
          <w:szCs w:val="24"/>
        </w:rPr>
        <w:t>յալ անվանական արժեքները՝</w:t>
      </w:r>
    </w:p>
    <w:p w14:paraId="6A08168C"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ուղիղ շարժաբերի դեպքում՝</w:t>
      </w:r>
      <w:r>
        <w:rPr>
          <w:rFonts w:ascii="Sylfaen" w:hAnsi="Sylfaen"/>
          <w:sz w:val="24"/>
          <w:szCs w:val="24"/>
        </w:rPr>
        <w:t xml:space="preserve"> </w:t>
      </w:r>
      <w:r w:rsidRPr="00CA27E3">
        <w:rPr>
          <w:rFonts w:ascii="Sylfaen" w:hAnsi="Sylfaen"/>
          <w:sz w:val="24"/>
          <w:szCs w:val="24"/>
        </w:rPr>
        <w:t>η</w:t>
      </w:r>
      <w:r w:rsidRPr="00CA27E3">
        <w:rPr>
          <w:rFonts w:ascii="Sylfaen" w:hAnsi="Sylfaen"/>
          <w:sz w:val="24"/>
          <w:szCs w:val="24"/>
          <w:vertAlign w:val="subscript"/>
        </w:rPr>
        <w:t>Т</w:t>
      </w:r>
      <w:r w:rsidRPr="00CA27E3">
        <w:rPr>
          <w:rFonts w:ascii="Sylfaen" w:hAnsi="Sylfaen"/>
          <w:sz w:val="24"/>
          <w:szCs w:val="24"/>
        </w:rPr>
        <w:t xml:space="preserve"> = 1,0.</w:t>
      </w:r>
    </w:p>
    <w:p w14:paraId="5355E368"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եթե շարժաբեր մեխանիզմը ցածրարդյունավետ շարժաբեր է, ապա՝</w:t>
      </w:r>
    </w:p>
    <w:p w14:paraId="2101F1DD"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a</w:t>
      </w:r>
      <w:r w:rsidRPr="00CA27E3">
        <w:rPr>
          <w:rFonts w:ascii="Sylfaen" w:hAnsi="Sylfaen"/>
          <w:sz w:val="24"/>
          <w:szCs w:val="24"/>
        </w:rPr>
        <w:t xml:space="preserve"> ≥ 5 կՎտ - η</w:t>
      </w:r>
      <w:r w:rsidRPr="00CA27E3">
        <w:rPr>
          <w:rFonts w:ascii="Sylfaen" w:hAnsi="Sylfaen"/>
          <w:sz w:val="24"/>
          <w:szCs w:val="24"/>
          <w:vertAlign w:val="subscript"/>
        </w:rPr>
        <w:t>τ</w:t>
      </w:r>
      <w:r w:rsidRPr="00CA27E3">
        <w:rPr>
          <w:rFonts w:ascii="Sylfaen" w:hAnsi="Sylfaen"/>
          <w:sz w:val="24"/>
          <w:szCs w:val="24"/>
        </w:rPr>
        <w:t xml:space="preserve"> = 0,96-ի համար.</w:t>
      </w:r>
    </w:p>
    <w:p w14:paraId="62A86008"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1 կՎտ &lt;P</w:t>
      </w:r>
      <w:r w:rsidRPr="00CA27E3">
        <w:rPr>
          <w:rFonts w:ascii="Sylfaen" w:hAnsi="Sylfaen"/>
          <w:sz w:val="24"/>
          <w:szCs w:val="24"/>
          <w:vertAlign w:val="subscript"/>
        </w:rPr>
        <w:t>a</w:t>
      </w:r>
      <w:r w:rsidRPr="00CA27E3">
        <w:rPr>
          <w:rFonts w:ascii="Sylfaen" w:hAnsi="Sylfaen"/>
          <w:sz w:val="24"/>
          <w:szCs w:val="24"/>
        </w:rPr>
        <w:t>&lt; 5 կՎտ - η</w:t>
      </w:r>
      <w:r w:rsidRPr="00CA27E3">
        <w:rPr>
          <w:rFonts w:ascii="Sylfaen" w:hAnsi="Sylfaen"/>
          <w:sz w:val="24"/>
          <w:szCs w:val="24"/>
          <w:vertAlign w:val="subscript"/>
        </w:rPr>
        <w:t>τ</w:t>
      </w:r>
      <w:r w:rsidRPr="00CA27E3">
        <w:rPr>
          <w:rFonts w:ascii="Sylfaen" w:hAnsi="Sylfaen"/>
          <w:sz w:val="24"/>
          <w:szCs w:val="24"/>
        </w:rPr>
        <w:t xml:space="preserve"> = 0,0175 × P</w:t>
      </w:r>
      <w:r w:rsidRPr="00CA27E3">
        <w:rPr>
          <w:rFonts w:ascii="Sylfaen" w:hAnsi="Sylfaen"/>
          <w:sz w:val="24"/>
          <w:szCs w:val="24"/>
          <w:vertAlign w:val="subscript"/>
        </w:rPr>
        <w:t>a</w:t>
      </w:r>
      <w:r w:rsidRPr="00CA27E3">
        <w:rPr>
          <w:rFonts w:ascii="Sylfaen" w:hAnsi="Sylfaen"/>
          <w:sz w:val="24"/>
          <w:szCs w:val="24"/>
        </w:rPr>
        <w:t xml:space="preserve"> + 0,8725-ի համար.</w:t>
      </w:r>
    </w:p>
    <w:p w14:paraId="70790E4F"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a</w:t>
      </w:r>
      <w:r w:rsidRPr="00CA27E3">
        <w:rPr>
          <w:rFonts w:ascii="Sylfaen" w:hAnsi="Sylfaen"/>
          <w:sz w:val="24"/>
          <w:szCs w:val="24"/>
        </w:rPr>
        <w:t xml:space="preserve"> ≤ 1 կՎտ - η</w:t>
      </w:r>
      <w:r w:rsidRPr="00CA27E3">
        <w:rPr>
          <w:rFonts w:ascii="Sylfaen" w:hAnsi="Sylfaen"/>
          <w:sz w:val="24"/>
          <w:szCs w:val="24"/>
          <w:vertAlign w:val="subscript"/>
        </w:rPr>
        <w:t>τ</w:t>
      </w:r>
      <w:r w:rsidRPr="00CA27E3">
        <w:rPr>
          <w:rFonts w:ascii="Sylfaen" w:hAnsi="Sylfaen"/>
          <w:sz w:val="24"/>
          <w:szCs w:val="24"/>
        </w:rPr>
        <w:t xml:space="preserve"> = 0,89-ի համար.</w:t>
      </w:r>
    </w:p>
    <w:p w14:paraId="6F26F31E"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եթե շարժաբեր մեխանիզմը բարձրարդյունավետ շարժաբեր է, ապա՝</w:t>
      </w:r>
    </w:p>
    <w:p w14:paraId="4449C101"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a</w:t>
      </w:r>
      <w:r w:rsidRPr="00CA27E3">
        <w:rPr>
          <w:rFonts w:ascii="Sylfaen" w:hAnsi="Sylfaen"/>
          <w:sz w:val="24"/>
          <w:szCs w:val="24"/>
        </w:rPr>
        <w:t xml:space="preserve"> ≥ 5 կՎտ - η</w:t>
      </w:r>
      <w:r w:rsidRPr="00CA27E3">
        <w:rPr>
          <w:rFonts w:ascii="Sylfaen" w:hAnsi="Sylfaen"/>
          <w:sz w:val="24"/>
          <w:szCs w:val="24"/>
          <w:vertAlign w:val="subscript"/>
        </w:rPr>
        <w:t>τ</w:t>
      </w:r>
      <w:r w:rsidRPr="00CA27E3">
        <w:rPr>
          <w:rFonts w:ascii="Sylfaen" w:hAnsi="Sylfaen"/>
          <w:sz w:val="24"/>
          <w:szCs w:val="24"/>
        </w:rPr>
        <w:t xml:space="preserve"> = 0,98-ի համար.</w:t>
      </w:r>
    </w:p>
    <w:p w14:paraId="5C7E2DFC"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1 կՎտ &lt;P</w:t>
      </w:r>
      <w:r w:rsidRPr="00CA27E3">
        <w:rPr>
          <w:rFonts w:ascii="Sylfaen" w:hAnsi="Sylfaen"/>
          <w:sz w:val="24"/>
          <w:szCs w:val="24"/>
          <w:vertAlign w:val="subscript"/>
        </w:rPr>
        <w:t>a</w:t>
      </w:r>
      <w:r w:rsidRPr="00CA27E3">
        <w:rPr>
          <w:rFonts w:ascii="Sylfaen" w:hAnsi="Sylfaen"/>
          <w:sz w:val="24"/>
          <w:szCs w:val="24"/>
        </w:rPr>
        <w:t>&lt; 5 կՎտ - η</w:t>
      </w:r>
      <w:r w:rsidRPr="00CA27E3">
        <w:rPr>
          <w:rFonts w:ascii="Sylfaen" w:hAnsi="Sylfaen"/>
          <w:sz w:val="24"/>
          <w:szCs w:val="24"/>
          <w:vertAlign w:val="subscript"/>
        </w:rPr>
        <w:t>τ</w:t>
      </w:r>
      <w:r w:rsidRPr="00CA27E3">
        <w:rPr>
          <w:rFonts w:ascii="Sylfaen" w:hAnsi="Sylfaen"/>
          <w:sz w:val="24"/>
          <w:szCs w:val="24"/>
        </w:rPr>
        <w:t xml:space="preserve"> = 0,01 × P</w:t>
      </w:r>
      <w:r w:rsidRPr="00CA27E3">
        <w:rPr>
          <w:rFonts w:ascii="Sylfaen" w:hAnsi="Sylfaen"/>
          <w:sz w:val="24"/>
          <w:szCs w:val="24"/>
          <w:vertAlign w:val="subscript"/>
        </w:rPr>
        <w:t>a</w:t>
      </w:r>
      <w:r w:rsidRPr="00CA27E3">
        <w:rPr>
          <w:rFonts w:ascii="Sylfaen" w:hAnsi="Sylfaen"/>
          <w:sz w:val="24"/>
          <w:szCs w:val="24"/>
        </w:rPr>
        <w:t xml:space="preserve"> + 0,93-ի համար.</w:t>
      </w:r>
    </w:p>
    <w:p w14:paraId="6FB70897"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a</w:t>
      </w:r>
      <w:r w:rsidRPr="00CA27E3">
        <w:rPr>
          <w:rFonts w:ascii="Sylfaen" w:hAnsi="Sylfaen"/>
          <w:sz w:val="24"/>
          <w:szCs w:val="24"/>
        </w:rPr>
        <w:t xml:space="preserve"> ≤ 1 կՎտ - η</w:t>
      </w:r>
      <w:r w:rsidRPr="00CA27E3">
        <w:rPr>
          <w:rFonts w:ascii="Sylfaen" w:hAnsi="Sylfaen"/>
          <w:sz w:val="24"/>
          <w:szCs w:val="24"/>
          <w:vertAlign w:val="subscript"/>
        </w:rPr>
        <w:t>τ</w:t>
      </w:r>
      <w:r w:rsidRPr="00CA27E3">
        <w:rPr>
          <w:rFonts w:ascii="Sylfaen" w:hAnsi="Sylfaen"/>
          <w:sz w:val="24"/>
          <w:szCs w:val="24"/>
        </w:rPr>
        <w:t xml:space="preserve"> = 0,94-ի համար.</w:t>
      </w:r>
    </w:p>
    <w:p w14:paraId="5BD18636"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m</w:t>
      </w:r>
      <w:r w:rsidRPr="00CA27E3">
        <w:rPr>
          <w:rFonts w:ascii="Sylfaen" w:hAnsi="Sylfaen"/>
          <w:sz w:val="24"/>
          <w:szCs w:val="24"/>
        </w:rPr>
        <w:t xml:space="preserve">՝ ճշգրտման գործակիցը, որում հաշվի է առնվում բաղադրիչ մասերի համաձայնեցումը՝ հավասար 0,9-ին. </w:t>
      </w:r>
    </w:p>
    <w:p w14:paraId="10169B1D"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C</w:t>
      </w:r>
      <w:r w:rsidRPr="00CA27E3">
        <w:rPr>
          <w:rFonts w:ascii="Sylfaen" w:hAnsi="Sylfaen"/>
          <w:sz w:val="24"/>
          <w:szCs w:val="24"/>
          <w:vertAlign w:val="subscript"/>
        </w:rPr>
        <w:t>c</w:t>
      </w:r>
      <w:r w:rsidRPr="00CA27E3">
        <w:rPr>
          <w:rFonts w:ascii="Sylfaen" w:hAnsi="Sylfaen"/>
          <w:sz w:val="24"/>
          <w:szCs w:val="24"/>
        </w:rPr>
        <w:t>՝ մասնակի բեռնվածքի ճշգրտման գործակիցը՝ հավասար.</w:t>
      </w:r>
    </w:p>
    <w:p w14:paraId="4E4964AD"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եթե պտտման հաճախության կարգավորման էեկտրաշարժիչը՝ Cc = 1.0. </w:t>
      </w:r>
    </w:p>
    <w:p w14:paraId="70A82313" w14:textId="77777777" w:rsidR="00CA27E3" w:rsidRPr="00CA27E3" w:rsidRDefault="00CA27E3" w:rsidP="00CC5E75">
      <w:pPr>
        <w:pStyle w:val="a0"/>
        <w:shd w:val="clear" w:color="auto" w:fill="auto"/>
        <w:spacing w:after="160" w:line="348" w:lineRule="auto"/>
        <w:ind w:firstLine="567"/>
        <w:jc w:val="both"/>
        <w:rPr>
          <w:rFonts w:ascii="Sylfaen" w:hAnsi="Sylfaen" w:cs="Sylfaen"/>
          <w:sz w:val="24"/>
          <w:szCs w:val="24"/>
        </w:rPr>
      </w:pPr>
      <w:r w:rsidRPr="00CA27E3">
        <w:rPr>
          <w:rFonts w:ascii="Sylfaen" w:hAnsi="Sylfaen"/>
          <w:sz w:val="24"/>
          <w:szCs w:val="24"/>
        </w:rPr>
        <w:t xml:space="preserve">եթե պտտման հաճախության կարգավորմամբ էլեկտրաշարժաբերը </w:t>
      </w:r>
      <w:r>
        <w:rPr>
          <w:rFonts w:ascii="Sylfaen" w:hAnsi="Sylfaen"/>
          <w:sz w:val="24"/>
          <w:szCs w:val="24"/>
        </w:rPr>
        <w:t>եւ</w:t>
      </w:r>
      <w:r w:rsidRPr="00CA27E3">
        <w:rPr>
          <w:rFonts w:ascii="Sylfaen" w:hAnsi="Sylfaen"/>
          <w:sz w:val="24"/>
          <w:szCs w:val="24"/>
        </w:rPr>
        <w:t xml:space="preserve"> եթե Pe(d) ≥ 5 կՎտ - Cc = 1,04. </w:t>
      </w:r>
    </w:p>
    <w:p w14:paraId="7D56951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եթե պտտման հաճախության կարգավորմամբ էլեկտրաշարժաբերը </w:t>
      </w:r>
      <w:r>
        <w:rPr>
          <w:rFonts w:ascii="Sylfaen" w:hAnsi="Sylfaen"/>
          <w:sz w:val="24"/>
          <w:szCs w:val="24"/>
        </w:rPr>
        <w:t>եւ</w:t>
      </w:r>
      <w:r w:rsidRPr="00CA27E3">
        <w:rPr>
          <w:rFonts w:ascii="Sylfaen" w:hAnsi="Sylfaen"/>
          <w:sz w:val="24"/>
          <w:szCs w:val="24"/>
        </w:rPr>
        <w:t xml:space="preserve"> եթե Pe(d) &lt; 5 կՎտ - Cc = - 0,03 ln(Pe(d)) + 1,088։</w:t>
      </w:r>
    </w:p>
    <w:p w14:paraId="7DA3C4F6" w14:textId="77777777" w:rsidR="00CA27E3" w:rsidRPr="00D303C2"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D303C2" w:rsidRPr="00D303C2">
        <w:rPr>
          <w:rFonts w:ascii="Sylfaen" w:hAnsi="Sylfaen"/>
          <w:sz w:val="24"/>
          <w:szCs w:val="24"/>
        </w:rPr>
        <w:tab/>
      </w:r>
      <w:r w:rsidRPr="00CA27E3">
        <w:rPr>
          <w:rFonts w:ascii="Sylfaen" w:hAnsi="Sylfaen"/>
          <w:sz w:val="24"/>
          <w:szCs w:val="24"/>
        </w:rPr>
        <w:t>Օդափոխիչի գազի հոսքի հզորությունը՝ P</w:t>
      </w:r>
      <w:r w:rsidRPr="00CA27E3">
        <w:rPr>
          <w:rFonts w:ascii="Sylfaen" w:hAnsi="Sylfaen"/>
          <w:sz w:val="24"/>
          <w:szCs w:val="24"/>
          <w:vertAlign w:val="subscript"/>
        </w:rPr>
        <w:t>u</w:t>
      </w:r>
      <w:r w:rsidRPr="00CA27E3">
        <w:rPr>
          <w:rFonts w:ascii="Sylfaen" w:hAnsi="Sylfaen"/>
          <w:sz w:val="24"/>
          <w:szCs w:val="24"/>
        </w:rPr>
        <w:t>(</w:t>
      </w:r>
      <w:r w:rsidRPr="00CA27E3">
        <w:rPr>
          <w:rFonts w:ascii="Sylfaen" w:hAnsi="Sylfaen"/>
          <w:sz w:val="24"/>
          <w:szCs w:val="24"/>
          <w:vertAlign w:val="subscript"/>
        </w:rPr>
        <w:t>s</w:t>
      </w:r>
      <w:r w:rsidRPr="00CA27E3">
        <w:rPr>
          <w:rFonts w:ascii="Sylfaen" w:hAnsi="Sylfaen"/>
          <w:sz w:val="24"/>
          <w:szCs w:val="24"/>
        </w:rPr>
        <w:t>) կՎտ-ով հաշվարկվում է չափումների կատեգորիայի համար արտադրողի կողմից ընտրված վերահսկման մեթոդով՝</w:t>
      </w:r>
      <w:r>
        <w:rPr>
          <w:rFonts w:ascii="Sylfaen" w:hAnsi="Sylfaen"/>
          <w:sz w:val="24"/>
          <w:szCs w:val="24"/>
        </w:rPr>
        <w:t xml:space="preserve"> </w:t>
      </w:r>
    </w:p>
    <w:p w14:paraId="0EC81791"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եթե օդափոխիչի վրա չափումներն անցկացվել են A կամ С չափումների կատեգորիայի համաձայն, ապա կիրառվում է օդափոխիչի գազի հոսքի՝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հաշվարկված ստատիկ հզորությունը.</w:t>
      </w:r>
      <w:r>
        <w:rPr>
          <w:rFonts w:ascii="Sylfaen" w:hAnsi="Sylfaen"/>
          <w:sz w:val="24"/>
          <w:szCs w:val="24"/>
        </w:rPr>
        <w:t xml:space="preserve"> </w:t>
      </w:r>
    </w:p>
    <w:p w14:paraId="2D3CD57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u(s)</w:t>
      </w:r>
      <w:r w:rsidRPr="00CA27E3">
        <w:rPr>
          <w:rFonts w:ascii="Sylfaen" w:hAnsi="Sylfaen"/>
          <w:sz w:val="24"/>
          <w:szCs w:val="24"/>
        </w:rPr>
        <w:t xml:space="preserve"> = q × p</w:t>
      </w:r>
      <w:r w:rsidRPr="00CA27E3">
        <w:rPr>
          <w:rFonts w:ascii="Sylfaen" w:hAnsi="Sylfaen"/>
          <w:sz w:val="24"/>
          <w:szCs w:val="24"/>
          <w:vertAlign w:val="subscript"/>
        </w:rPr>
        <w:t>sf</w:t>
      </w:r>
      <w:r w:rsidRPr="00CA27E3">
        <w:rPr>
          <w:rFonts w:ascii="Sylfaen" w:hAnsi="Sylfaen"/>
          <w:sz w:val="24"/>
          <w:szCs w:val="24"/>
        </w:rPr>
        <w:t xml:space="preserve"> × k</w:t>
      </w:r>
      <w:r w:rsidRPr="00CA27E3">
        <w:rPr>
          <w:rFonts w:ascii="Sylfaen" w:hAnsi="Sylfaen"/>
          <w:sz w:val="24"/>
          <w:szCs w:val="24"/>
          <w:vertAlign w:val="subscript"/>
        </w:rPr>
        <w:t>ps</w:t>
      </w:r>
      <w:r w:rsidRPr="00CA27E3">
        <w:rPr>
          <w:rFonts w:ascii="Sylfaen" w:hAnsi="Sylfaen"/>
          <w:sz w:val="24"/>
          <w:szCs w:val="24"/>
        </w:rPr>
        <w:t>.</w:t>
      </w:r>
    </w:p>
    <w:p w14:paraId="11D519A2"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եթե օդափոխիչի վրա չափումներն անցկացվել են B կամ D չափումների կատեգորիայի համաձայն, ապա կիրառվում է օդափոխիչի գազի հոսքի՝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հաշվարկված գումարային հզորությունը.</w:t>
      </w:r>
    </w:p>
    <w:p w14:paraId="37451D9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u(s)</w:t>
      </w:r>
      <w:r w:rsidRPr="00CA27E3">
        <w:rPr>
          <w:rFonts w:ascii="Sylfaen" w:hAnsi="Sylfaen"/>
          <w:sz w:val="24"/>
          <w:szCs w:val="24"/>
        </w:rPr>
        <w:t xml:space="preserve"> = q × p</w:t>
      </w:r>
      <w:r w:rsidRPr="00CA27E3">
        <w:rPr>
          <w:rFonts w:ascii="Sylfaen" w:hAnsi="Sylfaen"/>
          <w:sz w:val="24"/>
          <w:szCs w:val="24"/>
          <w:vertAlign w:val="subscript"/>
        </w:rPr>
        <w:t>sf</w:t>
      </w:r>
      <w:r w:rsidRPr="00CA27E3">
        <w:rPr>
          <w:rFonts w:ascii="Sylfaen" w:hAnsi="Sylfaen"/>
          <w:sz w:val="24"/>
          <w:szCs w:val="24"/>
        </w:rPr>
        <w:t xml:space="preserve"> × k</w:t>
      </w:r>
      <w:r w:rsidRPr="00CA27E3">
        <w:rPr>
          <w:rFonts w:ascii="Sylfaen" w:hAnsi="Sylfaen"/>
          <w:sz w:val="24"/>
          <w:szCs w:val="24"/>
          <w:vertAlign w:val="subscript"/>
        </w:rPr>
        <w:t>ps</w:t>
      </w:r>
      <w:r w:rsidRPr="00CA27E3">
        <w:rPr>
          <w:rFonts w:ascii="Sylfaen" w:hAnsi="Sylfaen"/>
          <w:sz w:val="24"/>
          <w:szCs w:val="24"/>
        </w:rPr>
        <w:t>։</w:t>
      </w:r>
    </w:p>
    <w:p w14:paraId="718C029D"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8.</w:t>
      </w:r>
      <w:r w:rsidR="00D303C2" w:rsidRPr="00D303C2">
        <w:rPr>
          <w:rFonts w:ascii="Sylfaen" w:hAnsi="Sylfaen"/>
          <w:sz w:val="24"/>
          <w:szCs w:val="24"/>
        </w:rPr>
        <w:tab/>
      </w:r>
      <w:r w:rsidRPr="00CA27E3">
        <w:rPr>
          <w:rFonts w:ascii="Sylfaen" w:hAnsi="Sylfaen"/>
          <w:sz w:val="24"/>
          <w:szCs w:val="24"/>
        </w:rPr>
        <w:t>Օդափոխիչի կառուցվածքից կախված՝ կիրառվում են հաշվարկային էներգետիկ արդյունավետությունը որոշելու հետ</w:t>
      </w:r>
      <w:r>
        <w:rPr>
          <w:rFonts w:ascii="Sylfaen" w:hAnsi="Sylfaen"/>
          <w:sz w:val="24"/>
          <w:szCs w:val="24"/>
        </w:rPr>
        <w:t>եւ</w:t>
      </w:r>
      <w:r w:rsidRPr="00CA27E3">
        <w:rPr>
          <w:rFonts w:ascii="Sylfaen" w:hAnsi="Sylfaen"/>
          <w:sz w:val="24"/>
          <w:szCs w:val="24"/>
        </w:rPr>
        <w:t xml:space="preserve">յալ մեթոդները՝ </w:t>
      </w:r>
    </w:p>
    <w:p w14:paraId="234D310E"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 xml:space="preserve">առանցքային օդափոխիչների, առաջ ծալված թիակներով շառավղային օդափոխիչների </w:t>
      </w:r>
      <w:r>
        <w:rPr>
          <w:rFonts w:ascii="Sylfaen" w:hAnsi="Sylfaen"/>
          <w:sz w:val="24"/>
          <w:szCs w:val="24"/>
        </w:rPr>
        <w:t>եւ</w:t>
      </w:r>
      <w:r w:rsidRPr="00CA27E3">
        <w:rPr>
          <w:rFonts w:ascii="Sylfaen" w:hAnsi="Sylfaen"/>
          <w:sz w:val="24"/>
          <w:szCs w:val="24"/>
        </w:rPr>
        <w:t xml:space="preserve"> ուղիղ շառավղային թիակներով շառավղային օդափոխիչների համար (ներկառուցված առանցքային օդափոխիչով) հաշվարկային էներգետիկ արդյունավետությունը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 xml:space="preserve">ով՝ </w:t>
      </w:r>
    </w:p>
    <w:p w14:paraId="635FAED7" w14:textId="77777777" w:rsidR="00CA27E3" w:rsidRPr="00CC5E75" w:rsidRDefault="00CA27E3" w:rsidP="00CA27E3">
      <w:pPr>
        <w:pStyle w:val="a0"/>
        <w:shd w:val="clear" w:color="auto" w:fill="auto"/>
        <w:spacing w:after="160"/>
        <w:ind w:firstLine="0"/>
        <w:jc w:val="center"/>
        <w:rPr>
          <w:rFonts w:ascii="Sylfaen" w:hAnsi="Sylfaen" w:cs="Sylfaen"/>
          <w:spacing w:val="-6"/>
          <w:sz w:val="24"/>
          <w:szCs w:val="24"/>
        </w:rPr>
      </w:pPr>
      <w:r w:rsidRPr="00CC5E75">
        <w:rPr>
          <w:rFonts w:ascii="Sylfaen" w:hAnsi="Sylfaen"/>
          <w:spacing w:val="-6"/>
          <w:sz w:val="24"/>
          <w:szCs w:val="24"/>
        </w:rPr>
        <w:t>η</w:t>
      </w:r>
      <w:r w:rsidRPr="00CC5E75">
        <w:rPr>
          <w:rFonts w:ascii="Sylfaen" w:hAnsi="Sylfaen"/>
          <w:spacing w:val="-6"/>
          <w:sz w:val="24"/>
          <w:szCs w:val="24"/>
          <w:vertAlign w:val="subscript"/>
        </w:rPr>
        <w:t>հ.է</w:t>
      </w:r>
      <w:r w:rsidRPr="00CC5E75">
        <w:rPr>
          <w:rFonts w:ascii="Sylfaen" w:hAnsi="Sylfaen"/>
          <w:spacing w:val="-6"/>
          <w:sz w:val="24"/>
          <w:szCs w:val="24"/>
        </w:rPr>
        <w:t>. = 2,74 × ln(P) - 6,33 + N -P՝ 0.125 կՎտ-ից մինչեւ 10 կՎտ հզորությունների համար.</w:t>
      </w:r>
    </w:p>
    <w:p w14:paraId="68C3564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հ.է</w:t>
      </w:r>
      <w:r w:rsidRPr="00CA27E3">
        <w:rPr>
          <w:rFonts w:ascii="Sylfaen" w:hAnsi="Sylfaen"/>
          <w:sz w:val="24"/>
          <w:szCs w:val="24"/>
        </w:rPr>
        <w:t>. = 0,78 × ln(P) - 1,88 + N - P՝ 10 կՎտ-ից մինչ</w:t>
      </w:r>
      <w:r>
        <w:rPr>
          <w:rFonts w:ascii="Sylfaen" w:hAnsi="Sylfaen"/>
          <w:sz w:val="24"/>
          <w:szCs w:val="24"/>
        </w:rPr>
        <w:t>եւ</w:t>
      </w:r>
      <w:r w:rsidRPr="00CA27E3">
        <w:rPr>
          <w:rFonts w:ascii="Sylfaen" w:hAnsi="Sylfaen"/>
          <w:sz w:val="24"/>
          <w:szCs w:val="24"/>
        </w:rPr>
        <w:t xml:space="preserve"> 500 կՎտ հզորությունների համար.</w:t>
      </w:r>
    </w:p>
    <w:p w14:paraId="28D0E7E3" w14:textId="77777777" w:rsidR="00CC5E75" w:rsidRPr="003D2C38" w:rsidRDefault="00CC5E75" w:rsidP="00CA27E3">
      <w:pPr>
        <w:pStyle w:val="a0"/>
        <w:shd w:val="clear" w:color="auto" w:fill="auto"/>
        <w:spacing w:after="160"/>
        <w:ind w:firstLine="567"/>
        <w:jc w:val="both"/>
        <w:rPr>
          <w:rFonts w:ascii="Sylfaen" w:hAnsi="Sylfaen"/>
          <w:sz w:val="24"/>
          <w:szCs w:val="24"/>
        </w:rPr>
      </w:pPr>
    </w:p>
    <w:p w14:paraId="715CB4F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0C988A0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P-ն՝ էլեկտրաշարժիչի սպառվող էլեկտրական հզորությունն է P</w:t>
      </w:r>
      <w:r w:rsidRPr="00CA27E3">
        <w:rPr>
          <w:rFonts w:ascii="Sylfaen" w:hAnsi="Sylfaen"/>
          <w:sz w:val="24"/>
          <w:szCs w:val="24"/>
          <w:vertAlign w:val="subscript"/>
        </w:rPr>
        <w:t>e</w:t>
      </w:r>
      <w:r w:rsidRPr="00CA27E3">
        <w:rPr>
          <w:rFonts w:ascii="Sylfaen" w:hAnsi="Sylfaen"/>
          <w:sz w:val="24"/>
          <w:szCs w:val="24"/>
        </w:rPr>
        <w:t>(</w:t>
      </w:r>
      <w:r w:rsidRPr="00CA27E3">
        <w:rPr>
          <w:rFonts w:ascii="Sylfaen" w:hAnsi="Sylfaen"/>
          <w:sz w:val="24"/>
          <w:szCs w:val="24"/>
          <w:vertAlign w:val="subscript"/>
        </w:rPr>
        <w:t>d</w:t>
      </w:r>
      <w:r w:rsidRPr="00CA27E3">
        <w:rPr>
          <w:rFonts w:ascii="Sylfaen" w:hAnsi="Sylfaen"/>
          <w:sz w:val="24"/>
          <w:szCs w:val="24"/>
        </w:rPr>
        <w:t xml:space="preserve">). </w:t>
      </w:r>
    </w:p>
    <w:p w14:paraId="52F518D2" w14:textId="77777777" w:rsidR="00CA27E3" w:rsidRPr="00CC5E75" w:rsidRDefault="00CA27E3" w:rsidP="00CA27E3">
      <w:pPr>
        <w:pStyle w:val="a0"/>
        <w:shd w:val="clear" w:color="auto" w:fill="auto"/>
        <w:spacing w:after="160"/>
        <w:ind w:firstLine="567"/>
        <w:jc w:val="both"/>
        <w:rPr>
          <w:rFonts w:ascii="Sylfaen" w:hAnsi="Sylfaen" w:cs="Sylfaen"/>
          <w:spacing w:val="-6"/>
          <w:sz w:val="24"/>
          <w:szCs w:val="24"/>
        </w:rPr>
      </w:pPr>
      <w:r w:rsidRPr="00CC5E75">
        <w:rPr>
          <w:rFonts w:ascii="Sylfaen" w:hAnsi="Sylfaen"/>
          <w:spacing w:val="-6"/>
          <w:sz w:val="24"/>
          <w:szCs w:val="24"/>
        </w:rPr>
        <w:t>N-ը՝ էներգետիկ արդյունավետության պահանջվող մակարդակի ամբողջ թիվն է.</w:t>
      </w:r>
    </w:p>
    <w:p w14:paraId="1FC6130C"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բ)</w:t>
      </w:r>
      <w:r w:rsidR="00D303C2" w:rsidRPr="00D303C2">
        <w:rPr>
          <w:rFonts w:ascii="Sylfaen" w:hAnsi="Sylfaen"/>
          <w:sz w:val="24"/>
          <w:szCs w:val="24"/>
        </w:rPr>
        <w:tab/>
      </w:r>
      <w:r w:rsidRPr="00CA27E3">
        <w:rPr>
          <w:rFonts w:ascii="Sylfaen" w:hAnsi="Sylfaen"/>
          <w:sz w:val="24"/>
          <w:szCs w:val="24"/>
        </w:rPr>
        <w:t xml:space="preserve">հետ ծալված թիակներով առանց կորպուսի շառավղային օդափոխիչների, հետ ծալված թիակներով կորպուսով շառավղային օդափոխիչների </w:t>
      </w:r>
      <w:r>
        <w:rPr>
          <w:rFonts w:ascii="Sylfaen" w:hAnsi="Sylfaen"/>
          <w:sz w:val="24"/>
          <w:szCs w:val="24"/>
        </w:rPr>
        <w:t>եւ</w:t>
      </w:r>
      <w:r w:rsidRPr="00CA27E3">
        <w:rPr>
          <w:rFonts w:ascii="Sylfaen" w:hAnsi="Sylfaen"/>
          <w:sz w:val="24"/>
          <w:szCs w:val="24"/>
        </w:rPr>
        <w:t xml:space="preserve"> անկյունագծային օդափոխիչների համար հաշվարկային էներգետիկ արդյունավետությունը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0CD57646" w14:textId="77777777" w:rsidR="00CA27E3" w:rsidRPr="00CC5E75" w:rsidRDefault="00CA27E3" w:rsidP="00CC5E75">
      <w:pPr>
        <w:pStyle w:val="a0"/>
        <w:shd w:val="clear" w:color="auto" w:fill="auto"/>
        <w:spacing w:after="160"/>
        <w:ind w:right="-1" w:firstLine="0"/>
        <w:jc w:val="center"/>
        <w:rPr>
          <w:rFonts w:ascii="Sylfaen" w:hAnsi="Sylfaen" w:cs="Sylfaen"/>
          <w:spacing w:val="-6"/>
          <w:sz w:val="24"/>
          <w:szCs w:val="24"/>
        </w:rPr>
      </w:pPr>
      <w:r w:rsidRPr="00CC5E75">
        <w:rPr>
          <w:rStyle w:val="a3"/>
          <w:rFonts w:ascii="Sylfaen" w:hAnsi="Sylfaen"/>
          <w:spacing w:val="-6"/>
          <w:sz w:val="24"/>
          <w:szCs w:val="24"/>
        </w:rPr>
        <w:t>η</w:t>
      </w:r>
      <w:r w:rsidRPr="00CC5E75">
        <w:rPr>
          <w:rStyle w:val="a3"/>
          <w:rFonts w:ascii="Sylfaen" w:hAnsi="Sylfaen"/>
          <w:spacing w:val="-6"/>
          <w:sz w:val="24"/>
          <w:szCs w:val="24"/>
          <w:vertAlign w:val="subscript"/>
        </w:rPr>
        <w:t>հ.է</w:t>
      </w:r>
      <w:r w:rsidRPr="00CC5E75">
        <w:rPr>
          <w:rFonts w:ascii="Sylfaen" w:hAnsi="Sylfaen"/>
          <w:spacing w:val="-6"/>
          <w:sz w:val="24"/>
          <w:szCs w:val="24"/>
        </w:rPr>
        <w:t>. = 4,56 × ln(P) - 10,5 + N - P՝ 0,125 կՎտ-ից մինչեւ 10 կՎտ հզորությունների համար.</w:t>
      </w:r>
    </w:p>
    <w:p w14:paraId="742716C5" w14:textId="77777777" w:rsidR="00CA27E3" w:rsidRPr="00CA27E3" w:rsidRDefault="00CA27E3" w:rsidP="00CC5E75">
      <w:pPr>
        <w:pStyle w:val="a0"/>
        <w:shd w:val="clear" w:color="auto" w:fill="auto"/>
        <w:spacing w:after="160"/>
        <w:ind w:right="-1"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հ</w:t>
      </w:r>
      <w:r w:rsidRPr="00CA27E3">
        <w:rPr>
          <w:rFonts w:ascii="Sylfaen" w:hAnsi="Sylfaen"/>
          <w:sz w:val="24"/>
          <w:szCs w:val="24"/>
        </w:rPr>
        <w:t>.</w:t>
      </w:r>
      <w:r w:rsidRPr="00CA27E3">
        <w:rPr>
          <w:rFonts w:ascii="Sylfaen" w:hAnsi="Sylfaen"/>
          <w:sz w:val="24"/>
          <w:szCs w:val="24"/>
          <w:vertAlign w:val="subscript"/>
        </w:rPr>
        <w:t>է</w:t>
      </w:r>
      <w:r w:rsidRPr="00CA27E3">
        <w:rPr>
          <w:rFonts w:ascii="Sylfaen" w:hAnsi="Sylfaen"/>
          <w:sz w:val="24"/>
          <w:szCs w:val="24"/>
        </w:rPr>
        <w:t>. = 1,1 × ln(P) - 2,6 + N - P՝ 10 կՎտ-ից մինչ</w:t>
      </w:r>
      <w:r>
        <w:rPr>
          <w:rFonts w:ascii="Sylfaen" w:hAnsi="Sylfaen"/>
          <w:sz w:val="24"/>
          <w:szCs w:val="24"/>
        </w:rPr>
        <w:t>եւ</w:t>
      </w:r>
      <w:r w:rsidRPr="00CA27E3">
        <w:rPr>
          <w:rFonts w:ascii="Sylfaen" w:hAnsi="Sylfaen"/>
          <w:sz w:val="24"/>
          <w:szCs w:val="24"/>
        </w:rPr>
        <w:t xml:space="preserve"> 500 կՎտ հզորությունների համար.</w:t>
      </w:r>
    </w:p>
    <w:p w14:paraId="1AA17E60"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4079F7A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221D8B4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P-ն՝ էլեկտրաշարժիչի սպառվող էլեկտրական հզորությունն է P</w:t>
      </w:r>
      <w:r w:rsidRPr="00CA27E3">
        <w:rPr>
          <w:rFonts w:ascii="Sylfaen" w:hAnsi="Sylfaen"/>
          <w:sz w:val="24"/>
          <w:szCs w:val="24"/>
          <w:vertAlign w:val="subscript"/>
        </w:rPr>
        <w:t>e</w:t>
      </w:r>
      <w:r w:rsidRPr="00CA27E3">
        <w:rPr>
          <w:rFonts w:ascii="Sylfaen" w:hAnsi="Sylfaen"/>
          <w:sz w:val="24"/>
          <w:szCs w:val="24"/>
        </w:rPr>
        <w:t>(d).</w:t>
      </w:r>
    </w:p>
    <w:p w14:paraId="627591B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N-ը՝ էներգաարդյունավետության պահանջվող մակարդակի ամբողջ թիվն է.</w:t>
      </w:r>
    </w:p>
    <w:p w14:paraId="5364E32A"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D303C2" w:rsidRPr="00D303C2">
        <w:rPr>
          <w:rFonts w:ascii="Sylfaen" w:hAnsi="Sylfaen"/>
          <w:sz w:val="24"/>
          <w:szCs w:val="24"/>
        </w:rPr>
        <w:tab/>
      </w:r>
      <w:r w:rsidRPr="00CA27E3">
        <w:rPr>
          <w:rFonts w:ascii="Sylfaen" w:hAnsi="Sylfaen"/>
          <w:sz w:val="24"/>
          <w:szCs w:val="24"/>
        </w:rPr>
        <w:t>տրամագծային օդափոխիչների համար հաշվարկային էներգետիկ արդյունավետությունը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606BA47D"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Style w:val="a3"/>
          <w:rFonts w:ascii="Sylfaen" w:hAnsi="Sylfaen"/>
          <w:sz w:val="24"/>
          <w:szCs w:val="24"/>
        </w:rPr>
        <w:t>η</w:t>
      </w:r>
      <w:r w:rsidRPr="00CA27E3">
        <w:rPr>
          <w:rStyle w:val="a3"/>
          <w:rFonts w:ascii="Sylfaen" w:hAnsi="Sylfaen"/>
          <w:sz w:val="24"/>
          <w:szCs w:val="24"/>
          <w:vertAlign w:val="subscript"/>
        </w:rPr>
        <w:t>հ.է</w:t>
      </w:r>
      <w:r w:rsidRPr="00CA27E3">
        <w:rPr>
          <w:rFonts w:ascii="Sylfaen" w:hAnsi="Sylfaen"/>
          <w:sz w:val="24"/>
          <w:szCs w:val="24"/>
        </w:rPr>
        <w:t>. = 1,14 ∙ ln(P) - 2,6 + N - 0,125 կՎտ-ից մինչ</w:t>
      </w:r>
      <w:r>
        <w:rPr>
          <w:rFonts w:ascii="Sylfaen" w:hAnsi="Sylfaen"/>
          <w:sz w:val="24"/>
          <w:szCs w:val="24"/>
        </w:rPr>
        <w:t>եւ</w:t>
      </w:r>
      <w:r w:rsidRPr="00CA27E3">
        <w:rPr>
          <w:rFonts w:ascii="Sylfaen" w:hAnsi="Sylfaen"/>
          <w:sz w:val="24"/>
          <w:szCs w:val="24"/>
        </w:rPr>
        <w:t xml:space="preserve"> 10 կՎտ P հզորությունների համար,</w:t>
      </w:r>
    </w:p>
    <w:p w14:paraId="1C922E4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հ.է</w:t>
      </w:r>
      <w:r w:rsidRPr="00CA27E3">
        <w:rPr>
          <w:rFonts w:ascii="Sylfaen" w:hAnsi="Sylfaen"/>
          <w:sz w:val="24"/>
          <w:szCs w:val="24"/>
        </w:rPr>
        <w:t>. = 1,1 × ln(P) - 2,6 + N ՝ 10 կՎտ-ից մինչ</w:t>
      </w:r>
      <w:r>
        <w:rPr>
          <w:rFonts w:ascii="Sylfaen" w:hAnsi="Sylfaen"/>
          <w:sz w:val="24"/>
          <w:szCs w:val="24"/>
        </w:rPr>
        <w:t>եւ</w:t>
      </w:r>
      <w:r w:rsidRPr="00CA27E3">
        <w:rPr>
          <w:rFonts w:ascii="Sylfaen" w:hAnsi="Sylfaen"/>
          <w:sz w:val="24"/>
          <w:szCs w:val="24"/>
        </w:rPr>
        <w:t xml:space="preserve"> 500 կՎտ P հզորությունների համար,</w:t>
      </w:r>
    </w:p>
    <w:p w14:paraId="2F05E542" w14:textId="77777777" w:rsidR="00CC5E75" w:rsidRPr="003D2C38" w:rsidRDefault="00CC5E75" w:rsidP="00CA27E3">
      <w:pPr>
        <w:pStyle w:val="a0"/>
        <w:shd w:val="clear" w:color="auto" w:fill="auto"/>
        <w:spacing w:after="160"/>
        <w:ind w:firstLine="567"/>
        <w:jc w:val="both"/>
        <w:rPr>
          <w:rFonts w:ascii="Sylfaen" w:hAnsi="Sylfaen"/>
          <w:sz w:val="24"/>
          <w:szCs w:val="24"/>
        </w:rPr>
      </w:pPr>
    </w:p>
    <w:p w14:paraId="1038E6C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71FB076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P-ն՝ էլեկտրաշարժիչի սպառվող էլեկտրական հզորությունն է P</w:t>
      </w:r>
      <w:r w:rsidRPr="00CA27E3">
        <w:rPr>
          <w:rFonts w:ascii="Sylfaen" w:hAnsi="Sylfaen"/>
          <w:sz w:val="24"/>
          <w:szCs w:val="24"/>
          <w:vertAlign w:val="subscript"/>
        </w:rPr>
        <w:t>e</w:t>
      </w:r>
      <w:r w:rsidRPr="00CA27E3">
        <w:rPr>
          <w:rFonts w:ascii="Sylfaen" w:hAnsi="Sylfaen"/>
          <w:sz w:val="24"/>
          <w:szCs w:val="24"/>
        </w:rPr>
        <w:t>(d).</w:t>
      </w:r>
    </w:p>
    <w:p w14:paraId="465919A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N-ը՝ էներգետիկ արդյունավետության պահանջվող մակարդակի ամբողջ թիվն է։</w:t>
      </w:r>
    </w:p>
    <w:p w14:paraId="633AA822"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D303C2" w:rsidRPr="00D303C2">
        <w:rPr>
          <w:rFonts w:ascii="Sylfaen" w:hAnsi="Sylfaen"/>
          <w:sz w:val="24"/>
          <w:szCs w:val="24"/>
        </w:rPr>
        <w:tab/>
      </w:r>
      <w:r w:rsidRPr="00CA27E3">
        <w:rPr>
          <w:rFonts w:ascii="Sylfaen" w:hAnsi="Sylfaen"/>
          <w:sz w:val="24"/>
          <w:szCs w:val="24"/>
        </w:rPr>
        <w:t>Տեխնիկական կանոնակարգի 10-րդ կետով նախատեսված՝ օդափոխիչի մականշվածքը պետք է պարունակի դրա էներգետիկ արդյունավետության հետ</w:t>
      </w:r>
      <w:r>
        <w:rPr>
          <w:rFonts w:ascii="Sylfaen" w:hAnsi="Sylfaen"/>
          <w:sz w:val="24"/>
          <w:szCs w:val="24"/>
        </w:rPr>
        <w:t>եւ</w:t>
      </w:r>
      <w:r w:rsidRPr="00CA27E3">
        <w:rPr>
          <w:rFonts w:ascii="Sylfaen" w:hAnsi="Sylfaen"/>
          <w:sz w:val="24"/>
          <w:szCs w:val="24"/>
        </w:rPr>
        <w:t xml:space="preserve">յալ պարամետրերը </w:t>
      </w:r>
      <w:r>
        <w:rPr>
          <w:rFonts w:ascii="Sylfaen" w:hAnsi="Sylfaen"/>
          <w:sz w:val="24"/>
          <w:szCs w:val="24"/>
        </w:rPr>
        <w:t>եւ</w:t>
      </w:r>
      <w:r w:rsidRPr="00CA27E3">
        <w:rPr>
          <w:rFonts w:ascii="Sylfaen" w:hAnsi="Sylfaen"/>
          <w:sz w:val="24"/>
          <w:szCs w:val="24"/>
        </w:rPr>
        <w:t xml:space="preserve"> բնութագրերը՝</w:t>
      </w:r>
      <w:r>
        <w:rPr>
          <w:rFonts w:ascii="Sylfaen" w:hAnsi="Sylfaen"/>
          <w:sz w:val="24"/>
          <w:szCs w:val="24"/>
        </w:rPr>
        <w:t xml:space="preserve"> </w:t>
      </w:r>
    </w:p>
    <w:p w14:paraId="5C51199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ընդհանուր էներգետիկ արդյունավետության արժեքը (∏</w:t>
      </w:r>
      <w:r w:rsidRPr="00CA27E3">
        <w:rPr>
          <w:rFonts w:ascii="Sylfaen" w:hAnsi="Sylfaen"/>
          <w:sz w:val="24"/>
          <w:szCs w:val="24"/>
          <w:vertAlign w:val="subscript"/>
        </w:rPr>
        <w:t>e</w:t>
      </w:r>
      <w:r w:rsidRPr="00CA27E3">
        <w:rPr>
          <w:rFonts w:ascii="Sylfaen" w:hAnsi="Sylfaen"/>
          <w:sz w:val="24"/>
          <w:szCs w:val="24"/>
        </w:rPr>
        <w:t>,) (մինչ</w:t>
      </w:r>
      <w:r>
        <w:rPr>
          <w:rFonts w:ascii="Sylfaen" w:hAnsi="Sylfaen"/>
          <w:sz w:val="24"/>
          <w:szCs w:val="24"/>
        </w:rPr>
        <w:t>եւ</w:t>
      </w:r>
      <w:r w:rsidRPr="00CA27E3">
        <w:rPr>
          <w:rFonts w:ascii="Sylfaen" w:hAnsi="Sylfaen"/>
          <w:sz w:val="24"/>
          <w:szCs w:val="24"/>
        </w:rPr>
        <w:t xml:space="preserve"> 1</w:t>
      </w:r>
      <w:r w:rsidR="00CC5E75" w:rsidRPr="00CC5E75">
        <w:rPr>
          <w:rFonts w:ascii="Sylfaen" w:hAnsi="Sylfaen"/>
          <w:sz w:val="24"/>
          <w:szCs w:val="24"/>
        </w:rPr>
        <w:t> </w:t>
      </w:r>
      <w:r w:rsidRPr="00CA27E3">
        <w:rPr>
          <w:rFonts w:ascii="Sylfaen" w:hAnsi="Sylfaen"/>
          <w:sz w:val="24"/>
          <w:szCs w:val="24"/>
        </w:rPr>
        <w:t xml:space="preserve">տասնորդական նիշ կլորացմամբ). </w:t>
      </w:r>
    </w:p>
    <w:p w14:paraId="2E4F654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էներգետիկ արդյունավետությունը որոշելու համար օգտագոր</w:t>
      </w:r>
      <w:r w:rsidR="00CC5E75">
        <w:rPr>
          <w:rFonts w:ascii="Sylfaen" w:hAnsi="Sylfaen"/>
          <w:sz w:val="24"/>
          <w:szCs w:val="24"/>
        </w:rPr>
        <w:t>ծված չափումների կատեգորիան (A-</w:t>
      </w:r>
      <w:r w:rsidRPr="00CA27E3">
        <w:rPr>
          <w:rFonts w:ascii="Sylfaen" w:hAnsi="Sylfaen"/>
          <w:sz w:val="24"/>
          <w:szCs w:val="24"/>
        </w:rPr>
        <w:t>D).</w:t>
      </w:r>
    </w:p>
    <w:p w14:paraId="36ED7A8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էներգետիկ արդյունավետության կատեգորիան (ստատիկ կամ գումարային օգտակար գործողության գործակիցը).</w:t>
      </w:r>
    </w:p>
    <w:p w14:paraId="4F82AB8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արագության կարգավորչի առկայության դեպքում «Օդափոխիչի հետ պետք է հավաքակցվի պտտման հաճախությունը կարգավորող սարքվածք» գրառումը կամ «Օդափոխիչում ներկառուցված է պտտման հաճախությունը կարգավորող սարքվածք» գրառումը։</w:t>
      </w:r>
    </w:p>
    <w:p w14:paraId="62FAC74F"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10.</w:t>
      </w:r>
      <w:r w:rsidR="00D303C2" w:rsidRPr="00D303C2">
        <w:rPr>
          <w:rFonts w:ascii="Sylfaen" w:hAnsi="Sylfaen"/>
          <w:sz w:val="24"/>
          <w:szCs w:val="24"/>
        </w:rPr>
        <w:tab/>
      </w:r>
      <w:r w:rsidRPr="00CA27E3">
        <w:rPr>
          <w:rFonts w:ascii="Sylfaen" w:hAnsi="Sylfaen"/>
          <w:sz w:val="24"/>
          <w:szCs w:val="24"/>
        </w:rPr>
        <w:t>Տեխնիկական կանոնակարգի 13-րդ կետով նախատեսված՝ օդափոխիչներին կից ներկայացված շահագործման փաստաթղթերը պետք է պարունակեն հետ</w:t>
      </w:r>
      <w:r>
        <w:rPr>
          <w:rFonts w:ascii="Sylfaen" w:hAnsi="Sylfaen"/>
          <w:sz w:val="24"/>
          <w:szCs w:val="24"/>
        </w:rPr>
        <w:t>եւ</w:t>
      </w:r>
      <w:r w:rsidRPr="00CA27E3">
        <w:rPr>
          <w:rFonts w:ascii="Sylfaen" w:hAnsi="Sylfaen"/>
          <w:sz w:val="24"/>
          <w:szCs w:val="24"/>
        </w:rPr>
        <w:t xml:space="preserve">յալ տեղեկությունները՝ դրանց բնութագրերի </w:t>
      </w:r>
      <w:r>
        <w:rPr>
          <w:rFonts w:ascii="Sylfaen" w:hAnsi="Sylfaen"/>
          <w:sz w:val="24"/>
          <w:szCs w:val="24"/>
        </w:rPr>
        <w:t>եւ</w:t>
      </w:r>
      <w:r w:rsidRPr="00CA27E3">
        <w:rPr>
          <w:rFonts w:ascii="Sylfaen" w:hAnsi="Sylfaen"/>
          <w:sz w:val="24"/>
          <w:szCs w:val="24"/>
        </w:rPr>
        <w:t xml:space="preserve"> պարամետրերի մասին. </w:t>
      </w:r>
    </w:p>
    <w:p w14:paraId="49BD122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ընդհանուր էներգետիկ արդյունավետության արժեքը (∏</w:t>
      </w:r>
      <w:r w:rsidRPr="00CA27E3">
        <w:rPr>
          <w:rFonts w:ascii="Sylfaen" w:hAnsi="Sylfaen"/>
          <w:sz w:val="24"/>
          <w:szCs w:val="24"/>
          <w:vertAlign w:val="subscript"/>
        </w:rPr>
        <w:t>e</w:t>
      </w:r>
      <w:r w:rsidRPr="00CA27E3">
        <w:rPr>
          <w:rFonts w:ascii="Sylfaen" w:hAnsi="Sylfaen"/>
          <w:sz w:val="24"/>
          <w:szCs w:val="24"/>
        </w:rPr>
        <w:t>,) (մինչ</w:t>
      </w:r>
      <w:r>
        <w:rPr>
          <w:rFonts w:ascii="Sylfaen" w:hAnsi="Sylfaen"/>
          <w:sz w:val="24"/>
          <w:szCs w:val="24"/>
        </w:rPr>
        <w:t>եւ</w:t>
      </w:r>
      <w:r w:rsidRPr="00CA27E3">
        <w:rPr>
          <w:rFonts w:ascii="Sylfaen" w:hAnsi="Sylfaen"/>
          <w:sz w:val="24"/>
          <w:szCs w:val="24"/>
        </w:rPr>
        <w:t xml:space="preserve"> 1</w:t>
      </w:r>
      <w:r w:rsidR="00CC5E75" w:rsidRPr="00CC5E75">
        <w:rPr>
          <w:rFonts w:ascii="Sylfaen" w:hAnsi="Sylfaen"/>
          <w:sz w:val="24"/>
          <w:szCs w:val="24"/>
        </w:rPr>
        <w:t> </w:t>
      </w:r>
      <w:r w:rsidRPr="00CA27E3">
        <w:rPr>
          <w:rFonts w:ascii="Sylfaen" w:hAnsi="Sylfaen"/>
          <w:sz w:val="24"/>
          <w:szCs w:val="24"/>
        </w:rPr>
        <w:t>տասնորդական նիշ կլորացմամբ).</w:t>
      </w:r>
    </w:p>
    <w:p w14:paraId="756EC7B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էներգետիկ արդյունավետությունը որոշելու համար օգտագոր</w:t>
      </w:r>
      <w:r w:rsidR="00CC5E75">
        <w:rPr>
          <w:rFonts w:ascii="Sylfaen" w:hAnsi="Sylfaen"/>
          <w:sz w:val="24"/>
          <w:szCs w:val="24"/>
        </w:rPr>
        <w:t>ծված չափումների կատեգորիան (A-</w:t>
      </w:r>
      <w:r w:rsidRPr="00CA27E3">
        <w:rPr>
          <w:rFonts w:ascii="Sylfaen" w:hAnsi="Sylfaen"/>
          <w:sz w:val="24"/>
          <w:szCs w:val="24"/>
        </w:rPr>
        <w:t>D).</w:t>
      </w:r>
    </w:p>
    <w:p w14:paraId="35F1D93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էներգետիկ արդյունավետության կատեգորիան (ստատիկ կամ գումարային օգտակար գործողության գործակիցը).</w:t>
      </w:r>
    </w:p>
    <w:p w14:paraId="1A26929C"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D303C2" w:rsidRPr="00D303C2">
        <w:rPr>
          <w:rFonts w:ascii="Sylfaen" w:hAnsi="Sylfaen"/>
          <w:sz w:val="24"/>
          <w:szCs w:val="24"/>
        </w:rPr>
        <w:tab/>
      </w:r>
      <w:r w:rsidRPr="00CA27E3">
        <w:rPr>
          <w:rFonts w:ascii="Sylfaen" w:hAnsi="Sylfaen"/>
          <w:sz w:val="24"/>
          <w:szCs w:val="24"/>
        </w:rPr>
        <w:t>արագության կարգավորչի առկայության դեպքում «Օդափոխիչի հետ պետք է հավաքակցվի պտտման հաճախությունը կարգավորող սարքվածք» գրառումը կամ «Օդափոխիչում ներկառուցված է պտտման հաճախությունը կարգավորող սարքվածք» գրառումը.</w:t>
      </w:r>
    </w:p>
    <w:p w14:paraId="54D321AB"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D303C2" w:rsidRPr="00D303C2">
        <w:rPr>
          <w:rFonts w:ascii="Sylfaen" w:hAnsi="Sylfaen"/>
          <w:sz w:val="24"/>
          <w:szCs w:val="24"/>
        </w:rPr>
        <w:tab/>
      </w:r>
      <w:r w:rsidRPr="00CA27E3">
        <w:rPr>
          <w:rFonts w:ascii="Sylfaen" w:hAnsi="Sylfaen"/>
          <w:sz w:val="24"/>
          <w:szCs w:val="24"/>
        </w:rPr>
        <w:t xml:space="preserve">օպտիմալ էներգետիկ արդյունավետության պայմաններում՝ արդյունավետության մակարդակը. </w:t>
      </w:r>
    </w:p>
    <w:p w14:paraId="42BF8366"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D303C2" w:rsidRPr="00D303C2">
        <w:rPr>
          <w:rFonts w:ascii="Sylfaen" w:hAnsi="Sylfaen"/>
          <w:sz w:val="24"/>
          <w:szCs w:val="24"/>
        </w:rPr>
        <w:tab/>
      </w:r>
      <w:r w:rsidRPr="00CA27E3">
        <w:rPr>
          <w:rFonts w:ascii="Sylfaen" w:hAnsi="Sylfaen"/>
          <w:sz w:val="24"/>
          <w:szCs w:val="24"/>
        </w:rPr>
        <w:t>օպտիմալ էներգետիկ արդյունավետության պայմաններում՝ րոպեում պտույտների թիվը.</w:t>
      </w:r>
    </w:p>
    <w:p w14:paraId="4820B792" w14:textId="77777777" w:rsidR="00CA27E3" w:rsidRPr="00CC5E75"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զ)</w:t>
      </w:r>
      <w:r w:rsidR="00D303C2" w:rsidRPr="00D303C2">
        <w:rPr>
          <w:rFonts w:ascii="Sylfaen" w:hAnsi="Sylfaen"/>
          <w:sz w:val="24"/>
          <w:szCs w:val="24"/>
        </w:rPr>
        <w:tab/>
      </w:r>
      <w:r w:rsidRPr="00CA27E3">
        <w:rPr>
          <w:rFonts w:ascii="Sylfaen" w:hAnsi="Sylfaen"/>
          <w:sz w:val="24"/>
          <w:szCs w:val="24"/>
        </w:rPr>
        <w:t xml:space="preserve">տեղեկություններ օպտիմալ էներգետիկ արդյունավետության պայմաններում շարժիչի անվանական սպառվող հզորության (ների) (կՎտ-ով), արտադրողականության (ների) </w:t>
      </w:r>
      <w:r>
        <w:rPr>
          <w:rFonts w:ascii="Sylfaen" w:hAnsi="Sylfaen"/>
          <w:sz w:val="24"/>
          <w:szCs w:val="24"/>
        </w:rPr>
        <w:t>եւ</w:t>
      </w:r>
      <w:r w:rsidRPr="00CA27E3">
        <w:rPr>
          <w:rFonts w:ascii="Sylfaen" w:hAnsi="Sylfaen"/>
          <w:sz w:val="24"/>
          <w:szCs w:val="24"/>
        </w:rPr>
        <w:t xml:space="preserve"> ճնշման (երի) մասին.</w:t>
      </w:r>
      <w:r>
        <w:rPr>
          <w:rFonts w:ascii="Sylfaen" w:hAnsi="Sylfaen"/>
          <w:sz w:val="24"/>
          <w:szCs w:val="24"/>
        </w:rPr>
        <w:t xml:space="preserve"> </w:t>
      </w:r>
    </w:p>
    <w:p w14:paraId="2A2F3BE0"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է)</w:t>
      </w:r>
      <w:r w:rsidR="00D303C2" w:rsidRPr="00D95D5E">
        <w:rPr>
          <w:rFonts w:ascii="Sylfaen" w:hAnsi="Sylfaen"/>
          <w:sz w:val="24"/>
          <w:szCs w:val="24"/>
        </w:rPr>
        <w:tab/>
      </w:r>
      <w:r w:rsidRPr="00CA27E3">
        <w:rPr>
          <w:rFonts w:ascii="Sylfaen" w:hAnsi="Sylfaen"/>
          <w:sz w:val="24"/>
          <w:szCs w:val="24"/>
        </w:rPr>
        <w:t>սեղմման գործակցի մեծությունը.</w:t>
      </w:r>
    </w:p>
    <w:p w14:paraId="7118C010"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ը)</w:t>
      </w:r>
      <w:r w:rsidR="00D303C2" w:rsidRPr="00D303C2">
        <w:rPr>
          <w:rFonts w:ascii="Sylfaen" w:hAnsi="Sylfaen"/>
          <w:sz w:val="24"/>
          <w:szCs w:val="24"/>
        </w:rPr>
        <w:tab/>
      </w:r>
      <w:r w:rsidRPr="00CA27E3">
        <w:rPr>
          <w:rFonts w:ascii="Sylfaen" w:hAnsi="Sylfaen"/>
          <w:sz w:val="24"/>
          <w:szCs w:val="24"/>
        </w:rPr>
        <w:t xml:space="preserve">տեղեկություններ, որոնք անհրաժեշտ են օդափոխիչների տեղակայման, շահագործման </w:t>
      </w:r>
      <w:r>
        <w:rPr>
          <w:rFonts w:ascii="Sylfaen" w:hAnsi="Sylfaen"/>
          <w:sz w:val="24"/>
          <w:szCs w:val="24"/>
        </w:rPr>
        <w:t>եւ</w:t>
      </w:r>
      <w:r w:rsidRPr="00CA27E3">
        <w:rPr>
          <w:rFonts w:ascii="Sylfaen" w:hAnsi="Sylfaen"/>
          <w:sz w:val="24"/>
          <w:szCs w:val="24"/>
        </w:rPr>
        <w:t xml:space="preserve"> տեխնիկական սպասարկման ժամանակ ծառայության օպտիմալ ժամկետը որոշելու համար.</w:t>
      </w:r>
    </w:p>
    <w:p w14:paraId="5D8D0EC9" w14:textId="77777777" w:rsidR="00CA27E3" w:rsidRPr="00CA27E3" w:rsidRDefault="00CA27E3" w:rsidP="001C0F06">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թ)</w:t>
      </w:r>
      <w:r w:rsidR="00D303C2" w:rsidRPr="00D303C2">
        <w:rPr>
          <w:rFonts w:ascii="Sylfaen" w:hAnsi="Sylfaen"/>
          <w:sz w:val="24"/>
          <w:szCs w:val="24"/>
        </w:rPr>
        <w:tab/>
      </w:r>
      <w:r w:rsidRPr="00CA27E3">
        <w:rPr>
          <w:rFonts w:ascii="Sylfaen" w:hAnsi="Sylfaen"/>
          <w:sz w:val="24"/>
          <w:szCs w:val="24"/>
        </w:rPr>
        <w:t xml:space="preserve">օդափոխիչների քանդման, վերափոխման, օգտահանման </w:t>
      </w:r>
      <w:r>
        <w:rPr>
          <w:rFonts w:ascii="Sylfaen" w:hAnsi="Sylfaen"/>
          <w:sz w:val="24"/>
          <w:szCs w:val="24"/>
        </w:rPr>
        <w:t>եւ</w:t>
      </w:r>
      <w:r w:rsidRPr="00CA27E3">
        <w:rPr>
          <w:rFonts w:ascii="Sylfaen" w:hAnsi="Sylfaen"/>
          <w:sz w:val="24"/>
          <w:szCs w:val="24"/>
        </w:rPr>
        <w:t xml:space="preserve"> շրջակա միջավայրի վրա դրանց ազդեցությունը նվազագույնի հասցնելու վերաբերյալ տեղեկատվություն։ </w:t>
      </w:r>
    </w:p>
    <w:p w14:paraId="077D214B" w14:textId="77777777" w:rsidR="00CA27E3" w:rsidRPr="00CA27E3" w:rsidRDefault="00CA27E3" w:rsidP="001C0F06">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11.</w:t>
      </w:r>
      <w:r w:rsidR="00D303C2" w:rsidRPr="00D303C2">
        <w:rPr>
          <w:rFonts w:ascii="Sylfaen" w:hAnsi="Sylfaen"/>
          <w:sz w:val="24"/>
          <w:szCs w:val="24"/>
        </w:rPr>
        <w:tab/>
      </w:r>
      <w:r w:rsidRPr="00CA27E3">
        <w:rPr>
          <w:rFonts w:ascii="Sylfaen" w:hAnsi="Sylfaen"/>
          <w:sz w:val="24"/>
          <w:szCs w:val="24"/>
        </w:rPr>
        <w:t xml:space="preserve">Տեխնիկական կանոնակարգի 25-րդ կետի «ա» ենթակետում նշված փաստաթղթերի փաթեթում օդափոխիչների համար լրացուցիչ պետք է ներառվի տեղեկատվություն օդափոխիչների էներգետիկ արդյունավետության որոշման ժամանակ օգտագործվող սարքավորումների այնպիսի մանրամասների </w:t>
      </w:r>
      <w:r>
        <w:rPr>
          <w:rFonts w:ascii="Sylfaen" w:hAnsi="Sylfaen"/>
          <w:sz w:val="24"/>
          <w:szCs w:val="24"/>
        </w:rPr>
        <w:t>եւ</w:t>
      </w:r>
      <w:r w:rsidRPr="00CA27E3">
        <w:rPr>
          <w:rFonts w:ascii="Sylfaen" w:hAnsi="Sylfaen"/>
          <w:sz w:val="24"/>
          <w:szCs w:val="24"/>
        </w:rPr>
        <w:t xml:space="preserve"> մասերի մասին, ինչպիսիք են օդատարները, որոնք նշված չեն չափումների կատեգորիայում </w:t>
      </w:r>
      <w:r>
        <w:rPr>
          <w:rFonts w:ascii="Sylfaen" w:hAnsi="Sylfaen"/>
          <w:sz w:val="24"/>
          <w:szCs w:val="24"/>
        </w:rPr>
        <w:t>եւ</w:t>
      </w:r>
      <w:r w:rsidRPr="00CA27E3">
        <w:rPr>
          <w:rFonts w:ascii="Sylfaen" w:hAnsi="Sylfaen"/>
          <w:sz w:val="24"/>
          <w:szCs w:val="24"/>
        </w:rPr>
        <w:t xml:space="preserve"> չեն մատակարարվում օդափոխիչի հետ միասին։</w:t>
      </w:r>
      <w:r>
        <w:rPr>
          <w:rFonts w:ascii="Sylfaen" w:hAnsi="Sylfaen"/>
          <w:sz w:val="24"/>
          <w:szCs w:val="24"/>
        </w:rPr>
        <w:t xml:space="preserve"> </w:t>
      </w:r>
    </w:p>
    <w:p w14:paraId="6672FFC7" w14:textId="77777777" w:rsidR="00CA27E3" w:rsidRPr="00CA27E3" w:rsidRDefault="00CA27E3" w:rsidP="001C0F06">
      <w:pPr>
        <w:spacing w:after="160" w:line="341" w:lineRule="auto"/>
        <w:rPr>
          <w:rFonts w:ascii="Sylfaen" w:hAnsi="Sylfaen" w:cs="Sylfaen"/>
        </w:rPr>
      </w:pPr>
    </w:p>
    <w:p w14:paraId="64CB64B6" w14:textId="77777777" w:rsidR="00CA27E3" w:rsidRPr="00CA27E3" w:rsidRDefault="00CA27E3" w:rsidP="001C0F06">
      <w:pPr>
        <w:pStyle w:val="a0"/>
        <w:shd w:val="clear" w:color="auto" w:fill="auto"/>
        <w:spacing w:after="160" w:line="341" w:lineRule="auto"/>
        <w:ind w:left="567" w:right="566" w:firstLine="0"/>
        <w:jc w:val="center"/>
        <w:rPr>
          <w:rFonts w:ascii="Sylfaen" w:hAnsi="Sylfaen" w:cs="Sylfaen"/>
          <w:sz w:val="24"/>
          <w:szCs w:val="24"/>
        </w:rPr>
      </w:pPr>
      <w:r w:rsidRPr="00CA27E3">
        <w:rPr>
          <w:rFonts w:ascii="Sylfaen" w:hAnsi="Sylfaen"/>
          <w:sz w:val="24"/>
          <w:szCs w:val="24"/>
        </w:rPr>
        <w:t>IV. Օդափոխիչների էներգետիկ արդյունավետության պարամետրերի թույլատրելի շեղումները դրանց շրջանառության դրվելուց հետո փորձարկումներ (չափումներ) անցկացնելիս</w:t>
      </w:r>
    </w:p>
    <w:p w14:paraId="69E377C6" w14:textId="77777777" w:rsidR="00CA27E3" w:rsidRPr="00CA27E3" w:rsidRDefault="00CA27E3" w:rsidP="001C0F06">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12.</w:t>
      </w:r>
      <w:r w:rsidR="00D303C2" w:rsidRPr="00D303C2">
        <w:rPr>
          <w:rFonts w:ascii="Sylfaen" w:hAnsi="Sylfaen"/>
          <w:sz w:val="24"/>
          <w:szCs w:val="24"/>
        </w:rPr>
        <w:tab/>
      </w:r>
      <w:r w:rsidRPr="00CA27E3">
        <w:rPr>
          <w:rFonts w:ascii="Sylfaen" w:hAnsi="Sylfaen"/>
          <w:sz w:val="24"/>
          <w:szCs w:val="24"/>
        </w:rPr>
        <w:t>Օդափոխիչները շրջանառության մեջ դնելուց հետո դրանց փորձարկումները (չափումները) անցկացնելիս պետք է փորձարկվի օդափոխիչի յուրաքանչյուր մոդելի 1 տիպային օրինակ։</w:t>
      </w:r>
    </w:p>
    <w:p w14:paraId="5676E914" w14:textId="77777777" w:rsidR="00CA27E3" w:rsidRPr="001C0F06"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Օդափոխիչի մոդելը համարվում է սույն պայմաններին համապատասխանող, </w:t>
      </w:r>
      <w:r w:rsidRPr="001C0F06">
        <w:rPr>
          <w:rFonts w:ascii="Sylfaen" w:hAnsi="Sylfaen"/>
          <w:spacing w:val="-6"/>
          <w:sz w:val="24"/>
          <w:szCs w:val="24"/>
        </w:rPr>
        <w:t>եթե օդափոխիչի օգտակար գործողության ընդհանուր գործակիցը (η</w:t>
      </w:r>
      <w:r w:rsidRPr="001C0F06">
        <w:rPr>
          <w:rFonts w:ascii="Sylfaen" w:hAnsi="Sylfaen"/>
          <w:spacing w:val="-6"/>
          <w:sz w:val="24"/>
          <w:szCs w:val="24"/>
          <w:vertAlign w:val="subscript"/>
        </w:rPr>
        <w:t>e</w:t>
      </w:r>
      <w:r w:rsidRPr="001C0F06">
        <w:rPr>
          <w:rFonts w:ascii="Sylfaen" w:hAnsi="Sylfaen"/>
          <w:spacing w:val="-6"/>
          <w:sz w:val="24"/>
          <w:szCs w:val="24"/>
        </w:rPr>
        <w:t>) կազմում է հաշվարկային էներգետիկ արդյունավետության առնվազն 90 %-ը, որը սահմանվել է արդյունավետության</w:t>
      </w:r>
      <w:r w:rsidRPr="00CA27E3">
        <w:rPr>
          <w:rFonts w:ascii="Sylfaen" w:hAnsi="Sylfaen"/>
          <w:sz w:val="24"/>
          <w:szCs w:val="24"/>
        </w:rPr>
        <w:t xml:space="preserve"> համապատասխան մակարդակների դեպքում սույն պահանջների 3-8-րդ կետերի համաձայն։</w:t>
      </w:r>
    </w:p>
    <w:p w14:paraId="2AD891A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Այլ դեպքերում՝ </w:t>
      </w:r>
    </w:p>
    <w:p w14:paraId="5158E1B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այն օդափոխիչների համար, որոնք արտադրված են տարեկան 5 հատից</w:t>
      </w:r>
      <w:r>
        <w:rPr>
          <w:rFonts w:ascii="Sylfaen" w:hAnsi="Sylfaen"/>
          <w:sz w:val="24"/>
          <w:szCs w:val="24"/>
        </w:rPr>
        <w:t xml:space="preserve"> </w:t>
      </w:r>
      <w:r w:rsidRPr="00CA27E3">
        <w:rPr>
          <w:rFonts w:ascii="Sylfaen" w:hAnsi="Sylfaen"/>
          <w:sz w:val="24"/>
          <w:szCs w:val="24"/>
        </w:rPr>
        <w:t>պակաս թվով, համարվում է, որ օդափոխիչի մոդելը չի համապատասխանում տեխնիկական կանոնակարգի պահանջներին.</w:t>
      </w:r>
    </w:p>
    <w:p w14:paraId="59D8748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այն օդափոխիչների համար, որոնք արտադրված են տարեկան 5 կամ 5-ից ավելի թվով, փորձարկումների (չափումների) են ենթարկում յուրաքանչյուր մոդելի 3 այլ պատահաբար ընտրված տիպային նմուշ։</w:t>
      </w:r>
      <w:r>
        <w:rPr>
          <w:rFonts w:ascii="Sylfaen" w:hAnsi="Sylfaen"/>
          <w:sz w:val="24"/>
          <w:szCs w:val="24"/>
        </w:rPr>
        <w:t xml:space="preserve"> </w:t>
      </w:r>
    </w:p>
    <w:p w14:paraId="5FFB8F0C" w14:textId="77777777" w:rsidR="00CA27E3" w:rsidRPr="001C0F06" w:rsidRDefault="00CA27E3" w:rsidP="00CA27E3">
      <w:pPr>
        <w:pStyle w:val="a0"/>
        <w:shd w:val="clear" w:color="auto" w:fill="auto"/>
        <w:spacing w:after="160"/>
        <w:ind w:firstLine="567"/>
        <w:jc w:val="both"/>
        <w:rPr>
          <w:rFonts w:ascii="Sylfaen" w:hAnsi="Sylfaen" w:cs="Sylfaen"/>
          <w:spacing w:val="-6"/>
          <w:sz w:val="24"/>
          <w:szCs w:val="24"/>
        </w:rPr>
      </w:pPr>
      <w:r w:rsidRPr="00CA27E3">
        <w:rPr>
          <w:rFonts w:ascii="Sylfaen" w:hAnsi="Sylfaen"/>
          <w:sz w:val="24"/>
          <w:szCs w:val="24"/>
        </w:rPr>
        <w:t xml:space="preserve">Օդափոխիչի մոդելը համարվում է սույն պահանջներին համապատասխանող, եթե օդափոխիչի այդ 3 տիպային օրինակների (նմուշների) </w:t>
      </w:r>
      <w:r w:rsidRPr="001C0F06">
        <w:rPr>
          <w:rFonts w:ascii="Sylfaen" w:hAnsi="Sylfaen"/>
          <w:spacing w:val="-6"/>
          <w:sz w:val="24"/>
          <w:szCs w:val="24"/>
        </w:rPr>
        <w:t>օգտակար գործողության ընդհանուր գործակցի (η</w:t>
      </w:r>
      <w:r w:rsidRPr="001C0F06">
        <w:rPr>
          <w:rFonts w:ascii="Sylfaen" w:hAnsi="Sylfaen"/>
          <w:spacing w:val="-6"/>
          <w:sz w:val="24"/>
          <w:szCs w:val="24"/>
          <w:vertAlign w:val="subscript"/>
        </w:rPr>
        <w:t>e</w:t>
      </w:r>
      <w:r w:rsidRPr="001C0F06">
        <w:rPr>
          <w:rFonts w:ascii="Sylfaen" w:hAnsi="Sylfaen"/>
          <w:spacing w:val="-6"/>
          <w:sz w:val="24"/>
          <w:szCs w:val="24"/>
        </w:rPr>
        <w:t>) չափումների արդյունքների միջին արժեքը սույն կետի երկրորդ պարբերության մեջ նշված մեծությունից ցածր չէ։</w:t>
      </w:r>
      <w:r w:rsidR="00D303C2" w:rsidRPr="001C0F06">
        <w:rPr>
          <w:rFonts w:ascii="Sylfaen" w:hAnsi="Sylfaen"/>
          <w:spacing w:val="-6"/>
          <w:sz w:val="24"/>
          <w:szCs w:val="24"/>
        </w:rPr>
        <w:t xml:space="preserve"> </w:t>
      </w:r>
    </w:p>
    <w:p w14:paraId="50ABB30C" w14:textId="77777777" w:rsidR="00CA27E3" w:rsidRPr="003D2C38" w:rsidRDefault="00CA27E3" w:rsidP="00CA27E3">
      <w:pPr>
        <w:pStyle w:val="a0"/>
        <w:shd w:val="clear" w:color="auto" w:fill="auto"/>
        <w:spacing w:after="160"/>
        <w:ind w:firstLine="720"/>
        <w:jc w:val="both"/>
        <w:rPr>
          <w:rFonts w:ascii="Sylfaen" w:hAnsi="Sylfaen"/>
          <w:sz w:val="24"/>
          <w:szCs w:val="24"/>
        </w:rPr>
      </w:pPr>
      <w:r w:rsidRPr="00CA27E3">
        <w:rPr>
          <w:rFonts w:ascii="Sylfaen" w:hAnsi="Sylfaen"/>
          <w:sz w:val="24"/>
          <w:szCs w:val="24"/>
        </w:rPr>
        <w:t>Այլ դեպքերում օդափոխիչների տվյալ</w:t>
      </w:r>
      <w:r>
        <w:rPr>
          <w:rFonts w:ascii="Sylfaen" w:hAnsi="Sylfaen"/>
          <w:sz w:val="24"/>
          <w:szCs w:val="24"/>
        </w:rPr>
        <w:t xml:space="preserve"> </w:t>
      </w:r>
      <w:r w:rsidRPr="00CA27E3">
        <w:rPr>
          <w:rFonts w:ascii="Sylfaen" w:hAnsi="Sylfaen"/>
          <w:sz w:val="24"/>
          <w:szCs w:val="24"/>
        </w:rPr>
        <w:t>մոդելը անհրաժեշտ է դիտարկել որպես տեխնիկական կանոնակարգի պահանջներին չհամապատասխանող։</w:t>
      </w:r>
    </w:p>
    <w:p w14:paraId="6600BE94" w14:textId="77777777" w:rsidR="001C0F06" w:rsidRPr="003D2C38" w:rsidRDefault="001C0F06" w:rsidP="001C0F06">
      <w:pPr>
        <w:pStyle w:val="a0"/>
        <w:shd w:val="clear" w:color="auto" w:fill="auto"/>
        <w:spacing w:after="160"/>
        <w:ind w:firstLine="0"/>
        <w:jc w:val="center"/>
        <w:rPr>
          <w:rFonts w:ascii="Sylfaen" w:hAnsi="Sylfaen" w:cs="Sylfaen"/>
          <w:sz w:val="24"/>
          <w:szCs w:val="24"/>
        </w:rPr>
      </w:pPr>
      <w:r w:rsidRPr="003D2C38">
        <w:rPr>
          <w:rFonts w:ascii="Sylfaen" w:hAnsi="Sylfaen"/>
          <w:sz w:val="24"/>
          <w:szCs w:val="24"/>
        </w:rPr>
        <w:t>_____________</w:t>
      </w:r>
    </w:p>
    <w:p w14:paraId="459C3132" w14:textId="77777777" w:rsidR="00D83000" w:rsidRDefault="00D83000" w:rsidP="00CA27E3">
      <w:pPr>
        <w:spacing w:after="160" w:line="360" w:lineRule="auto"/>
        <w:rPr>
          <w:rFonts w:ascii="Sylfaen" w:hAnsi="Sylfaen" w:cs="Sylfaen"/>
        </w:rPr>
      </w:pPr>
    </w:p>
    <w:p w14:paraId="1418278E" w14:textId="77777777" w:rsidR="00D83000" w:rsidRDefault="00D83000" w:rsidP="00CA27E3">
      <w:pPr>
        <w:spacing w:after="160" w:line="360" w:lineRule="auto"/>
        <w:rPr>
          <w:rFonts w:ascii="Sylfaen" w:hAnsi="Sylfaen" w:cs="Sylfaen"/>
        </w:rPr>
        <w:sectPr w:rsidR="00D83000" w:rsidSect="0027701C">
          <w:pgSz w:w="11907" w:h="16840" w:code="9"/>
          <w:pgMar w:top="1418" w:right="1418" w:bottom="1418" w:left="1418" w:header="0" w:footer="539" w:gutter="0"/>
          <w:pgNumType w:start="1"/>
          <w:cols w:space="720"/>
          <w:noEndnote/>
          <w:titlePg/>
          <w:docGrid w:linePitch="360"/>
        </w:sectPr>
      </w:pPr>
    </w:p>
    <w:p w14:paraId="7DB224A2" w14:textId="77777777" w:rsidR="00CA27E3" w:rsidRPr="00CA27E3" w:rsidRDefault="00CA27E3" w:rsidP="00D303C2">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13</w:t>
      </w:r>
    </w:p>
    <w:p w14:paraId="363467F1" w14:textId="77777777" w:rsidR="00CA27E3" w:rsidRPr="00CA27E3" w:rsidRDefault="00CA27E3" w:rsidP="00D303C2">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t xml:space="preserve">«Էներգասպառող սարքվածքների </w:t>
      </w:r>
      <w:r w:rsidR="001C0F06" w:rsidRPr="001C0F06">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1C0F06" w:rsidRPr="001C0F06">
        <w:rPr>
          <w:rFonts w:ascii="Sylfaen" w:hAnsi="Sylfaen"/>
          <w:sz w:val="24"/>
          <w:szCs w:val="24"/>
        </w:rPr>
        <w:br/>
      </w:r>
      <w:r w:rsidRPr="00CA27E3">
        <w:rPr>
          <w:rFonts w:ascii="Sylfaen" w:hAnsi="Sylfaen"/>
          <w:sz w:val="24"/>
          <w:szCs w:val="24"/>
        </w:rPr>
        <w:t>(ԵԱՏՄ ՏԿ</w:t>
      </w:r>
      <w:r w:rsidR="00D303C2" w:rsidRPr="00D303C2">
        <w:rPr>
          <w:rFonts w:ascii="Sylfaen" w:hAnsi="Sylfaen"/>
          <w:sz w:val="24"/>
          <w:szCs w:val="24"/>
        </w:rPr>
        <w:tab/>
      </w:r>
      <w:r w:rsidRPr="00CA27E3">
        <w:rPr>
          <w:rFonts w:ascii="Sylfaen" w:hAnsi="Sylfaen"/>
          <w:sz w:val="24"/>
          <w:szCs w:val="24"/>
        </w:rPr>
        <w:t>/20</w:t>
      </w:r>
      <w:r w:rsidR="00D303C2" w:rsidRPr="00D303C2">
        <w:rPr>
          <w:rFonts w:ascii="Sylfaen" w:hAnsi="Sylfaen"/>
          <w:sz w:val="24"/>
          <w:szCs w:val="24"/>
        </w:rPr>
        <w:tab/>
      </w:r>
      <w:r w:rsidRPr="00CA27E3">
        <w:rPr>
          <w:rFonts w:ascii="Sylfaen" w:hAnsi="Sylfaen"/>
          <w:sz w:val="24"/>
          <w:szCs w:val="24"/>
        </w:rPr>
        <w:t>)</w:t>
      </w:r>
    </w:p>
    <w:p w14:paraId="13846397" w14:textId="77777777" w:rsidR="00CA27E3" w:rsidRPr="00CA27E3" w:rsidRDefault="00CA27E3" w:rsidP="00CA27E3">
      <w:pPr>
        <w:pStyle w:val="a0"/>
        <w:shd w:val="clear" w:color="auto" w:fill="auto"/>
        <w:spacing w:after="160"/>
        <w:ind w:firstLine="0"/>
        <w:jc w:val="center"/>
        <w:rPr>
          <w:rFonts w:ascii="Sylfaen" w:hAnsi="Sylfaen" w:cs="Sylfaen"/>
          <w:b/>
          <w:bCs/>
          <w:sz w:val="24"/>
          <w:szCs w:val="24"/>
        </w:rPr>
      </w:pPr>
    </w:p>
    <w:p w14:paraId="58ED65EE"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b/>
          <w:sz w:val="24"/>
          <w:szCs w:val="24"/>
        </w:rPr>
        <w:t>ՊԱՀԱՆՋՆԵՐ</w:t>
      </w:r>
    </w:p>
    <w:p w14:paraId="266C3FA4"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b/>
          <w:sz w:val="24"/>
          <w:szCs w:val="24"/>
        </w:rPr>
        <w:t>առանց ներկառուցված՝ գործարկումը կարգավորող ապարատի լյումինեսցենտային լամպերի, բարձր ճնշման գազապարպումային լամպերի, գործարկումը կարգավորող ապարատների ու այդպիսի լամպերի համար լուսատուների էներգետիկ արդյունավետությանը ներկայացվող</w:t>
      </w:r>
    </w:p>
    <w:p w14:paraId="21D24ACD"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1B8C543F"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 Կիրառման ոլորտը</w:t>
      </w:r>
    </w:p>
    <w:p w14:paraId="7188AA15"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D303C2" w:rsidRPr="00D303C2">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(այսուհետ՝ Միություն) մաքսային տարածքում շրջանառության մեջ դրվող՝ առանց ներկառուցված՝ գործարկումը կարգավորող ապարատի լյումինեսցենտային լամպերի, բարձր ճնշման գազապարպումային լամպերի, գործարկումը կարգավորող ապարատների (ԳԿԱ)_ու այդպիսի լամպերի համար լուսատուների նկատմամբ, նա</w:t>
      </w:r>
      <w:r>
        <w:rPr>
          <w:rFonts w:ascii="Sylfaen" w:hAnsi="Sylfaen"/>
          <w:sz w:val="24"/>
          <w:szCs w:val="24"/>
        </w:rPr>
        <w:t>եւ</w:t>
      </w:r>
      <w:r w:rsidRPr="00CA27E3">
        <w:rPr>
          <w:rFonts w:ascii="Sylfaen" w:hAnsi="Sylfaen"/>
          <w:sz w:val="24"/>
          <w:szCs w:val="24"/>
        </w:rPr>
        <w:t xml:space="preserve"> եթե դրանք ներկառուցված են այլ էներգասպառող արտադրանքի մեջ՝ բացառությամբ </w:t>
      </w:r>
    </w:p>
    <w:p w14:paraId="22F1E67C"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D303C2" w:rsidRPr="00D303C2">
        <w:rPr>
          <w:rFonts w:ascii="Sylfaen" w:hAnsi="Sylfaen"/>
          <w:sz w:val="24"/>
          <w:szCs w:val="24"/>
        </w:rPr>
        <w:tab/>
      </w:r>
      <w:r w:rsidRPr="00CA27E3">
        <w:rPr>
          <w:rFonts w:ascii="Sylfaen" w:hAnsi="Sylfaen"/>
          <w:sz w:val="24"/>
          <w:szCs w:val="24"/>
        </w:rPr>
        <w:t>լամպերի (բացի բարձր ճնշման նատրիումական լամպերից), որոնք սպիտակ լույսի աղբյուրներ չեն.</w:t>
      </w:r>
    </w:p>
    <w:p w14:paraId="3523EA74"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D303C2" w:rsidRPr="00D303C2">
        <w:rPr>
          <w:rFonts w:ascii="Sylfaen" w:hAnsi="Sylfaen"/>
          <w:sz w:val="24"/>
          <w:szCs w:val="24"/>
        </w:rPr>
        <w:tab/>
      </w:r>
      <w:r w:rsidRPr="00CA27E3">
        <w:rPr>
          <w:rFonts w:ascii="Sylfaen" w:hAnsi="Sylfaen"/>
          <w:sz w:val="24"/>
          <w:szCs w:val="24"/>
        </w:rPr>
        <w:t>ջերմոցների լուսավորման համար նախատեսված նատրիումական լամպերի.</w:t>
      </w:r>
    </w:p>
    <w:p w14:paraId="3DE641F4" w14:textId="77777777" w:rsidR="00CA27E3" w:rsidRPr="00CA27E3" w:rsidRDefault="00CA27E3" w:rsidP="001C0F06">
      <w:pPr>
        <w:pStyle w:val="a0"/>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lastRenderedPageBreak/>
        <w:t>գ)</w:t>
      </w:r>
      <w:r w:rsidR="00D303C2" w:rsidRPr="00D95D5E">
        <w:rPr>
          <w:rFonts w:ascii="Sylfaen" w:hAnsi="Sylfaen"/>
          <w:sz w:val="24"/>
          <w:szCs w:val="24"/>
        </w:rPr>
        <w:tab/>
      </w:r>
      <w:r w:rsidRPr="00CA27E3">
        <w:rPr>
          <w:rFonts w:ascii="Sylfaen" w:hAnsi="Sylfaen"/>
          <w:sz w:val="24"/>
          <w:szCs w:val="24"/>
        </w:rPr>
        <w:t>ուղղորդված լույսի լամպերի.</w:t>
      </w:r>
    </w:p>
    <w:p w14:paraId="457CF100" w14:textId="77777777" w:rsidR="00CA27E3" w:rsidRPr="00CA27E3" w:rsidRDefault="00CA27E3" w:rsidP="001C0F06">
      <w:pPr>
        <w:pStyle w:val="a0"/>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դ)</w:t>
      </w:r>
      <w:r w:rsidR="00D303C2" w:rsidRPr="00D303C2">
        <w:rPr>
          <w:rFonts w:ascii="Sylfaen" w:hAnsi="Sylfaen"/>
          <w:sz w:val="24"/>
          <w:szCs w:val="24"/>
        </w:rPr>
        <w:tab/>
      </w:r>
      <w:r w:rsidRPr="00CA27E3">
        <w:rPr>
          <w:rFonts w:ascii="Sylfaen" w:hAnsi="Sylfaen"/>
          <w:sz w:val="24"/>
          <w:szCs w:val="24"/>
        </w:rPr>
        <w:t>խառը լույսի բարձր ճնշման գազապարպումային լամպերի, որոնց՝</w:t>
      </w:r>
    </w:p>
    <w:p w14:paraId="65367227"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250 </w:t>
      </w:r>
      <w:r>
        <w:rPr>
          <w:rFonts w:ascii="Sylfaen" w:hAnsi="Sylfaen"/>
          <w:sz w:val="24"/>
          <w:szCs w:val="24"/>
        </w:rPr>
        <w:t>եւ</w:t>
      </w:r>
      <w:r w:rsidRPr="00CA27E3">
        <w:rPr>
          <w:rFonts w:ascii="Sylfaen" w:hAnsi="Sylfaen"/>
          <w:sz w:val="24"/>
          <w:szCs w:val="24"/>
        </w:rPr>
        <w:t xml:space="preserve"> 780 նմ տիրույթում գումարային ճառագայթման առնվազն 6 %-ը գտնվում է</w:t>
      </w:r>
      <w:r>
        <w:rPr>
          <w:rFonts w:ascii="Sylfaen" w:hAnsi="Sylfaen"/>
          <w:sz w:val="24"/>
          <w:szCs w:val="24"/>
        </w:rPr>
        <w:t xml:space="preserve"> </w:t>
      </w:r>
      <w:r w:rsidRPr="00CA27E3">
        <w:rPr>
          <w:rFonts w:ascii="Sylfaen" w:hAnsi="Sylfaen"/>
          <w:sz w:val="24"/>
          <w:szCs w:val="24"/>
        </w:rPr>
        <w:t>250-ից 400 նմ տիրույթում,</w:t>
      </w:r>
    </w:p>
    <w:p w14:paraId="74C6243F"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250 </w:t>
      </w:r>
      <w:r>
        <w:rPr>
          <w:rFonts w:ascii="Sylfaen" w:hAnsi="Sylfaen"/>
          <w:sz w:val="24"/>
          <w:szCs w:val="24"/>
        </w:rPr>
        <w:t>եւ</w:t>
      </w:r>
      <w:r w:rsidRPr="00CA27E3">
        <w:rPr>
          <w:rFonts w:ascii="Sylfaen" w:hAnsi="Sylfaen"/>
          <w:sz w:val="24"/>
          <w:szCs w:val="24"/>
        </w:rPr>
        <w:t xml:space="preserve"> 780 նմ տիրույթում</w:t>
      </w:r>
      <w:r>
        <w:rPr>
          <w:rFonts w:ascii="Sylfaen" w:hAnsi="Sylfaen"/>
          <w:sz w:val="24"/>
          <w:szCs w:val="24"/>
        </w:rPr>
        <w:t xml:space="preserve"> </w:t>
      </w:r>
      <w:r w:rsidRPr="00CA27E3">
        <w:rPr>
          <w:rFonts w:ascii="Sylfaen" w:hAnsi="Sylfaen"/>
          <w:sz w:val="24"/>
          <w:szCs w:val="24"/>
        </w:rPr>
        <w:t xml:space="preserve">գումարային ճառագայթման առնվազն 11 % -ը գտնվում է 630 </w:t>
      </w:r>
      <w:r>
        <w:rPr>
          <w:rFonts w:ascii="Sylfaen" w:hAnsi="Sylfaen"/>
          <w:sz w:val="24"/>
          <w:szCs w:val="24"/>
        </w:rPr>
        <w:t>եւ</w:t>
      </w:r>
      <w:r w:rsidRPr="00CA27E3">
        <w:rPr>
          <w:rFonts w:ascii="Sylfaen" w:hAnsi="Sylfaen"/>
          <w:sz w:val="24"/>
          <w:szCs w:val="24"/>
        </w:rPr>
        <w:t xml:space="preserve"> 780 նմ տիրույթում,</w:t>
      </w:r>
    </w:p>
    <w:p w14:paraId="70697C2C"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250 </w:t>
      </w:r>
      <w:r>
        <w:rPr>
          <w:rFonts w:ascii="Sylfaen" w:hAnsi="Sylfaen"/>
          <w:sz w:val="24"/>
          <w:szCs w:val="24"/>
        </w:rPr>
        <w:t>եւ</w:t>
      </w:r>
      <w:r w:rsidRPr="00CA27E3">
        <w:rPr>
          <w:rFonts w:ascii="Sylfaen" w:hAnsi="Sylfaen"/>
          <w:sz w:val="24"/>
          <w:szCs w:val="24"/>
        </w:rPr>
        <w:t xml:space="preserve"> 780 նմ տիրույթում գումարային ճառագայթման առնվազն 5 % -ը գտնվում է 640 </w:t>
      </w:r>
      <w:r>
        <w:rPr>
          <w:rFonts w:ascii="Sylfaen" w:hAnsi="Sylfaen"/>
          <w:sz w:val="24"/>
          <w:szCs w:val="24"/>
        </w:rPr>
        <w:t>եւ</w:t>
      </w:r>
      <w:r w:rsidRPr="00CA27E3">
        <w:rPr>
          <w:rFonts w:ascii="Sylfaen" w:hAnsi="Sylfaen"/>
          <w:sz w:val="24"/>
          <w:szCs w:val="24"/>
        </w:rPr>
        <w:t xml:space="preserve"> 700 նմ տիրույթում,</w:t>
      </w:r>
    </w:p>
    <w:p w14:paraId="19CD846B"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ճառագայթման գագաթնակետը գտնվում է 315 </w:t>
      </w:r>
      <w:r>
        <w:rPr>
          <w:rFonts w:ascii="Sylfaen" w:hAnsi="Sylfaen"/>
          <w:sz w:val="24"/>
          <w:szCs w:val="24"/>
        </w:rPr>
        <w:t>եւ</w:t>
      </w:r>
      <w:r w:rsidR="001C0F06">
        <w:rPr>
          <w:rFonts w:ascii="Sylfaen" w:hAnsi="Sylfaen"/>
          <w:sz w:val="24"/>
          <w:szCs w:val="24"/>
        </w:rPr>
        <w:t xml:space="preserve"> 400 նմ (UVA</w:t>
      </w:r>
      <w:r w:rsidRPr="00CA27E3">
        <w:rPr>
          <w:rFonts w:ascii="Sylfaen" w:hAnsi="Sylfaen"/>
          <w:sz w:val="24"/>
          <w:szCs w:val="24"/>
        </w:rPr>
        <w:t xml:space="preserve">՝ А տիպի ուլտրամանուշակագույն ճառագայթում) կամ 280 </w:t>
      </w:r>
      <w:r>
        <w:rPr>
          <w:rFonts w:ascii="Sylfaen" w:hAnsi="Sylfaen"/>
          <w:sz w:val="24"/>
          <w:szCs w:val="24"/>
        </w:rPr>
        <w:t>եւ</w:t>
      </w:r>
      <w:r w:rsidRPr="00CA27E3">
        <w:rPr>
          <w:rFonts w:ascii="Sylfaen" w:hAnsi="Sylfaen"/>
          <w:sz w:val="24"/>
          <w:szCs w:val="24"/>
        </w:rPr>
        <w:t xml:space="preserve"> 315 նմ</w:t>
      </w:r>
      <w:r>
        <w:rPr>
          <w:rFonts w:ascii="Sylfaen" w:hAnsi="Sylfaen"/>
          <w:sz w:val="24"/>
          <w:szCs w:val="24"/>
        </w:rPr>
        <w:t xml:space="preserve"> </w:t>
      </w:r>
      <w:r w:rsidRPr="00CA27E3">
        <w:rPr>
          <w:rFonts w:ascii="Sylfaen" w:hAnsi="Sylfaen"/>
          <w:sz w:val="24"/>
          <w:szCs w:val="24"/>
        </w:rPr>
        <w:t>(UVB՝ B</w:t>
      </w:r>
      <w:r w:rsidRPr="00CA27E3">
        <w:rPr>
          <w:rFonts w:ascii="Sylfaen" w:hAnsi="Sylfaen"/>
          <w:b/>
          <w:sz w:val="24"/>
          <w:szCs w:val="24"/>
        </w:rPr>
        <w:t xml:space="preserve"> </w:t>
      </w:r>
      <w:r w:rsidRPr="00CA27E3">
        <w:rPr>
          <w:rFonts w:ascii="Sylfaen" w:hAnsi="Sylfaen"/>
          <w:sz w:val="24"/>
          <w:szCs w:val="24"/>
        </w:rPr>
        <w:t>տիպի ուլտրամանուշակագույն</w:t>
      </w:r>
      <w:r>
        <w:rPr>
          <w:rFonts w:ascii="Sylfaen" w:hAnsi="Sylfaen"/>
          <w:sz w:val="24"/>
          <w:szCs w:val="24"/>
        </w:rPr>
        <w:t xml:space="preserve"> </w:t>
      </w:r>
      <w:r w:rsidRPr="00CA27E3">
        <w:rPr>
          <w:rFonts w:ascii="Sylfaen" w:hAnsi="Sylfaen"/>
          <w:sz w:val="24"/>
          <w:szCs w:val="24"/>
        </w:rPr>
        <w:t xml:space="preserve">ճառագայթում) տիրույթում. </w:t>
      </w:r>
    </w:p>
    <w:p w14:paraId="7C5DCE04" w14:textId="77777777" w:rsidR="00CA27E3" w:rsidRPr="00CA27E3" w:rsidRDefault="00CA27E3" w:rsidP="001C0F06">
      <w:pPr>
        <w:pStyle w:val="a0"/>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ե)</w:t>
      </w:r>
      <w:r w:rsidR="00D303C2" w:rsidRPr="00D303C2">
        <w:rPr>
          <w:rFonts w:ascii="Sylfaen" w:hAnsi="Sylfaen"/>
          <w:sz w:val="24"/>
          <w:szCs w:val="24"/>
        </w:rPr>
        <w:tab/>
      </w:r>
      <w:r w:rsidRPr="00CA27E3">
        <w:rPr>
          <w:rFonts w:ascii="Sylfaen" w:hAnsi="Sylfaen"/>
          <w:sz w:val="24"/>
          <w:szCs w:val="24"/>
        </w:rPr>
        <w:t>հետ</w:t>
      </w:r>
      <w:r>
        <w:rPr>
          <w:rFonts w:ascii="Sylfaen" w:hAnsi="Sylfaen"/>
          <w:sz w:val="24"/>
          <w:szCs w:val="24"/>
        </w:rPr>
        <w:t>եւ</w:t>
      </w:r>
      <w:r w:rsidRPr="00CA27E3">
        <w:rPr>
          <w:rFonts w:ascii="Sylfaen" w:hAnsi="Sylfaen"/>
          <w:sz w:val="24"/>
          <w:szCs w:val="24"/>
        </w:rPr>
        <w:t>յալ բնութագրերով երկու լամպակոթով լյումինեսցենտային լամպերի՝</w:t>
      </w:r>
    </w:p>
    <w:p w14:paraId="35B564CB"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տրամագիծը 7 մմ-ից ոչ ավելի (T2),</w:t>
      </w:r>
    </w:p>
    <w:p w14:paraId="0AE8849C"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տրամագիծը 16 մմ (T5) </w:t>
      </w:r>
      <w:r>
        <w:rPr>
          <w:rFonts w:ascii="Sylfaen" w:hAnsi="Sylfaen"/>
          <w:sz w:val="24"/>
          <w:szCs w:val="24"/>
        </w:rPr>
        <w:t>եւ</w:t>
      </w:r>
      <w:r w:rsidRPr="00CA27E3">
        <w:rPr>
          <w:rFonts w:ascii="Sylfaen" w:hAnsi="Sylfaen"/>
          <w:sz w:val="24"/>
          <w:szCs w:val="24"/>
        </w:rPr>
        <w:t xml:space="preserve"> լամպի հզորությունը՝ Р</w:t>
      </w:r>
      <w:r w:rsidRPr="00CA27E3">
        <w:rPr>
          <w:rFonts w:ascii="Sylfaen" w:hAnsi="Sylfaen"/>
          <w:sz w:val="24"/>
          <w:szCs w:val="24"/>
          <w:vertAlign w:val="subscript"/>
        </w:rPr>
        <w:t>Լ</w:t>
      </w:r>
      <w:r w:rsidRPr="00CA27E3">
        <w:rPr>
          <w:rFonts w:ascii="Sylfaen" w:hAnsi="Sylfaen"/>
          <w:sz w:val="24"/>
          <w:szCs w:val="24"/>
        </w:rPr>
        <w:t>≤ 13 Վտ կամ &gt; 80 Վտ;</w:t>
      </w:r>
    </w:p>
    <w:p w14:paraId="15340561"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տրամագիծը 38 մմ (Т12), G-13</w:t>
      </w:r>
      <w:hyperlink r:id="rId11">
        <w:r w:rsidRPr="00CA27E3">
          <w:rPr>
            <w:rFonts w:ascii="Sylfaen" w:hAnsi="Sylfaen"/>
            <w:sz w:val="24"/>
            <w:szCs w:val="24"/>
          </w:rPr>
          <w:t>-երկցցիկ լամպակոթ,</w:t>
        </w:r>
      </w:hyperlink>
      <w:r w:rsidRPr="00CA27E3">
        <w:rPr>
          <w:rFonts w:ascii="Sylfaen" w:hAnsi="Sylfaen"/>
          <w:sz w:val="24"/>
          <w:szCs w:val="24"/>
        </w:rPr>
        <w:t xml:space="preserve"> գունավոր լուսազտիչի սահմանային արժեքները՝ ± 5 մ (+ ՝ծիրանագույն, -՝ կանաչ), գունային կոորդինատները՝ x = 0,330, у = 0,335 </w:t>
      </w:r>
      <w:r>
        <w:rPr>
          <w:rFonts w:ascii="Sylfaen" w:hAnsi="Sylfaen"/>
          <w:sz w:val="24"/>
          <w:szCs w:val="24"/>
        </w:rPr>
        <w:t>եւ</w:t>
      </w:r>
      <w:r w:rsidRPr="00CA27E3">
        <w:rPr>
          <w:rFonts w:ascii="Sylfaen" w:hAnsi="Sylfaen"/>
          <w:sz w:val="24"/>
          <w:szCs w:val="24"/>
        </w:rPr>
        <w:t xml:space="preserve"> x = 0,415, у = 0,377.</w:t>
      </w:r>
    </w:p>
    <w:p w14:paraId="07BF1044" w14:textId="77777777" w:rsidR="00CA27E3" w:rsidRPr="00CA27E3" w:rsidRDefault="00CA27E3" w:rsidP="001C0F06">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տրամագիծը 38 մմ (T2) </w:t>
      </w:r>
      <w:r>
        <w:rPr>
          <w:rFonts w:ascii="Sylfaen" w:hAnsi="Sylfaen"/>
          <w:sz w:val="24"/>
          <w:szCs w:val="24"/>
        </w:rPr>
        <w:t>եւ</w:t>
      </w:r>
      <w:r w:rsidRPr="00CA27E3">
        <w:rPr>
          <w:rFonts w:ascii="Sylfaen" w:hAnsi="Sylfaen"/>
          <w:sz w:val="24"/>
          <w:szCs w:val="24"/>
        </w:rPr>
        <w:t xml:space="preserve"> արտաքին վառող շերտեր. </w:t>
      </w:r>
    </w:p>
    <w:p w14:paraId="47DFB2C1" w14:textId="77777777" w:rsidR="00CA27E3" w:rsidRPr="00CA27E3" w:rsidRDefault="00CA27E3" w:rsidP="001C0F06">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1C0F06" w:rsidRPr="001C0F06">
        <w:rPr>
          <w:rFonts w:ascii="Sylfaen" w:hAnsi="Sylfaen"/>
          <w:sz w:val="24"/>
          <w:szCs w:val="24"/>
        </w:rPr>
        <w:tab/>
      </w:r>
      <w:r w:rsidRPr="00CA27E3">
        <w:rPr>
          <w:rFonts w:ascii="Sylfaen" w:hAnsi="Sylfaen"/>
          <w:sz w:val="24"/>
          <w:szCs w:val="24"/>
        </w:rPr>
        <w:t>հետ</w:t>
      </w:r>
      <w:r>
        <w:rPr>
          <w:rFonts w:ascii="Sylfaen" w:hAnsi="Sylfaen"/>
          <w:sz w:val="24"/>
          <w:szCs w:val="24"/>
        </w:rPr>
        <w:t>եւ</w:t>
      </w:r>
      <w:r w:rsidRPr="00CA27E3">
        <w:rPr>
          <w:rFonts w:ascii="Sylfaen" w:hAnsi="Sylfaen"/>
          <w:sz w:val="24"/>
          <w:szCs w:val="24"/>
        </w:rPr>
        <w:t xml:space="preserve">յալ բնութագրերով մեկ լամպակոթով լյումինեսցենտային լամպերի՝ </w:t>
      </w:r>
    </w:p>
    <w:p w14:paraId="6BD97CD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spacing w:val="4"/>
          <w:sz w:val="24"/>
          <w:szCs w:val="24"/>
        </w:rPr>
        <w:t>տրամագիծը 16 մմ (T5), 2G11 չորս ցցիկով լամպակոթ, T</w:t>
      </w:r>
      <w:r w:rsidRPr="001C0F06">
        <w:rPr>
          <w:rFonts w:ascii="Sylfaen" w:hAnsi="Sylfaen"/>
          <w:spacing w:val="4"/>
          <w:sz w:val="24"/>
          <w:szCs w:val="24"/>
          <w:vertAlign w:val="subscript"/>
        </w:rPr>
        <w:t>c</w:t>
      </w:r>
      <w:r w:rsidRPr="001C0F06">
        <w:rPr>
          <w:rFonts w:ascii="Sylfaen" w:hAnsi="Sylfaen"/>
          <w:spacing w:val="4"/>
          <w:sz w:val="24"/>
          <w:szCs w:val="24"/>
        </w:rPr>
        <w:t xml:space="preserve"> = 5 500 K, գունավորության կոորդինատները՝ x = 0,330 եւ y = 0,335 ու Тс = 3 200՝ х = 0,415 եւ </w:t>
      </w:r>
      <w:r w:rsidRPr="001C0F06">
        <w:rPr>
          <w:rFonts w:ascii="Sylfaen" w:hAnsi="Sylfaen"/>
          <w:i/>
          <w:spacing w:val="4"/>
          <w:sz w:val="24"/>
          <w:szCs w:val="24"/>
        </w:rPr>
        <w:t>у</w:t>
      </w:r>
      <w:r w:rsidRPr="001C0F06">
        <w:rPr>
          <w:rFonts w:ascii="Sylfaen" w:hAnsi="Sylfaen"/>
          <w:spacing w:val="4"/>
          <w:sz w:val="24"/>
          <w:szCs w:val="24"/>
        </w:rPr>
        <w:t xml:space="preserve"> = 0,377</w:t>
      </w:r>
      <w:r>
        <w:rPr>
          <w:rFonts w:ascii="Sylfaen" w:hAnsi="Sylfaen"/>
          <w:sz w:val="24"/>
          <w:szCs w:val="24"/>
        </w:rPr>
        <w:t xml:space="preserve"> </w:t>
      </w:r>
      <w:r w:rsidRPr="00CA27E3">
        <w:rPr>
          <w:rFonts w:ascii="Sylfaen" w:hAnsi="Sylfaen"/>
          <w:sz w:val="24"/>
          <w:szCs w:val="24"/>
        </w:rPr>
        <w:t>գունավորության կոորդինատներով.</w:t>
      </w:r>
    </w:p>
    <w:p w14:paraId="11971F12"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է)</w:t>
      </w:r>
      <w:r w:rsidR="00D303C2" w:rsidRPr="00D303C2">
        <w:rPr>
          <w:rFonts w:ascii="Sylfaen" w:hAnsi="Sylfaen"/>
          <w:sz w:val="24"/>
          <w:szCs w:val="24"/>
        </w:rPr>
        <w:tab/>
      </w:r>
      <w:r w:rsidRPr="00CA27E3">
        <w:rPr>
          <w:rFonts w:ascii="Sylfaen" w:hAnsi="Sylfaen"/>
          <w:sz w:val="24"/>
          <w:szCs w:val="24"/>
        </w:rPr>
        <w:t>բարձր ճնշման գազապարպումային լամպերի, որոնք ունեն</w:t>
      </w:r>
      <w:r>
        <w:rPr>
          <w:rFonts w:ascii="Sylfaen" w:hAnsi="Sylfaen"/>
          <w:sz w:val="24"/>
          <w:szCs w:val="24"/>
        </w:rPr>
        <w:t xml:space="preserve"> </w:t>
      </w:r>
      <w:r w:rsidRPr="00CA27E3">
        <w:rPr>
          <w:rFonts w:ascii="Sylfaen" w:hAnsi="Sylfaen"/>
          <w:sz w:val="24"/>
          <w:szCs w:val="24"/>
        </w:rPr>
        <w:t>Тс &gt; 7 000 K գունային ջերմաստիճան.</w:t>
      </w:r>
    </w:p>
    <w:p w14:paraId="6D8FBCCB"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ը)</w:t>
      </w:r>
      <w:r w:rsidR="00D303C2" w:rsidRPr="00D303C2">
        <w:rPr>
          <w:rFonts w:ascii="Sylfaen" w:hAnsi="Sylfaen"/>
          <w:sz w:val="24"/>
          <w:szCs w:val="24"/>
        </w:rPr>
        <w:tab/>
      </w:r>
      <w:r w:rsidR="001C0F06">
        <w:rPr>
          <w:rFonts w:ascii="Sylfaen" w:hAnsi="Sylfaen"/>
          <w:sz w:val="24"/>
          <w:szCs w:val="24"/>
        </w:rPr>
        <w:t>UV</w:t>
      </w:r>
      <w:r w:rsidRPr="00CA27E3">
        <w:rPr>
          <w:rFonts w:ascii="Sylfaen" w:hAnsi="Sylfaen"/>
          <w:sz w:val="24"/>
          <w:szCs w:val="24"/>
        </w:rPr>
        <w:t>&gt;2 մՎտ/կլմ հզորությամբ բարձր ճնշման գազապարպումային լամպերի.</w:t>
      </w:r>
    </w:p>
    <w:p w14:paraId="3E4AADFC"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թ)</w:t>
      </w:r>
      <w:r w:rsidR="00D303C2" w:rsidRPr="00D303C2">
        <w:rPr>
          <w:rFonts w:ascii="Sylfaen" w:hAnsi="Sylfaen"/>
          <w:sz w:val="24"/>
          <w:szCs w:val="24"/>
        </w:rPr>
        <w:tab/>
      </w:r>
      <w:r w:rsidRPr="00CA27E3">
        <w:rPr>
          <w:rFonts w:ascii="Sylfaen" w:hAnsi="Sylfaen"/>
          <w:sz w:val="24"/>
          <w:szCs w:val="24"/>
        </w:rPr>
        <w:t>E27, E40 կամ PGZ12 լամպակոթերից տարբերվող լամպակոթով բարձր ճնշման գազապարպումային լամպերի.</w:t>
      </w:r>
    </w:p>
    <w:p w14:paraId="5201684C"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w:t>
      </w:r>
      <w:r w:rsidR="00D303C2" w:rsidRPr="00D303C2">
        <w:rPr>
          <w:rFonts w:ascii="Sylfaen" w:hAnsi="Sylfaen"/>
          <w:sz w:val="24"/>
          <w:szCs w:val="24"/>
        </w:rPr>
        <w:tab/>
      </w:r>
      <w:r w:rsidRPr="00CA27E3">
        <w:rPr>
          <w:rFonts w:ascii="Sylfaen" w:hAnsi="Sylfaen"/>
          <w:sz w:val="24"/>
          <w:szCs w:val="24"/>
        </w:rPr>
        <w:t>համակարգիչների, լուսապատճենահանող սարքերի, ար</w:t>
      </w:r>
      <w:r>
        <w:rPr>
          <w:rFonts w:ascii="Sylfaen" w:hAnsi="Sylfaen"/>
          <w:sz w:val="24"/>
          <w:szCs w:val="24"/>
        </w:rPr>
        <w:t>եւ</w:t>
      </w:r>
      <w:r w:rsidRPr="00CA27E3">
        <w:rPr>
          <w:rFonts w:ascii="Sylfaen" w:hAnsi="Sylfaen"/>
          <w:sz w:val="24"/>
          <w:szCs w:val="24"/>
        </w:rPr>
        <w:t xml:space="preserve">աբուժարանների համար սարքավորումների, տերարիումների լուսավորման մեջ կիրառվող </w:t>
      </w:r>
      <w:r>
        <w:rPr>
          <w:rFonts w:ascii="Sylfaen" w:hAnsi="Sylfaen"/>
          <w:sz w:val="24"/>
          <w:szCs w:val="24"/>
        </w:rPr>
        <w:t>եւ</w:t>
      </w:r>
      <w:r w:rsidRPr="00CA27E3">
        <w:rPr>
          <w:rFonts w:ascii="Sylfaen" w:hAnsi="Sylfaen"/>
          <w:sz w:val="24"/>
          <w:szCs w:val="24"/>
        </w:rPr>
        <w:t xml:space="preserve"> նման կիրառության լամպերի.</w:t>
      </w:r>
    </w:p>
    <w:p w14:paraId="1B0B1DF4"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ժա)</w:t>
      </w:r>
      <w:r w:rsidR="00D303C2" w:rsidRPr="00D303C2">
        <w:rPr>
          <w:rFonts w:ascii="Sylfaen" w:hAnsi="Sylfaen"/>
          <w:sz w:val="24"/>
          <w:szCs w:val="24"/>
        </w:rPr>
        <w:tab/>
      </w:r>
      <w:r w:rsidRPr="00CA27E3">
        <w:rPr>
          <w:rFonts w:ascii="Sylfaen" w:hAnsi="Sylfaen"/>
          <w:sz w:val="24"/>
          <w:szCs w:val="24"/>
        </w:rPr>
        <w:t xml:space="preserve">այն արտադրանքի, որը նախատեսված չէ ընդհանուր լուսավորման համար կամ նախատեսված է սույն կետի «գ» </w:t>
      </w:r>
      <w:r>
        <w:rPr>
          <w:rFonts w:ascii="Sylfaen" w:hAnsi="Sylfaen"/>
          <w:sz w:val="24"/>
          <w:szCs w:val="24"/>
        </w:rPr>
        <w:t>եւ</w:t>
      </w:r>
      <w:r w:rsidRPr="00CA27E3">
        <w:rPr>
          <w:rFonts w:ascii="Sylfaen" w:hAnsi="Sylfaen"/>
          <w:sz w:val="24"/>
          <w:szCs w:val="24"/>
        </w:rPr>
        <w:t xml:space="preserve"> «ե» ենթակետերում նշված լամպերի հետ օգտագործելու համար, </w:t>
      </w:r>
      <w:r>
        <w:rPr>
          <w:rFonts w:ascii="Sylfaen" w:hAnsi="Sylfaen"/>
          <w:sz w:val="24"/>
          <w:szCs w:val="24"/>
        </w:rPr>
        <w:t>եւ</w:t>
      </w:r>
      <w:r w:rsidRPr="00CA27E3">
        <w:rPr>
          <w:rFonts w:ascii="Sylfaen" w:hAnsi="Sylfaen"/>
          <w:sz w:val="24"/>
          <w:szCs w:val="24"/>
        </w:rPr>
        <w:t xml:space="preserve"> որը ներկառուցված է ոչ ընդհանուր լուսավորման համար ծառայող այլ արտադրանքի մեջ.</w:t>
      </w:r>
    </w:p>
    <w:p w14:paraId="1488D42A"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ժբ)</w:t>
      </w:r>
      <w:r w:rsidR="00D303C2" w:rsidRPr="00D303C2">
        <w:rPr>
          <w:rFonts w:ascii="Sylfaen" w:hAnsi="Sylfaen"/>
          <w:sz w:val="24"/>
          <w:szCs w:val="24"/>
        </w:rPr>
        <w:tab/>
      </w:r>
      <w:r w:rsidRPr="00CA27E3">
        <w:rPr>
          <w:rFonts w:ascii="Sylfaen" w:hAnsi="Sylfaen"/>
          <w:sz w:val="24"/>
          <w:szCs w:val="24"/>
        </w:rPr>
        <w:t xml:space="preserve">վթարային լուսավորման համար լուսատուների </w:t>
      </w:r>
      <w:r>
        <w:rPr>
          <w:rFonts w:ascii="Sylfaen" w:hAnsi="Sylfaen"/>
          <w:sz w:val="24"/>
          <w:szCs w:val="24"/>
        </w:rPr>
        <w:t>եւ</w:t>
      </w:r>
      <w:r w:rsidRPr="00CA27E3">
        <w:rPr>
          <w:rFonts w:ascii="Sylfaen" w:hAnsi="Sylfaen"/>
          <w:sz w:val="24"/>
          <w:szCs w:val="24"/>
        </w:rPr>
        <w:t xml:space="preserve"> որպես ազդանշանային օգտագործվող լուսատուների.</w:t>
      </w:r>
    </w:p>
    <w:p w14:paraId="603FFD69"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ժգ)</w:t>
      </w:r>
      <w:r w:rsidR="00D303C2" w:rsidRPr="00D303C2">
        <w:rPr>
          <w:rFonts w:ascii="Sylfaen" w:hAnsi="Sylfaen"/>
          <w:sz w:val="24"/>
          <w:szCs w:val="24"/>
        </w:rPr>
        <w:tab/>
      </w:r>
      <w:r w:rsidRPr="00CA27E3">
        <w:rPr>
          <w:rFonts w:ascii="Sylfaen" w:hAnsi="Sylfaen"/>
          <w:sz w:val="24"/>
          <w:szCs w:val="24"/>
        </w:rPr>
        <w:t xml:space="preserve">սույն կետի «ժբ» ենթակետում նշված լուսատուների հետ օգտագործման համար նախատեսված </w:t>
      </w:r>
      <w:r>
        <w:rPr>
          <w:rFonts w:ascii="Sylfaen" w:hAnsi="Sylfaen"/>
          <w:sz w:val="24"/>
          <w:szCs w:val="24"/>
        </w:rPr>
        <w:t>եւ</w:t>
      </w:r>
      <w:r w:rsidRPr="00CA27E3">
        <w:rPr>
          <w:rFonts w:ascii="Sylfaen" w:hAnsi="Sylfaen"/>
          <w:sz w:val="24"/>
          <w:szCs w:val="24"/>
        </w:rPr>
        <w:t xml:space="preserve"> վթարային իրավիճակներում լամպերի հետ շահագործման համար նախագծված՝ գործարկումը կարգավորող ապարատների։</w:t>
      </w:r>
    </w:p>
    <w:p w14:paraId="11E9A12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Եթե առանց ներկառուցված՝ գործարկումը կարգավորող ապարատի լյումինեսցենտային լամպերի, բարձր ճնշման գազապարպումային լամպերի, գործարկումը կարգավորող ապարատների </w:t>
      </w:r>
      <w:r>
        <w:rPr>
          <w:rFonts w:ascii="Sylfaen" w:hAnsi="Sylfaen"/>
          <w:sz w:val="24"/>
          <w:szCs w:val="24"/>
        </w:rPr>
        <w:t>եւ</w:t>
      </w:r>
      <w:r w:rsidRPr="00CA27E3">
        <w:rPr>
          <w:rFonts w:ascii="Sylfaen" w:hAnsi="Sylfaen"/>
          <w:sz w:val="24"/>
          <w:szCs w:val="24"/>
        </w:rPr>
        <w:t xml:space="preserve"> այդպիսի լամպերի համար լուսատուների նկատմամբ ընդունվել են Միության այլ տեխնիկական կանոնակարգեր (Մաքսային միության տեխնիկական կանոնակարգեր), որոնցով սահմանվում են դրանց ներկայացվող պահանջները, ապա այդ սարքվածքները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4AD8203F" w14:textId="77777777" w:rsidR="00CA27E3" w:rsidRPr="003D2C38" w:rsidRDefault="00CA27E3" w:rsidP="00CA27E3">
      <w:pPr>
        <w:pStyle w:val="a0"/>
        <w:shd w:val="clear" w:color="auto" w:fill="auto"/>
        <w:spacing w:after="160"/>
        <w:ind w:firstLine="0"/>
        <w:jc w:val="center"/>
        <w:rPr>
          <w:rFonts w:ascii="Sylfaen" w:hAnsi="Sylfaen" w:cs="Sylfaen"/>
          <w:sz w:val="24"/>
          <w:szCs w:val="24"/>
        </w:rPr>
      </w:pPr>
    </w:p>
    <w:p w14:paraId="6059EAE0" w14:textId="77777777" w:rsidR="001C0F06" w:rsidRPr="003D2C38" w:rsidRDefault="001C0F06" w:rsidP="00CA27E3">
      <w:pPr>
        <w:pStyle w:val="a0"/>
        <w:shd w:val="clear" w:color="auto" w:fill="auto"/>
        <w:spacing w:after="160"/>
        <w:ind w:firstLine="0"/>
        <w:jc w:val="center"/>
        <w:rPr>
          <w:rFonts w:ascii="Sylfaen" w:hAnsi="Sylfaen" w:cs="Sylfaen"/>
          <w:sz w:val="24"/>
          <w:szCs w:val="24"/>
        </w:rPr>
      </w:pPr>
    </w:p>
    <w:p w14:paraId="749472FB"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lastRenderedPageBreak/>
        <w:t>II. Հիմնական հասկացությունները</w:t>
      </w:r>
    </w:p>
    <w:p w14:paraId="7E0BFEB1" w14:textId="77777777" w:rsidR="00CA27E3" w:rsidRPr="00CA27E3" w:rsidRDefault="00CA27E3" w:rsidP="00D303C2">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D303C2" w:rsidRPr="00D303C2">
        <w:rPr>
          <w:rFonts w:ascii="Sylfaen" w:hAnsi="Sylfaen"/>
          <w:sz w:val="24"/>
          <w:szCs w:val="24"/>
        </w:rPr>
        <w:tab/>
      </w:r>
      <w:r w:rsidRPr="00CA27E3">
        <w:rPr>
          <w:rFonts w:ascii="Sylfaen" w:hAnsi="Sylfaen"/>
          <w:sz w:val="24"/>
          <w:szCs w:val="24"/>
        </w:rPr>
        <w:t>Սույն պահանջները կիրառելու նպատակներով օգտագործվում են հետ</w:t>
      </w:r>
      <w:r>
        <w:rPr>
          <w:rFonts w:ascii="Sylfaen" w:hAnsi="Sylfaen"/>
          <w:sz w:val="24"/>
          <w:szCs w:val="24"/>
        </w:rPr>
        <w:t>եւ</w:t>
      </w:r>
      <w:r w:rsidRPr="00CA27E3">
        <w:rPr>
          <w:rFonts w:ascii="Sylfaen" w:hAnsi="Sylfaen"/>
          <w:sz w:val="24"/>
          <w:szCs w:val="24"/>
        </w:rPr>
        <w:t>յալ հասկացությունները, որոնք ունեն հետ</w:t>
      </w:r>
      <w:r>
        <w:rPr>
          <w:rFonts w:ascii="Sylfaen" w:hAnsi="Sylfaen"/>
          <w:sz w:val="24"/>
          <w:szCs w:val="24"/>
        </w:rPr>
        <w:t>եւ</w:t>
      </w:r>
      <w:r w:rsidRPr="00CA27E3">
        <w:rPr>
          <w:rFonts w:ascii="Sylfaen" w:hAnsi="Sylfaen"/>
          <w:sz w:val="24"/>
          <w:szCs w:val="24"/>
        </w:rPr>
        <w:t>յալ իմաստը.</w:t>
      </w:r>
    </w:p>
    <w:p w14:paraId="2D36C1B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լամպի արտաքին պատյան՝</w:t>
      </w:r>
      <w:r w:rsidRPr="00CA27E3">
        <w:rPr>
          <w:rFonts w:ascii="Sylfaen" w:hAnsi="Sylfaen"/>
          <w:sz w:val="24"/>
          <w:szCs w:val="24"/>
        </w:rPr>
        <w:t xml:space="preserve"> լամպի երկրորդ (արտաքին) պատյան, որն անհրաժեշտ չէ լույսի առաջացման համար, օրինակ՝ արտաքին լամպանոթ, որը պետք է ապահովի այրիչի աշխատանքի օպտիմալ պայմաններ, խոչընդոտի ուլտրամանուշակագույն ճառագայթման ելքը </w:t>
      </w:r>
      <w:r>
        <w:rPr>
          <w:rFonts w:ascii="Sylfaen" w:hAnsi="Sylfaen"/>
          <w:sz w:val="24"/>
          <w:szCs w:val="24"/>
        </w:rPr>
        <w:t>եւ</w:t>
      </w:r>
      <w:r w:rsidRPr="00CA27E3">
        <w:rPr>
          <w:rFonts w:ascii="Sylfaen" w:hAnsi="Sylfaen"/>
          <w:sz w:val="24"/>
          <w:szCs w:val="24"/>
        </w:rPr>
        <w:t xml:space="preserve"> (կամ) ցրի լույսն ու կանխի այրիչը կոտրվելու դեպքում սնդիկի </w:t>
      </w:r>
      <w:r>
        <w:rPr>
          <w:rFonts w:ascii="Sylfaen" w:hAnsi="Sylfaen"/>
          <w:sz w:val="24"/>
          <w:szCs w:val="24"/>
        </w:rPr>
        <w:t>եւ</w:t>
      </w:r>
      <w:r w:rsidRPr="00CA27E3">
        <w:rPr>
          <w:rFonts w:ascii="Sylfaen" w:hAnsi="Sylfaen"/>
          <w:sz w:val="24"/>
          <w:szCs w:val="24"/>
        </w:rPr>
        <w:t xml:space="preserve"> ապակու՝ շրջակա միջավայրում</w:t>
      </w:r>
      <w:r w:rsidRPr="00CA27E3" w:rsidDel="00954DE8">
        <w:rPr>
          <w:rFonts w:ascii="Sylfaen" w:hAnsi="Sylfaen"/>
          <w:sz w:val="24"/>
          <w:szCs w:val="24"/>
        </w:rPr>
        <w:t xml:space="preserve"> </w:t>
      </w:r>
      <w:r w:rsidRPr="00CA27E3">
        <w:rPr>
          <w:rFonts w:ascii="Sylfaen" w:hAnsi="Sylfaen"/>
          <w:sz w:val="24"/>
          <w:szCs w:val="24"/>
        </w:rPr>
        <w:t>հայտնվելը.</w:t>
      </w:r>
    </w:p>
    <w:p w14:paraId="28B2553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գազապարպումային լամպ՝</w:t>
      </w:r>
      <w:r w:rsidRPr="00CA27E3">
        <w:rPr>
          <w:rFonts w:ascii="Sylfaen" w:hAnsi="Sylfaen"/>
          <w:sz w:val="24"/>
          <w:szCs w:val="24"/>
        </w:rPr>
        <w:t xml:space="preserve"> պարպումային լամպ, որում օպտիկական ճառագայթումն առաջանում է գազում էլեկտրական պարպման արդյունքում.</w:t>
      </w:r>
    </w:p>
    <w:p w14:paraId="5C7CAAC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բարձր ճնշման գազապարպումային լամպ՝</w:t>
      </w:r>
      <w:r w:rsidRPr="00CA27E3">
        <w:rPr>
          <w:rFonts w:ascii="Sylfaen" w:hAnsi="Sylfaen"/>
          <w:sz w:val="24"/>
          <w:szCs w:val="24"/>
        </w:rPr>
        <w:t xml:space="preserve"> գազապարպումային լամպ, որում լուսաճառագայթող էլեկտրական աղեղը կայունանում է այրիչի պատերի ջերմաստիճանով, </w:t>
      </w:r>
      <w:r>
        <w:rPr>
          <w:rFonts w:ascii="Sylfaen" w:hAnsi="Sylfaen"/>
          <w:sz w:val="24"/>
          <w:szCs w:val="24"/>
        </w:rPr>
        <w:t>եւ</w:t>
      </w:r>
      <w:r w:rsidRPr="00CA27E3">
        <w:rPr>
          <w:rFonts w:ascii="Sylfaen" w:hAnsi="Sylfaen"/>
          <w:sz w:val="24"/>
          <w:szCs w:val="24"/>
        </w:rPr>
        <w:t xml:space="preserve"> լամպանոթի պատերի վրա ջերմային բեռնվածքը գերազանցում է 3 Վտ/սմ</w:t>
      </w:r>
      <w:r w:rsidRPr="00CA27E3">
        <w:rPr>
          <w:rFonts w:ascii="Sylfaen" w:hAnsi="Sylfaen"/>
          <w:sz w:val="24"/>
          <w:szCs w:val="24"/>
          <w:vertAlign w:val="superscript"/>
        </w:rPr>
        <w:t>2</w:t>
      </w:r>
      <w:r w:rsidRPr="00CA27E3">
        <w:rPr>
          <w:rFonts w:ascii="Sylfaen" w:hAnsi="Sylfaen"/>
          <w:sz w:val="24"/>
          <w:szCs w:val="24"/>
        </w:rPr>
        <w:t>-ը.</w:t>
      </w:r>
    </w:p>
    <w:p w14:paraId="35B04ED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ավելցուկային լույս՝</w:t>
      </w:r>
      <w:r w:rsidRPr="00CA27E3">
        <w:rPr>
          <w:rFonts w:ascii="Sylfaen" w:hAnsi="Sylfaen"/>
          <w:sz w:val="24"/>
          <w:szCs w:val="24"/>
        </w:rPr>
        <w:t xml:space="preserve"> լուսավորման սարքվածքի լույսի մաս, որը չի ծառայում սահմանված նպատակին, այն է՝</w:t>
      </w:r>
    </w:p>
    <w:p w14:paraId="47CC561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լույս, որը լուսավորում է լուսավորում չպահանջող գոտին.</w:t>
      </w:r>
    </w:p>
    <w:p w14:paraId="050F394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ցրված լույս՝ լուսավորող սարքվածքի հար</w:t>
      </w:r>
      <w:r>
        <w:rPr>
          <w:rFonts w:ascii="Sylfaen" w:hAnsi="Sylfaen"/>
          <w:sz w:val="24"/>
          <w:szCs w:val="24"/>
        </w:rPr>
        <w:t>եւ</w:t>
      </w:r>
      <w:r w:rsidRPr="00CA27E3">
        <w:rPr>
          <w:rFonts w:ascii="Sylfaen" w:hAnsi="Sylfaen"/>
          <w:sz w:val="24"/>
          <w:szCs w:val="24"/>
        </w:rPr>
        <w:t>անությամբ.</w:t>
      </w:r>
    </w:p>
    <w:p w14:paraId="3414FD8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երկնքի լուսարձակում, որը նշանակում է ճառագայթման ուղղակի կամ անուղղակի (տեսանելի </w:t>
      </w:r>
      <w:r>
        <w:rPr>
          <w:rFonts w:ascii="Sylfaen" w:hAnsi="Sylfaen"/>
          <w:sz w:val="24"/>
          <w:szCs w:val="24"/>
        </w:rPr>
        <w:t>եւ</w:t>
      </w:r>
      <w:r w:rsidRPr="00CA27E3">
        <w:rPr>
          <w:rFonts w:ascii="Sylfaen" w:hAnsi="Sylfaen"/>
          <w:sz w:val="24"/>
          <w:szCs w:val="24"/>
        </w:rPr>
        <w:t xml:space="preserve"> անտեսանելի) արտացոլման հիման վրա գիշերային երկնքի լուսավորում, որը դիտարկման ուղղությամբ ցրվում է մթնոլորտի բաղադրիչ կոմպոնենտների (գազի մոլեկուլներ, աէրոզոլներ </w:t>
      </w:r>
      <w:r>
        <w:rPr>
          <w:rFonts w:ascii="Sylfaen" w:hAnsi="Sylfaen"/>
          <w:sz w:val="24"/>
          <w:szCs w:val="24"/>
        </w:rPr>
        <w:t>եւ</w:t>
      </w:r>
      <w:r w:rsidRPr="00CA27E3">
        <w:rPr>
          <w:rFonts w:ascii="Sylfaen" w:hAnsi="Sylfaen"/>
          <w:sz w:val="24"/>
          <w:szCs w:val="24"/>
        </w:rPr>
        <w:t xml:space="preserve"> մասնիկներ) միջոցով. </w:t>
      </w:r>
    </w:p>
    <w:p w14:paraId="244E3E3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գունահաղորդման ցուցիչ (Ra</w:t>
      </w:r>
      <w:r w:rsidRPr="00CA27E3">
        <w:rPr>
          <w:rFonts w:ascii="Sylfaen" w:hAnsi="Sylfaen"/>
          <w:sz w:val="24"/>
          <w:szCs w:val="24"/>
        </w:rPr>
        <w:t>)՝ դիտարկման որոշակի պայմաններում լույսի</w:t>
      </w:r>
      <w:r>
        <w:rPr>
          <w:rFonts w:ascii="Sylfaen" w:hAnsi="Sylfaen"/>
          <w:sz w:val="24"/>
          <w:szCs w:val="24"/>
        </w:rPr>
        <w:t xml:space="preserve"> </w:t>
      </w:r>
      <w:r w:rsidRPr="00CA27E3">
        <w:rPr>
          <w:rFonts w:ascii="Sylfaen" w:hAnsi="Sylfaen"/>
          <w:sz w:val="24"/>
          <w:szCs w:val="24"/>
        </w:rPr>
        <w:t xml:space="preserve">հետազոտվող </w:t>
      </w:r>
      <w:r>
        <w:rPr>
          <w:rFonts w:ascii="Sylfaen" w:hAnsi="Sylfaen"/>
          <w:sz w:val="24"/>
          <w:szCs w:val="24"/>
        </w:rPr>
        <w:t>եւ</w:t>
      </w:r>
      <w:r w:rsidRPr="00CA27E3">
        <w:rPr>
          <w:rFonts w:ascii="Sylfaen" w:hAnsi="Sylfaen"/>
          <w:sz w:val="24"/>
          <w:szCs w:val="24"/>
        </w:rPr>
        <w:t xml:space="preserve"> ստանդարտ աղբյուրներով լուսավորված գունավոր օբյեկտի տեսողական ընկալման համապատասխանության չափ.</w:t>
      </w:r>
    </w:p>
    <w:p w14:paraId="68B5A39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lastRenderedPageBreak/>
        <w:t>սպիտակ լույսի աղբյուր՝</w:t>
      </w:r>
      <w:r w:rsidRPr="00CA27E3">
        <w:rPr>
          <w:rFonts w:ascii="Sylfaen" w:hAnsi="Sylfaen"/>
          <w:sz w:val="24"/>
          <w:szCs w:val="24"/>
        </w:rPr>
        <w:t xml:space="preserve"> լույսի աղբյուր, որի գունավորության կոորդինատները համապատասխանում են հետ</w:t>
      </w:r>
      <w:r>
        <w:rPr>
          <w:rFonts w:ascii="Sylfaen" w:hAnsi="Sylfaen"/>
          <w:sz w:val="24"/>
          <w:szCs w:val="24"/>
        </w:rPr>
        <w:t>եւ</w:t>
      </w:r>
      <w:r w:rsidRPr="00CA27E3">
        <w:rPr>
          <w:rFonts w:ascii="Sylfaen" w:hAnsi="Sylfaen"/>
          <w:sz w:val="24"/>
          <w:szCs w:val="24"/>
        </w:rPr>
        <w:t>յալ պահանջներին՝</w:t>
      </w:r>
    </w:p>
    <w:p w14:paraId="1B51A90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0,270 &lt; x &lt; 0,530.</w:t>
      </w:r>
    </w:p>
    <w:p w14:paraId="26CD5A5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- 2,3172 x</w:t>
      </w:r>
      <w:r w:rsidRPr="00CA27E3">
        <w:rPr>
          <w:rFonts w:ascii="Sylfaen" w:hAnsi="Sylfaen"/>
          <w:sz w:val="24"/>
          <w:szCs w:val="24"/>
          <w:vertAlign w:val="superscript"/>
        </w:rPr>
        <w:t>2</w:t>
      </w:r>
      <w:r w:rsidRPr="00CA27E3">
        <w:rPr>
          <w:rFonts w:ascii="Sylfaen" w:hAnsi="Sylfaen"/>
          <w:sz w:val="24"/>
          <w:szCs w:val="24"/>
        </w:rPr>
        <w:t xml:space="preserve"> + 2,3653 x - 0,2199 &lt; y &lt; - 2,3172 x</w:t>
      </w:r>
      <w:r w:rsidRPr="00CA27E3">
        <w:rPr>
          <w:rFonts w:ascii="Sylfaen" w:hAnsi="Sylfaen"/>
          <w:sz w:val="24"/>
          <w:szCs w:val="24"/>
          <w:vertAlign w:val="superscript"/>
        </w:rPr>
        <w:t>2</w:t>
      </w:r>
      <w:r w:rsidRPr="00CA27E3">
        <w:rPr>
          <w:rFonts w:ascii="Sylfaen" w:hAnsi="Sylfaen"/>
          <w:sz w:val="24"/>
          <w:szCs w:val="24"/>
        </w:rPr>
        <w:t xml:space="preserve"> + 2,3653 x - 0,1595.</w:t>
      </w:r>
    </w:p>
    <w:p w14:paraId="2F0F805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կորելացված գունային ջերմաստիճան (T</w:t>
      </w:r>
      <w:r w:rsidRPr="001C0F06">
        <w:rPr>
          <w:rFonts w:ascii="Sylfaen" w:hAnsi="Sylfaen"/>
          <w:b/>
          <w:sz w:val="24"/>
          <w:szCs w:val="24"/>
          <w:vertAlign w:val="subscript"/>
        </w:rPr>
        <w:t>c</w:t>
      </w:r>
      <w:r w:rsidR="001C0F06" w:rsidRPr="001C0F06">
        <w:rPr>
          <w:rFonts w:ascii="Sylfaen" w:hAnsi="Sylfaen"/>
          <w:b/>
          <w:sz w:val="24"/>
          <w:szCs w:val="24"/>
        </w:rPr>
        <w:t xml:space="preserve"> [К])</w:t>
      </w:r>
      <w:r w:rsidRPr="001C0F06">
        <w:rPr>
          <w:rFonts w:ascii="Sylfaen" w:hAnsi="Sylfaen"/>
          <w:b/>
          <w:sz w:val="24"/>
          <w:szCs w:val="24"/>
        </w:rPr>
        <w:t>՝</w:t>
      </w:r>
      <w:r w:rsidRPr="00CA27E3">
        <w:rPr>
          <w:rFonts w:ascii="Sylfaen" w:hAnsi="Sylfaen"/>
          <w:sz w:val="24"/>
          <w:szCs w:val="24"/>
        </w:rPr>
        <w:t xml:space="preserve"> Պլանկի ճառագայթիչի (ս</w:t>
      </w:r>
      <w:r>
        <w:rPr>
          <w:rFonts w:ascii="Sylfaen" w:hAnsi="Sylfaen"/>
          <w:sz w:val="24"/>
          <w:szCs w:val="24"/>
        </w:rPr>
        <w:t>եւ</w:t>
      </w:r>
      <w:r w:rsidR="001C0F06" w:rsidRPr="001C0F06">
        <w:rPr>
          <w:rFonts w:ascii="Sylfaen" w:hAnsi="Sylfaen"/>
          <w:sz w:val="24"/>
          <w:szCs w:val="24"/>
        </w:rPr>
        <w:t> </w:t>
      </w:r>
      <w:r w:rsidRPr="00CA27E3">
        <w:rPr>
          <w:rFonts w:ascii="Sylfaen" w:hAnsi="Sylfaen"/>
          <w:sz w:val="24"/>
          <w:szCs w:val="24"/>
        </w:rPr>
        <w:t xml:space="preserve">մարմնի) ջերմաստիճան, որի ընկալվող գույնը առավելագույնս է հիշեցնում այն գույնը, որն ունի տվյալ գրգռիչը միանման պայծառության </w:t>
      </w:r>
      <w:r>
        <w:rPr>
          <w:rFonts w:ascii="Sylfaen" w:hAnsi="Sylfaen"/>
          <w:sz w:val="24"/>
          <w:szCs w:val="24"/>
        </w:rPr>
        <w:t>եւ</w:t>
      </w:r>
      <w:r w:rsidRPr="00CA27E3">
        <w:rPr>
          <w:rFonts w:ascii="Sylfaen" w:hAnsi="Sylfaen"/>
          <w:sz w:val="24"/>
          <w:szCs w:val="24"/>
        </w:rPr>
        <w:t xml:space="preserve"> դիտման որոշակի պայմանների դեպքում.</w:t>
      </w:r>
    </w:p>
    <w:p w14:paraId="00BA6C8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լամպի լուսային հոսքի պահպանման գործակից (LLMF)՝</w:t>
      </w:r>
      <w:r w:rsidRPr="00CA27E3">
        <w:rPr>
          <w:rFonts w:ascii="Sylfaen" w:hAnsi="Sylfaen"/>
          <w:sz w:val="24"/>
          <w:szCs w:val="24"/>
        </w:rPr>
        <w:t xml:space="preserve"> լամպի ծառայության ժամկետի (կենսական ցիկլի) տրված պահին այդ լամպի լուսային հոսքի հարաբերություն այդ լամպի սկզբնական լուսային հոսքի նկատմամբ (չափված շահագործումից 100</w:t>
      </w:r>
      <w:r>
        <w:rPr>
          <w:rFonts w:ascii="Sylfaen" w:hAnsi="Sylfaen"/>
          <w:sz w:val="24"/>
          <w:szCs w:val="24"/>
        </w:rPr>
        <w:t xml:space="preserve"> </w:t>
      </w:r>
      <w:r w:rsidRPr="00CA27E3">
        <w:rPr>
          <w:rFonts w:ascii="Sylfaen" w:hAnsi="Sylfaen"/>
          <w:sz w:val="24"/>
          <w:szCs w:val="24"/>
        </w:rPr>
        <w:t>ժամ անց).</w:t>
      </w:r>
    </w:p>
    <w:p w14:paraId="0AE3683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լամպի ծառայության ժամկետի գործակից (LSF)՝</w:t>
      </w:r>
      <w:r>
        <w:rPr>
          <w:rFonts w:ascii="Sylfaen" w:hAnsi="Sylfaen"/>
          <w:sz w:val="24"/>
          <w:szCs w:val="24"/>
        </w:rPr>
        <w:t xml:space="preserve"> </w:t>
      </w:r>
      <w:r w:rsidRPr="00CA27E3">
        <w:rPr>
          <w:rFonts w:ascii="Sylfaen" w:hAnsi="Sylfaen"/>
          <w:sz w:val="24"/>
          <w:szCs w:val="24"/>
        </w:rPr>
        <w:t>լամպերի ընդհանուր քանակի մեջ՝</w:t>
      </w:r>
      <w:r>
        <w:rPr>
          <w:rFonts w:ascii="Sylfaen" w:hAnsi="Sylfaen"/>
          <w:sz w:val="24"/>
          <w:szCs w:val="24"/>
        </w:rPr>
        <w:t xml:space="preserve"> </w:t>
      </w:r>
      <w:r w:rsidRPr="00CA27E3">
        <w:rPr>
          <w:rFonts w:ascii="Sylfaen" w:hAnsi="Sylfaen"/>
          <w:sz w:val="24"/>
          <w:szCs w:val="24"/>
        </w:rPr>
        <w:t xml:space="preserve">որոշակի պայմաններում </w:t>
      </w:r>
      <w:r>
        <w:rPr>
          <w:rFonts w:ascii="Sylfaen" w:hAnsi="Sylfaen"/>
          <w:sz w:val="24"/>
          <w:szCs w:val="24"/>
        </w:rPr>
        <w:t>եւ</w:t>
      </w:r>
      <w:r w:rsidRPr="00CA27E3">
        <w:rPr>
          <w:rFonts w:ascii="Sylfaen" w:hAnsi="Sylfaen"/>
          <w:sz w:val="24"/>
          <w:szCs w:val="24"/>
        </w:rPr>
        <w:t xml:space="preserve"> միացումների (փոխարկումների) որոշակի հաճախությամբ տվյալ պահին դեռ աշխատող լամպերի բաժին.</w:t>
      </w:r>
    </w:p>
    <w:p w14:paraId="5121DDA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գործարկումը կարգավորող ապարատի ՕԳԳ (η</w:t>
      </w:r>
      <w:r w:rsidRPr="001C0F06">
        <w:rPr>
          <w:rFonts w:ascii="Sylfaen" w:hAnsi="Sylfaen"/>
          <w:b/>
          <w:sz w:val="24"/>
          <w:szCs w:val="24"/>
          <w:vertAlign w:val="subscript"/>
        </w:rPr>
        <w:t>ԳԿԱ</w:t>
      </w:r>
      <w:r w:rsidRPr="001C0F06">
        <w:rPr>
          <w:rFonts w:ascii="Sylfaen" w:hAnsi="Sylfaen"/>
          <w:b/>
          <w:sz w:val="24"/>
          <w:szCs w:val="24"/>
        </w:rPr>
        <w:t>)՝</w:t>
      </w:r>
      <w:r w:rsidRPr="00CA27E3">
        <w:rPr>
          <w:rFonts w:ascii="Sylfaen" w:hAnsi="Sylfaen"/>
          <w:sz w:val="24"/>
          <w:szCs w:val="24"/>
        </w:rPr>
        <w:t xml:space="preserve"> լամպի սպառվող հզորության (գործարկումը կարգավորող ապարատի ելքային հզորություն) հարաբերությունը գործարկումը կարգավորող ապարատի էլեկտրական շղթայի մուտքային հզորության նկատմամբ, ընդ որում, հնարավոր սենսորային տվիչները, ցանցային միացումները </w:t>
      </w:r>
      <w:r>
        <w:rPr>
          <w:rFonts w:ascii="Sylfaen" w:hAnsi="Sylfaen"/>
          <w:sz w:val="24"/>
          <w:szCs w:val="24"/>
        </w:rPr>
        <w:t>եւ</w:t>
      </w:r>
      <w:r w:rsidRPr="00CA27E3">
        <w:rPr>
          <w:rFonts w:ascii="Sylfaen" w:hAnsi="Sylfaen"/>
          <w:sz w:val="24"/>
          <w:szCs w:val="24"/>
        </w:rPr>
        <w:t xml:space="preserve"> այլ լրացուցիչ սպառողները պետք է անջատված լինեն.</w:t>
      </w:r>
    </w:p>
    <w:p w14:paraId="1B40FC3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ուղղորդված լույսի լամպ՝</w:t>
      </w:r>
      <w:r w:rsidRPr="00CA27E3">
        <w:rPr>
          <w:rFonts w:ascii="Sylfaen" w:hAnsi="Sylfaen"/>
          <w:sz w:val="24"/>
          <w:szCs w:val="24"/>
        </w:rPr>
        <w:t xml:space="preserve"> լամպ, որն իր լուսային հոսքի առնվազն 80%-ը ճառագայթում է</w:t>
      </w:r>
      <w:r>
        <w:rPr>
          <w:rFonts w:ascii="Sylfaen" w:hAnsi="Sylfaen"/>
          <w:sz w:val="24"/>
          <w:szCs w:val="24"/>
        </w:rPr>
        <w:t xml:space="preserve"> </w:t>
      </w:r>
      <w:r w:rsidRPr="00CA27E3">
        <w:rPr>
          <w:rFonts w:ascii="Sylfaen" w:hAnsi="Sylfaen"/>
          <w:sz w:val="24"/>
          <w:szCs w:val="24"/>
        </w:rPr>
        <w:t>3,14 ստեռադիան մարմնային անկյան սահմաններում (համապատասխանում է 120° գագաթի դեպքում անկյունով կոնին).</w:t>
      </w:r>
    </w:p>
    <w:p w14:paraId="2718901D" w14:textId="77777777" w:rsidR="001C0F06" w:rsidRDefault="00CA27E3" w:rsidP="00CA27E3">
      <w:pPr>
        <w:pStyle w:val="a0"/>
        <w:shd w:val="clear" w:color="auto" w:fill="auto"/>
        <w:spacing w:after="160"/>
        <w:ind w:firstLine="567"/>
        <w:jc w:val="both"/>
        <w:rPr>
          <w:rFonts w:ascii="Sylfaen" w:hAnsi="Sylfaen"/>
          <w:sz w:val="24"/>
          <w:szCs w:val="24"/>
        </w:rPr>
      </w:pPr>
      <w:r w:rsidRPr="001C0F06">
        <w:rPr>
          <w:rFonts w:ascii="Sylfaen" w:hAnsi="Sylfaen"/>
          <w:b/>
          <w:sz w:val="24"/>
          <w:szCs w:val="24"/>
        </w:rPr>
        <w:t>չուղղորդված լույսի լամպ՝</w:t>
      </w:r>
      <w:r w:rsidRPr="00CA27E3">
        <w:rPr>
          <w:rFonts w:ascii="Sylfaen" w:hAnsi="Sylfaen"/>
          <w:sz w:val="24"/>
          <w:szCs w:val="24"/>
        </w:rPr>
        <w:t xml:space="preserve"> լամպ, որը ուղղորդված լուսաճառագայթմամբ լամպ չէ.</w:t>
      </w:r>
    </w:p>
    <w:p w14:paraId="745D82F9" w14:textId="77777777" w:rsidR="001C0F06" w:rsidRDefault="001C0F06">
      <w:pPr>
        <w:rPr>
          <w:rFonts w:ascii="Sylfaen" w:eastAsia="Times New Roman" w:hAnsi="Sylfaen" w:cs="Times New Roman"/>
          <w:color w:val="auto"/>
        </w:rPr>
      </w:pPr>
      <w:r>
        <w:rPr>
          <w:rFonts w:ascii="Sylfaen" w:hAnsi="Sylfaen"/>
        </w:rPr>
        <w:br w:type="page"/>
      </w:r>
    </w:p>
    <w:p w14:paraId="42766D8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lastRenderedPageBreak/>
        <w:t>թափանցիկ լամ</w:t>
      </w:r>
      <w:r w:rsidR="001C0F06" w:rsidRPr="001C0F06">
        <w:rPr>
          <w:rFonts w:ascii="Sylfaen" w:hAnsi="Sylfaen"/>
          <w:b/>
          <w:sz w:val="24"/>
          <w:szCs w:val="24"/>
        </w:rPr>
        <w:t>պանոթով լամպ</w:t>
      </w:r>
      <w:r w:rsidRPr="00CA27E3">
        <w:rPr>
          <w:rFonts w:ascii="Sylfaen" w:hAnsi="Sylfaen"/>
          <w:sz w:val="24"/>
          <w:szCs w:val="24"/>
        </w:rPr>
        <w:t>՝ թափանցիկ արտաքին լամպանոթով կամ ներքին խողովակով բարձր ճնշման գազապարպումային լամպ, որում լուսաճառագայթող էլեկտրական աղեղային խողովակը (օրինակ՝ թափանցիկ ապակյա լամպը) հստակ տեսանելի է.</w:t>
      </w:r>
    </w:p>
    <w:p w14:paraId="54541986" w14:textId="77777777" w:rsidR="00CA27E3" w:rsidRPr="00CA27E3" w:rsidRDefault="001C0F06"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խառը լույսի լամպ</w:t>
      </w:r>
      <w:r w:rsidR="00CA27E3" w:rsidRPr="001C0F06">
        <w:rPr>
          <w:rFonts w:ascii="Sylfaen" w:hAnsi="Sylfaen"/>
          <w:b/>
          <w:sz w:val="24"/>
          <w:szCs w:val="24"/>
        </w:rPr>
        <w:t>՝</w:t>
      </w:r>
      <w:r w:rsidR="00CA27E3" w:rsidRPr="00CA27E3">
        <w:rPr>
          <w:rFonts w:ascii="Sylfaen" w:hAnsi="Sylfaen"/>
          <w:sz w:val="24"/>
          <w:szCs w:val="24"/>
        </w:rPr>
        <w:t xml:space="preserve"> լամպ, որը մեկ լամպանոթում պարունակում է հաջորդաբար միացված սնդիկային լամպ </w:t>
      </w:r>
      <w:r w:rsidR="00CA27E3">
        <w:rPr>
          <w:rFonts w:ascii="Sylfaen" w:hAnsi="Sylfaen"/>
          <w:sz w:val="24"/>
          <w:szCs w:val="24"/>
        </w:rPr>
        <w:t>եւ</w:t>
      </w:r>
      <w:r w:rsidR="00CA27E3" w:rsidRPr="00CA27E3">
        <w:rPr>
          <w:rFonts w:ascii="Sylfaen" w:hAnsi="Sylfaen"/>
          <w:sz w:val="24"/>
          <w:szCs w:val="24"/>
        </w:rPr>
        <w:t xml:space="preserve"> շիկացման պարուրաձ</w:t>
      </w:r>
      <w:r w:rsidR="00CA27E3">
        <w:rPr>
          <w:rFonts w:ascii="Sylfaen" w:hAnsi="Sylfaen"/>
          <w:sz w:val="24"/>
          <w:szCs w:val="24"/>
        </w:rPr>
        <w:t>եւ</w:t>
      </w:r>
      <w:r w:rsidR="00CA27E3" w:rsidRPr="00CA27E3">
        <w:rPr>
          <w:rFonts w:ascii="Sylfaen" w:hAnsi="Sylfaen"/>
          <w:sz w:val="24"/>
          <w:szCs w:val="24"/>
        </w:rPr>
        <w:t xml:space="preserve"> թելիկ.</w:t>
      </w:r>
    </w:p>
    <w:p w14:paraId="396408D7" w14:textId="77777777" w:rsidR="00CA27E3" w:rsidRPr="00CA27E3" w:rsidRDefault="001C0F06"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լյումինեսցենտային լամպ</w:t>
      </w:r>
      <w:r w:rsidR="00CA27E3" w:rsidRPr="001C0F06">
        <w:rPr>
          <w:rFonts w:ascii="Sylfaen" w:hAnsi="Sylfaen"/>
          <w:b/>
          <w:sz w:val="24"/>
          <w:szCs w:val="24"/>
        </w:rPr>
        <w:t>՝</w:t>
      </w:r>
      <w:r w:rsidR="00CA27E3" w:rsidRPr="00CA27E3">
        <w:rPr>
          <w:rFonts w:ascii="Sylfaen" w:hAnsi="Sylfaen"/>
          <w:sz w:val="24"/>
          <w:szCs w:val="24"/>
        </w:rPr>
        <w:t xml:space="preserve"> ցածր ճնշման սնդիկային լամպ, որում լույսը ճառագայթում են էլեկտրական պարպման ուլտրամանուշակագույն ճառագայթումով գրգռվող՝ լյումինաֆորի մեկ կամ մի քանի շերտեր.</w:t>
      </w:r>
    </w:p>
    <w:p w14:paraId="4DB3EDC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մետաղ</w:t>
      </w:r>
      <w:r w:rsidR="001C0F06" w:rsidRPr="001C0F06">
        <w:rPr>
          <w:rFonts w:ascii="Sylfaen" w:hAnsi="Sylfaen"/>
          <w:b/>
          <w:sz w:val="24"/>
          <w:szCs w:val="24"/>
        </w:rPr>
        <w:t>ահալոգենային լամպ</w:t>
      </w:r>
      <w:r w:rsidRPr="001C0F06">
        <w:rPr>
          <w:rFonts w:ascii="Sylfaen" w:hAnsi="Sylfaen"/>
          <w:b/>
          <w:sz w:val="24"/>
          <w:szCs w:val="24"/>
        </w:rPr>
        <w:t>՝</w:t>
      </w:r>
      <w:r w:rsidRPr="00CA27E3">
        <w:rPr>
          <w:rFonts w:ascii="Sylfaen" w:hAnsi="Sylfaen"/>
          <w:sz w:val="24"/>
          <w:szCs w:val="24"/>
        </w:rPr>
        <w:t xml:space="preserve"> լամպ, որում լույսը ճառագում է մետաղների գոլորշիների, մետաղների հալոիդային միացությունների </w:t>
      </w:r>
      <w:r>
        <w:rPr>
          <w:rFonts w:ascii="Sylfaen" w:hAnsi="Sylfaen"/>
          <w:sz w:val="24"/>
          <w:szCs w:val="24"/>
        </w:rPr>
        <w:t>եւ</w:t>
      </w:r>
      <w:r w:rsidRPr="00CA27E3">
        <w:rPr>
          <w:rFonts w:ascii="Sylfaen" w:hAnsi="Sylfaen"/>
          <w:sz w:val="24"/>
          <w:szCs w:val="24"/>
        </w:rPr>
        <w:t xml:space="preserve"> հալոիդային միացությունների քայքայման արգասիքների խառնուրդը.</w:t>
      </w:r>
    </w:p>
    <w:p w14:paraId="0AB6DF8A" w14:textId="77777777" w:rsidR="00CA27E3" w:rsidRPr="00CA27E3" w:rsidRDefault="001C0F06"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բարձր ճնշման նատրիումական լամպ</w:t>
      </w:r>
      <w:r w:rsidR="00CA27E3" w:rsidRPr="001C0F06">
        <w:rPr>
          <w:rFonts w:ascii="Sylfaen" w:hAnsi="Sylfaen"/>
          <w:b/>
          <w:sz w:val="24"/>
          <w:szCs w:val="24"/>
        </w:rPr>
        <w:t>՝</w:t>
      </w:r>
      <w:r w:rsidR="00CA27E3" w:rsidRPr="00CA27E3">
        <w:rPr>
          <w:rFonts w:ascii="Sylfaen" w:hAnsi="Sylfaen"/>
          <w:sz w:val="24"/>
          <w:szCs w:val="24"/>
        </w:rPr>
        <w:t xml:space="preserve"> լամպ, որում լույսը ճառագում է նատրիումի գոլորշիները, որոնց մասնական ճնշումը սահմանված ռեժիմում հասնում է 10 կՊա-ի (75 մմ ս. ս.).</w:t>
      </w:r>
    </w:p>
    <w:p w14:paraId="24AA7399" w14:textId="77777777" w:rsidR="00CA27E3" w:rsidRPr="00CA27E3" w:rsidRDefault="001C0F06"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անվանական արժեք</w:t>
      </w:r>
      <w:r w:rsidR="00CA27E3" w:rsidRPr="001C0F06">
        <w:rPr>
          <w:rFonts w:ascii="Sylfaen" w:hAnsi="Sylfaen"/>
          <w:b/>
          <w:sz w:val="24"/>
          <w:szCs w:val="24"/>
        </w:rPr>
        <w:t>՝</w:t>
      </w:r>
      <w:r w:rsidR="00CA27E3" w:rsidRPr="00CA27E3">
        <w:rPr>
          <w:rFonts w:ascii="Sylfaen" w:hAnsi="Sylfaen"/>
          <w:sz w:val="24"/>
          <w:szCs w:val="24"/>
        </w:rPr>
        <w:t xml:space="preserve"> տրված աշխատանքային պայմաններում պարամետրի քանակական արժեք, որն օգտագործվում է արտադրատեսակի նշագրման կամ նույնականացման</w:t>
      </w:r>
      <w:r w:rsidR="00CA27E3">
        <w:rPr>
          <w:rFonts w:ascii="Sylfaen" w:hAnsi="Sylfaen"/>
          <w:sz w:val="24"/>
          <w:szCs w:val="24"/>
        </w:rPr>
        <w:t xml:space="preserve"> </w:t>
      </w:r>
      <w:r w:rsidR="00CA27E3" w:rsidRPr="00CA27E3">
        <w:rPr>
          <w:rFonts w:ascii="Sylfaen" w:hAnsi="Sylfaen"/>
          <w:sz w:val="24"/>
          <w:szCs w:val="24"/>
        </w:rPr>
        <w:t xml:space="preserve">համար, </w:t>
      </w:r>
      <w:r w:rsidR="00CA27E3">
        <w:rPr>
          <w:rFonts w:ascii="Sylfaen" w:hAnsi="Sylfaen"/>
          <w:sz w:val="24"/>
          <w:szCs w:val="24"/>
        </w:rPr>
        <w:t>եւ</w:t>
      </w:r>
      <w:r w:rsidR="00CA27E3" w:rsidRPr="00CA27E3">
        <w:rPr>
          <w:rFonts w:ascii="Sylfaen" w:hAnsi="Sylfaen"/>
          <w:sz w:val="24"/>
          <w:szCs w:val="24"/>
        </w:rPr>
        <w:t xml:space="preserve"> որը նշվում է արտադրողի կողմից շահագործման փաստաթղթերում.</w:t>
      </w:r>
    </w:p>
    <w:p w14:paraId="3A216C7B" w14:textId="77777777" w:rsidR="00CA27E3" w:rsidRPr="00CA27E3" w:rsidRDefault="001C0F06"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ընդհանուր լուսավորում</w:t>
      </w:r>
      <w:r w:rsidR="00CA27E3" w:rsidRPr="001C0F06">
        <w:rPr>
          <w:rFonts w:ascii="Sylfaen" w:hAnsi="Sylfaen"/>
          <w:b/>
          <w:sz w:val="24"/>
          <w:szCs w:val="24"/>
        </w:rPr>
        <w:t>՝</w:t>
      </w:r>
      <w:r w:rsidR="00CA27E3" w:rsidRPr="00CA27E3">
        <w:rPr>
          <w:rFonts w:ascii="Sylfaen" w:hAnsi="Sylfaen"/>
          <w:sz w:val="24"/>
          <w:szCs w:val="24"/>
        </w:rPr>
        <w:t xml:space="preserve"> հիմնականում տարածքի համաչափ լուսավորում՝ առանց հաշվի առնելու հատուկ տեղային պահանջմունքները.</w:t>
      </w:r>
    </w:p>
    <w:p w14:paraId="2F4B717E" w14:textId="77777777" w:rsidR="00CA27E3" w:rsidRPr="00CA27E3" w:rsidRDefault="001C0F06" w:rsidP="00CA27E3">
      <w:pPr>
        <w:pStyle w:val="a0"/>
        <w:shd w:val="clear" w:color="auto" w:fill="auto"/>
        <w:spacing w:after="160"/>
        <w:ind w:firstLine="567"/>
        <w:jc w:val="both"/>
        <w:rPr>
          <w:rFonts w:ascii="Sylfaen" w:hAnsi="Sylfaen" w:cs="Sylfaen"/>
          <w:sz w:val="24"/>
          <w:szCs w:val="24"/>
        </w:rPr>
      </w:pPr>
      <w:r w:rsidRPr="001C0F06">
        <w:rPr>
          <w:rFonts w:ascii="Sylfaen" w:hAnsi="Sylfaen"/>
          <w:b/>
          <w:sz w:val="24"/>
          <w:szCs w:val="24"/>
        </w:rPr>
        <w:t>սպառվող հզորություն</w:t>
      </w:r>
      <w:r w:rsidR="00CA27E3" w:rsidRPr="001C0F06">
        <w:rPr>
          <w:rFonts w:ascii="Sylfaen" w:hAnsi="Sylfaen"/>
          <w:b/>
          <w:sz w:val="24"/>
          <w:szCs w:val="24"/>
        </w:rPr>
        <w:t>՝</w:t>
      </w:r>
      <w:r w:rsidR="00CA27E3" w:rsidRPr="00CA27E3">
        <w:rPr>
          <w:rFonts w:ascii="Sylfaen" w:hAnsi="Sylfaen"/>
          <w:sz w:val="24"/>
          <w:szCs w:val="24"/>
        </w:rPr>
        <w:t xml:space="preserve"> հզորություն, որն սպառվում է սնուցման անվանական լարման </w:t>
      </w:r>
      <w:r w:rsidR="00CA27E3">
        <w:rPr>
          <w:rFonts w:ascii="Sylfaen" w:hAnsi="Sylfaen"/>
          <w:sz w:val="24"/>
          <w:szCs w:val="24"/>
        </w:rPr>
        <w:t>եւ</w:t>
      </w:r>
      <w:r w:rsidR="00CA27E3" w:rsidRPr="00CA27E3">
        <w:rPr>
          <w:rFonts w:ascii="Sylfaen" w:hAnsi="Sylfaen"/>
          <w:sz w:val="24"/>
          <w:szCs w:val="24"/>
        </w:rPr>
        <w:t xml:space="preserve"> առավելագույն բեռնվածքի դեպքում.</w:t>
      </w:r>
    </w:p>
    <w:p w14:paraId="7C4DBB32" w14:textId="77777777" w:rsidR="00CA27E3" w:rsidRPr="00CA27E3" w:rsidRDefault="00CA27E3" w:rsidP="005C1B3A">
      <w:pPr>
        <w:pStyle w:val="a0"/>
        <w:shd w:val="clear" w:color="auto" w:fill="auto"/>
        <w:spacing w:after="160" w:line="350" w:lineRule="auto"/>
        <w:ind w:firstLine="567"/>
        <w:jc w:val="both"/>
        <w:rPr>
          <w:rFonts w:ascii="Sylfaen" w:hAnsi="Sylfaen" w:cs="Sylfaen"/>
          <w:sz w:val="24"/>
          <w:szCs w:val="24"/>
        </w:rPr>
      </w:pPr>
      <w:r w:rsidRPr="001C0F06">
        <w:rPr>
          <w:rFonts w:ascii="Sylfaen" w:hAnsi="Sylfaen"/>
          <w:b/>
          <w:sz w:val="24"/>
          <w:szCs w:val="24"/>
        </w:rPr>
        <w:t>գործ</w:t>
      </w:r>
      <w:r w:rsidR="001C0F06" w:rsidRPr="001C0F06">
        <w:rPr>
          <w:rFonts w:ascii="Sylfaen" w:hAnsi="Sylfaen"/>
          <w:b/>
          <w:sz w:val="24"/>
          <w:szCs w:val="24"/>
        </w:rPr>
        <w:t>արկումը կարգավորող ապարատ (ԳԿԱ)</w:t>
      </w:r>
      <w:r w:rsidRPr="001C0F06">
        <w:rPr>
          <w:rFonts w:ascii="Sylfaen" w:hAnsi="Sylfaen"/>
          <w:b/>
          <w:sz w:val="24"/>
          <w:szCs w:val="24"/>
        </w:rPr>
        <w:t>՝</w:t>
      </w:r>
      <w:r w:rsidRPr="00CA27E3">
        <w:rPr>
          <w:rFonts w:ascii="Sylfaen" w:hAnsi="Sylfaen"/>
          <w:sz w:val="24"/>
          <w:szCs w:val="24"/>
        </w:rPr>
        <w:t xml:space="preserve"> սարքվածք, որը միացվում է ցանցի </w:t>
      </w:r>
      <w:r>
        <w:rPr>
          <w:rFonts w:ascii="Sylfaen" w:hAnsi="Sylfaen"/>
          <w:sz w:val="24"/>
          <w:szCs w:val="24"/>
        </w:rPr>
        <w:t>եւ</w:t>
      </w:r>
      <w:r w:rsidRPr="00CA27E3">
        <w:rPr>
          <w:rFonts w:ascii="Sylfaen" w:hAnsi="Sylfaen"/>
          <w:sz w:val="24"/>
          <w:szCs w:val="24"/>
        </w:rPr>
        <w:t xml:space="preserve"> մեկ կամ մի քանի պարպումային լամպերի միջ</w:t>
      </w:r>
      <w:r>
        <w:rPr>
          <w:rFonts w:ascii="Sylfaen" w:hAnsi="Sylfaen"/>
          <w:sz w:val="24"/>
          <w:szCs w:val="24"/>
        </w:rPr>
        <w:t>եւ</w:t>
      </w:r>
      <w:r w:rsidRPr="00CA27E3">
        <w:rPr>
          <w:rFonts w:ascii="Sylfaen" w:hAnsi="Sylfaen"/>
          <w:sz w:val="24"/>
          <w:szCs w:val="24"/>
        </w:rPr>
        <w:t xml:space="preserve">, որը ինդուկտիվության, ունակության կամ դրանց համակցության միջոցով գլխավորապես ապահովում է լամպի հոսանքի սահմանափակումը պահանջվող արժեքի մակարդակով։ </w:t>
      </w:r>
      <w:r w:rsidRPr="00CA27E3">
        <w:rPr>
          <w:rFonts w:ascii="Sylfaen" w:hAnsi="Sylfaen"/>
          <w:sz w:val="24"/>
          <w:szCs w:val="24"/>
        </w:rPr>
        <w:lastRenderedPageBreak/>
        <w:t>Գործարկումը կարգավորող ապարատը (այսուհետ՝ ԳԿԱ) կարող է բաղկացած լինել մեկ կամ մի քանի բլոկներից։ ԳԿԱ-ն կարող է նա</w:t>
      </w:r>
      <w:r>
        <w:rPr>
          <w:rFonts w:ascii="Sylfaen" w:hAnsi="Sylfaen"/>
          <w:sz w:val="24"/>
          <w:szCs w:val="24"/>
        </w:rPr>
        <w:t>եւ</w:t>
      </w:r>
      <w:r w:rsidRPr="00CA27E3">
        <w:rPr>
          <w:rFonts w:ascii="Sylfaen" w:hAnsi="Sylfaen"/>
          <w:sz w:val="24"/>
          <w:szCs w:val="24"/>
        </w:rPr>
        <w:t xml:space="preserve"> պարունակել ցանցի լարումը կերպափոխելու համար միջոցներ </w:t>
      </w:r>
      <w:r>
        <w:rPr>
          <w:rFonts w:ascii="Sylfaen" w:hAnsi="Sylfaen"/>
          <w:sz w:val="24"/>
          <w:szCs w:val="24"/>
        </w:rPr>
        <w:t>եւ</w:t>
      </w:r>
      <w:r w:rsidRPr="00CA27E3">
        <w:rPr>
          <w:rFonts w:ascii="Sylfaen" w:hAnsi="Sylfaen"/>
          <w:sz w:val="24"/>
          <w:szCs w:val="24"/>
        </w:rPr>
        <w:t xml:space="preserve"> սարքվածքներ, որոնք օգնում են ապահովել լամպի վառքի համար լարումը, սառը վառքի կանխումը, ստրոբոսկոպային էֆեկտի նվազեցումը, հզորության գործակցի ճշգրտումը </w:t>
      </w:r>
      <w:r>
        <w:rPr>
          <w:rFonts w:ascii="Sylfaen" w:hAnsi="Sylfaen"/>
          <w:sz w:val="24"/>
          <w:szCs w:val="24"/>
        </w:rPr>
        <w:t>եւ</w:t>
      </w:r>
      <w:r w:rsidRPr="00CA27E3">
        <w:rPr>
          <w:rFonts w:ascii="Sylfaen" w:hAnsi="Sylfaen"/>
          <w:sz w:val="24"/>
          <w:szCs w:val="24"/>
        </w:rPr>
        <w:t xml:space="preserve"> (կամ) ցանցային ռադիոխանգարումների ճնշումը։ Գործարկումը կարգավորող ապարատը կարող է ներկառուցված լինել լամպի մեջ կամ դրանից առանձնացված.</w:t>
      </w:r>
    </w:p>
    <w:p w14:paraId="4D1377DB" w14:textId="77777777" w:rsidR="00CA27E3" w:rsidRPr="00CA27E3" w:rsidRDefault="001C0F06" w:rsidP="005C1B3A">
      <w:pPr>
        <w:pStyle w:val="a0"/>
        <w:shd w:val="clear" w:color="auto" w:fill="auto"/>
        <w:spacing w:after="160" w:line="350" w:lineRule="auto"/>
        <w:ind w:firstLine="567"/>
        <w:jc w:val="both"/>
        <w:rPr>
          <w:rFonts w:ascii="Sylfaen" w:hAnsi="Sylfaen" w:cs="Sylfaen"/>
          <w:sz w:val="24"/>
          <w:szCs w:val="24"/>
        </w:rPr>
      </w:pPr>
      <w:r w:rsidRPr="001C0F06">
        <w:rPr>
          <w:rFonts w:ascii="Sylfaen" w:hAnsi="Sylfaen"/>
          <w:b/>
          <w:sz w:val="24"/>
          <w:szCs w:val="24"/>
        </w:rPr>
        <w:t>հաշվարկային արժեք</w:t>
      </w:r>
      <w:r w:rsidR="00CA27E3" w:rsidRPr="00CA27E3">
        <w:rPr>
          <w:rFonts w:ascii="Sylfaen" w:hAnsi="Sylfaen"/>
          <w:sz w:val="24"/>
          <w:szCs w:val="24"/>
        </w:rPr>
        <w:t xml:space="preserve">՝ պարամետրի քանակական արժեքը աշխատանքային պայմաններում։ Արժեքները </w:t>
      </w:r>
      <w:r w:rsidR="00CA27E3">
        <w:rPr>
          <w:rFonts w:ascii="Sylfaen" w:hAnsi="Sylfaen"/>
          <w:sz w:val="24"/>
          <w:szCs w:val="24"/>
        </w:rPr>
        <w:t>եւ</w:t>
      </w:r>
      <w:r w:rsidR="00CA27E3" w:rsidRPr="00CA27E3">
        <w:rPr>
          <w:rFonts w:ascii="Sylfaen" w:hAnsi="Sylfaen"/>
          <w:sz w:val="24"/>
          <w:szCs w:val="24"/>
        </w:rPr>
        <w:t xml:space="preserve"> պայմանները բերվում են համապատասխան ստանդարտներում կամ հաղորդվում են արտադրողի (մատակարարի) կողմից։ Եթե այլ բան նշված չէ, ապա բոլոր պահանջներ արտահայտված են որպես հաշվարկային արժեքներ։ Հաշվարկային արժեքն ստացվում է հաշվարկային, այսինքն՝ ոչ փորձարարական եղանակով.</w:t>
      </w:r>
    </w:p>
    <w:p w14:paraId="7EE9EEC9" w14:textId="77777777" w:rsidR="00CA27E3" w:rsidRPr="00CA27E3" w:rsidRDefault="00CA27E3" w:rsidP="005C1B3A">
      <w:pPr>
        <w:pStyle w:val="a0"/>
        <w:shd w:val="clear" w:color="auto" w:fill="auto"/>
        <w:spacing w:after="160" w:line="350" w:lineRule="auto"/>
        <w:ind w:firstLine="567"/>
        <w:jc w:val="both"/>
        <w:rPr>
          <w:rFonts w:ascii="Sylfaen" w:hAnsi="Sylfaen" w:cs="Sylfaen"/>
          <w:sz w:val="24"/>
          <w:szCs w:val="24"/>
        </w:rPr>
      </w:pPr>
      <w:r w:rsidRPr="001C0F06">
        <w:rPr>
          <w:rFonts w:ascii="Sylfaen" w:hAnsi="Sylfaen"/>
          <w:b/>
          <w:sz w:val="24"/>
          <w:szCs w:val="24"/>
        </w:rPr>
        <w:t>լույ</w:t>
      </w:r>
      <w:r w:rsidR="001C0F06" w:rsidRPr="001C0F06">
        <w:rPr>
          <w:rFonts w:ascii="Sylfaen" w:hAnsi="Sylfaen"/>
          <w:b/>
          <w:sz w:val="24"/>
          <w:szCs w:val="24"/>
        </w:rPr>
        <w:t>սի աղբյուրի կարգավորող սարքվածք</w:t>
      </w:r>
      <w:r w:rsidRPr="001C0F06">
        <w:rPr>
          <w:rFonts w:ascii="Sylfaen" w:hAnsi="Sylfaen"/>
          <w:b/>
          <w:sz w:val="24"/>
          <w:szCs w:val="24"/>
        </w:rPr>
        <w:t>՝</w:t>
      </w:r>
      <w:r w:rsidRPr="00CA27E3">
        <w:rPr>
          <w:rFonts w:ascii="Sylfaen" w:hAnsi="Sylfaen"/>
          <w:sz w:val="24"/>
          <w:szCs w:val="24"/>
        </w:rPr>
        <w:t xml:space="preserve"> մեկ կամ մի քանի կառուցվածքային </w:t>
      </w:r>
      <w:r w:rsidRPr="001C0F06">
        <w:rPr>
          <w:rFonts w:ascii="Sylfaen" w:hAnsi="Sylfaen"/>
          <w:spacing w:val="-4"/>
          <w:sz w:val="24"/>
          <w:szCs w:val="24"/>
        </w:rPr>
        <w:t>տարր՝ սնուցման բլոկի եւ լույսի մեկ կամ մի քանի աղբյուրների միջեւ, որը կարող է ծառայել</w:t>
      </w:r>
      <w:r w:rsidRPr="00CA27E3">
        <w:rPr>
          <w:rFonts w:ascii="Sylfaen" w:hAnsi="Sylfaen"/>
          <w:sz w:val="24"/>
          <w:szCs w:val="24"/>
        </w:rPr>
        <w:t xml:space="preserve"> սնող լարումը կերպափոխելու, լամպի էլեկտրասնուցման՝ մինչ</w:t>
      </w:r>
      <w:r>
        <w:rPr>
          <w:rFonts w:ascii="Sylfaen" w:hAnsi="Sylfaen"/>
          <w:sz w:val="24"/>
          <w:szCs w:val="24"/>
        </w:rPr>
        <w:t>եւ</w:t>
      </w:r>
      <w:r w:rsidRPr="00CA27E3">
        <w:rPr>
          <w:rFonts w:ascii="Sylfaen" w:hAnsi="Sylfaen"/>
          <w:sz w:val="24"/>
          <w:szCs w:val="24"/>
        </w:rPr>
        <w:t xml:space="preserve"> պահանջվող արժեքը սահմանափակելու, նախնական տաքացման դեպքում վառքի </w:t>
      </w:r>
      <w:r>
        <w:rPr>
          <w:rFonts w:ascii="Sylfaen" w:hAnsi="Sylfaen"/>
          <w:sz w:val="24"/>
          <w:szCs w:val="24"/>
        </w:rPr>
        <w:t>եւ</w:t>
      </w:r>
      <w:r w:rsidRPr="00CA27E3">
        <w:rPr>
          <w:rFonts w:ascii="Sylfaen" w:hAnsi="Sylfaen"/>
          <w:sz w:val="24"/>
          <w:szCs w:val="24"/>
        </w:rPr>
        <w:t xml:space="preserve"> հոսանքի լարումը պատրաստի վիճակի հասցնելու, սառը գործարկումը կանխելու, հզորության գործակիցը ճշգրտելու կամ ռադիոխանգարումները նվազեցնելու համար։ Լույսի աղբյուրի կարգավորող սարքվածքներ են, օրինակ, գործարկումը կարգավորող ապարատները, կոնվերտորները </w:t>
      </w:r>
      <w:r>
        <w:rPr>
          <w:rFonts w:ascii="Sylfaen" w:hAnsi="Sylfaen"/>
          <w:sz w:val="24"/>
          <w:szCs w:val="24"/>
        </w:rPr>
        <w:t>եւ</w:t>
      </w:r>
      <w:r w:rsidRPr="00CA27E3">
        <w:rPr>
          <w:rFonts w:ascii="Sylfaen" w:hAnsi="Sylfaen"/>
          <w:sz w:val="24"/>
          <w:szCs w:val="24"/>
        </w:rPr>
        <w:t xml:space="preserve"> հալոգենային լամպերի համար տրանսֆորմատորները, ինչպես նա</w:t>
      </w:r>
      <w:r>
        <w:rPr>
          <w:rFonts w:ascii="Sylfaen" w:hAnsi="Sylfaen"/>
          <w:sz w:val="24"/>
          <w:szCs w:val="24"/>
        </w:rPr>
        <w:t>եւ</w:t>
      </w:r>
      <w:r w:rsidRPr="00CA27E3">
        <w:rPr>
          <w:rFonts w:ascii="Sylfaen" w:hAnsi="Sylfaen"/>
          <w:sz w:val="24"/>
          <w:szCs w:val="24"/>
        </w:rPr>
        <w:t xml:space="preserve"> լուսաճառագայթող դիոդների (LED) դրայվերները.</w:t>
      </w:r>
    </w:p>
    <w:p w14:paraId="6F7A9A3D" w14:textId="77777777" w:rsidR="00CA27E3" w:rsidRPr="00CA27E3" w:rsidRDefault="00CA27E3" w:rsidP="005C1B3A">
      <w:pPr>
        <w:pStyle w:val="a0"/>
        <w:shd w:val="clear" w:color="auto" w:fill="auto"/>
        <w:spacing w:after="160" w:line="350" w:lineRule="auto"/>
        <w:ind w:firstLine="567"/>
        <w:jc w:val="both"/>
        <w:rPr>
          <w:rFonts w:ascii="Sylfaen" w:hAnsi="Sylfaen" w:cs="Sylfaen"/>
          <w:sz w:val="24"/>
          <w:szCs w:val="24"/>
        </w:rPr>
      </w:pPr>
      <w:r w:rsidRPr="001C0F06">
        <w:rPr>
          <w:rFonts w:ascii="Sylfaen" w:hAnsi="Sylfaen"/>
          <w:b/>
          <w:sz w:val="24"/>
          <w:szCs w:val="24"/>
        </w:rPr>
        <w:t>կարգավորվող (դիմմերացվող)՝</w:t>
      </w:r>
      <w:r w:rsidRPr="00CA27E3">
        <w:rPr>
          <w:rFonts w:ascii="Sylfaen" w:hAnsi="Sylfaen"/>
          <w:sz w:val="24"/>
          <w:szCs w:val="24"/>
        </w:rPr>
        <w:t xml:space="preserve"> գործարկումը կարգավորող ապարատ»՝ գործարկումը կարգավորող ապարատ, որն ապահովում է լամպերի լուսային հոսքի կարգավորումը՝ անհրաժեշտ լուսավորվածությունն ստանալու համար.</w:t>
      </w:r>
    </w:p>
    <w:p w14:paraId="4D7C14D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բարձր ճնշման սնդիկային լամպ՝</w:t>
      </w:r>
      <w:r w:rsidRPr="00CA27E3">
        <w:rPr>
          <w:rFonts w:ascii="Sylfaen" w:hAnsi="Sylfaen"/>
          <w:sz w:val="24"/>
          <w:szCs w:val="24"/>
        </w:rPr>
        <w:t xml:space="preserve"> լամպ, որում սնդիկի գոլորշիների մասնական ճնշումը սահմանված ռեժիմում 3 × 10</w:t>
      </w:r>
      <w:r w:rsidRPr="00CA27E3">
        <w:rPr>
          <w:rFonts w:ascii="Sylfaen" w:hAnsi="Sylfaen"/>
          <w:sz w:val="24"/>
          <w:szCs w:val="24"/>
          <w:vertAlign w:val="superscript"/>
        </w:rPr>
        <w:t>4</w:t>
      </w:r>
      <w:r w:rsidRPr="00CA27E3">
        <w:rPr>
          <w:rFonts w:ascii="Sylfaen" w:hAnsi="Sylfaen"/>
          <w:sz w:val="24"/>
          <w:szCs w:val="24"/>
        </w:rPr>
        <w:t>-ից մինչ</w:t>
      </w:r>
      <w:r>
        <w:rPr>
          <w:rFonts w:ascii="Sylfaen" w:hAnsi="Sylfaen"/>
          <w:sz w:val="24"/>
          <w:szCs w:val="24"/>
        </w:rPr>
        <w:t>եւ</w:t>
      </w:r>
      <w:r w:rsidRPr="00CA27E3">
        <w:rPr>
          <w:rFonts w:ascii="Sylfaen" w:hAnsi="Sylfaen"/>
          <w:sz w:val="24"/>
          <w:szCs w:val="24"/>
        </w:rPr>
        <w:t xml:space="preserve"> 10</w:t>
      </w:r>
      <w:r w:rsidRPr="00CA27E3">
        <w:rPr>
          <w:rFonts w:ascii="Sylfaen" w:hAnsi="Sylfaen"/>
          <w:sz w:val="24"/>
          <w:szCs w:val="24"/>
          <w:vertAlign w:val="superscript"/>
        </w:rPr>
        <w:t>6</w:t>
      </w:r>
      <w:r w:rsidRPr="00CA27E3">
        <w:rPr>
          <w:rFonts w:ascii="Sylfaen" w:hAnsi="Sylfaen"/>
          <w:sz w:val="24"/>
          <w:szCs w:val="24"/>
        </w:rPr>
        <w:t xml:space="preserve"> Պա է (225-ից մինչ</w:t>
      </w:r>
      <w:r>
        <w:rPr>
          <w:rFonts w:ascii="Sylfaen" w:hAnsi="Sylfaen"/>
          <w:sz w:val="24"/>
          <w:szCs w:val="24"/>
        </w:rPr>
        <w:t>եւ</w:t>
      </w:r>
      <w:r w:rsidRPr="00CA27E3">
        <w:rPr>
          <w:rFonts w:ascii="Sylfaen" w:hAnsi="Sylfaen"/>
          <w:sz w:val="24"/>
          <w:szCs w:val="24"/>
        </w:rPr>
        <w:t xml:space="preserve"> 7500 մմ ս.ս.).</w:t>
      </w:r>
    </w:p>
    <w:p w14:paraId="2C39421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lastRenderedPageBreak/>
        <w:t>լուսատու՝</w:t>
      </w:r>
      <w:r w:rsidRPr="00CA27E3">
        <w:rPr>
          <w:rFonts w:ascii="Sylfaen" w:hAnsi="Sylfaen"/>
          <w:sz w:val="24"/>
          <w:szCs w:val="24"/>
        </w:rPr>
        <w:t xml:space="preserve"> սարքվածք, որը բաշխում, զտում կամ կերպափոխում է մեկ կամ մի քանի լամպերով ճառագայթող լույսը, </w:t>
      </w:r>
      <w:r>
        <w:rPr>
          <w:rFonts w:ascii="Sylfaen" w:hAnsi="Sylfaen"/>
          <w:sz w:val="24"/>
          <w:szCs w:val="24"/>
        </w:rPr>
        <w:t>եւ</w:t>
      </w:r>
      <w:r w:rsidRPr="00CA27E3">
        <w:rPr>
          <w:rFonts w:ascii="Sylfaen" w:hAnsi="Sylfaen"/>
          <w:sz w:val="24"/>
          <w:szCs w:val="24"/>
        </w:rPr>
        <w:t xml:space="preserve"> որն իր մեջ ներառում է լամպի պահման, ֆիքսման </w:t>
      </w:r>
      <w:r>
        <w:rPr>
          <w:rFonts w:ascii="Sylfaen" w:hAnsi="Sylfaen"/>
          <w:sz w:val="24"/>
          <w:szCs w:val="24"/>
        </w:rPr>
        <w:t>եւ</w:t>
      </w:r>
      <w:r w:rsidRPr="00CA27E3">
        <w:rPr>
          <w:rFonts w:ascii="Sylfaen" w:hAnsi="Sylfaen"/>
          <w:sz w:val="24"/>
          <w:szCs w:val="24"/>
        </w:rPr>
        <w:t xml:space="preserve"> պաշտպանության համար անհրաժեշտ բոլոր մասերը </w:t>
      </w:r>
      <w:r>
        <w:rPr>
          <w:rFonts w:ascii="Sylfaen" w:hAnsi="Sylfaen"/>
          <w:sz w:val="24"/>
          <w:szCs w:val="24"/>
        </w:rPr>
        <w:t>եւ</w:t>
      </w:r>
      <w:r w:rsidRPr="00CA27E3">
        <w:rPr>
          <w:rFonts w:ascii="Sylfaen" w:hAnsi="Sylfaen"/>
          <w:sz w:val="24"/>
          <w:szCs w:val="24"/>
        </w:rPr>
        <w:t>, անհրաժեշտության դեպքում, օժանդակ սխեմաները՝ էլեկտրասնուցումը միացնելու համար միջոցների հետ միասին.</w:t>
      </w:r>
    </w:p>
    <w:p w14:paraId="2BAA5EF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լուսատացք (η</w:t>
      </w:r>
      <w:r w:rsidRPr="005C1B3A">
        <w:rPr>
          <w:rFonts w:ascii="Sylfaen" w:hAnsi="Sylfaen"/>
          <w:b/>
          <w:sz w:val="24"/>
          <w:szCs w:val="24"/>
          <w:vertAlign w:val="subscript"/>
        </w:rPr>
        <w:t>լմ</w:t>
      </w:r>
      <w:r w:rsidRPr="005C1B3A">
        <w:rPr>
          <w:rFonts w:ascii="Sylfaen" w:hAnsi="Sylfaen"/>
          <w:b/>
          <w:sz w:val="24"/>
          <w:szCs w:val="24"/>
        </w:rPr>
        <w:t>)՝</w:t>
      </w:r>
      <w:r w:rsidRPr="00CA27E3">
        <w:rPr>
          <w:rFonts w:ascii="Sylfaen" w:hAnsi="Sylfaen"/>
          <w:sz w:val="24"/>
          <w:szCs w:val="24"/>
        </w:rPr>
        <w:t xml:space="preserve"> լույսի աղբյուրից ճառագայթվող հոսքի հարաբերություն՝ դրանով սպառվող հզորության նկատմամբ. չափվում է լյումեն/Վատտով (լմ/Վտ)։ Լույսի աղբյուրների արդյունավետության </w:t>
      </w:r>
      <w:r>
        <w:rPr>
          <w:rFonts w:ascii="Sylfaen" w:hAnsi="Sylfaen"/>
          <w:sz w:val="24"/>
          <w:szCs w:val="24"/>
        </w:rPr>
        <w:t>եւ</w:t>
      </w:r>
      <w:r w:rsidRPr="00CA27E3">
        <w:rPr>
          <w:rFonts w:ascii="Sylfaen" w:hAnsi="Sylfaen"/>
          <w:sz w:val="24"/>
          <w:szCs w:val="24"/>
        </w:rPr>
        <w:t xml:space="preserve"> խնայողության ցուցանիշ է։</w:t>
      </w:r>
    </w:p>
    <w:p w14:paraId="4209794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007D7873"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η = Φ / P,</w:t>
      </w:r>
    </w:p>
    <w:p w14:paraId="68829257" w14:textId="77777777" w:rsidR="005C1B3A" w:rsidRPr="003D2C38" w:rsidRDefault="005C1B3A" w:rsidP="00CA27E3">
      <w:pPr>
        <w:pStyle w:val="a0"/>
        <w:shd w:val="clear" w:color="auto" w:fill="auto"/>
        <w:spacing w:after="160"/>
        <w:ind w:firstLine="567"/>
        <w:jc w:val="both"/>
        <w:rPr>
          <w:rFonts w:ascii="Sylfaen" w:hAnsi="Sylfaen"/>
          <w:sz w:val="24"/>
          <w:szCs w:val="24"/>
        </w:rPr>
      </w:pPr>
    </w:p>
    <w:p w14:paraId="7435072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315FFF3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Φ-ն՝ լույսի աղբյուրից ճառագայթվող լուսային հոսքն է,</w:t>
      </w:r>
    </w:p>
    <w:p w14:paraId="4ACDD23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Р-ն՝ դրանով սպառվող հզորությունն է։</w:t>
      </w:r>
    </w:p>
    <w:p w14:paraId="55076D6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Լրացուցիչ սարքվածքները, ինչպիսիք են գործարկումը կարգավորող ապարատները (ԳԿԱ), տրանսֆորմատորները </w:t>
      </w:r>
      <w:r>
        <w:rPr>
          <w:rFonts w:ascii="Sylfaen" w:hAnsi="Sylfaen"/>
          <w:sz w:val="24"/>
          <w:szCs w:val="24"/>
        </w:rPr>
        <w:t>եւ</w:t>
      </w:r>
      <w:r w:rsidRPr="00CA27E3">
        <w:rPr>
          <w:rFonts w:ascii="Sylfaen" w:hAnsi="Sylfaen"/>
          <w:sz w:val="24"/>
          <w:szCs w:val="24"/>
        </w:rPr>
        <w:t xml:space="preserve"> սնուցման բլոկները, լամպի սպառվող հզորության (Р) մեջ հաշվի չեն առնվում.</w:t>
      </w:r>
    </w:p>
    <w:p w14:paraId="18FC592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լուսային աղտոտում՝</w:t>
      </w:r>
      <w:r w:rsidRPr="00CA27E3">
        <w:rPr>
          <w:rFonts w:ascii="Sylfaen" w:hAnsi="Sylfaen"/>
          <w:sz w:val="24"/>
          <w:szCs w:val="24"/>
        </w:rPr>
        <w:t xml:space="preserve"> շրջակա միջավայրի վրա արհեստական լույսի բոլոր բացասական ազդեցությունների գումար՝ ներառյալ ավելցուկային լույսի ազդեցությունը.</w:t>
      </w:r>
    </w:p>
    <w:p w14:paraId="23F47C5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լուսային հոսք (Ф)՝</w:t>
      </w:r>
      <w:r w:rsidRPr="00CA27E3">
        <w:rPr>
          <w:rFonts w:ascii="Sylfaen" w:hAnsi="Sylfaen"/>
          <w:sz w:val="24"/>
          <w:szCs w:val="24"/>
        </w:rPr>
        <w:t xml:space="preserve"> տեսանելի ճառագայթման էներգիա, որը փոխանցվում է ճառագայթման հոսքով միավոր ժամանակում.</w:t>
      </w:r>
    </w:p>
    <w:p w14:paraId="7551F8C7" w14:textId="77777777" w:rsidR="005C1B3A" w:rsidRDefault="005C1B3A" w:rsidP="00CA27E3">
      <w:pPr>
        <w:pStyle w:val="a0"/>
        <w:shd w:val="clear" w:color="auto" w:fill="auto"/>
        <w:spacing w:after="160"/>
        <w:ind w:firstLine="567"/>
        <w:jc w:val="both"/>
        <w:rPr>
          <w:rFonts w:ascii="Sylfaen" w:hAnsi="Sylfaen"/>
          <w:sz w:val="24"/>
          <w:szCs w:val="24"/>
        </w:rPr>
      </w:pPr>
      <w:r w:rsidRPr="005C1B3A">
        <w:rPr>
          <w:rFonts w:ascii="Sylfaen" w:hAnsi="Sylfaen"/>
          <w:b/>
          <w:sz w:val="24"/>
          <w:szCs w:val="24"/>
        </w:rPr>
        <w:t>լուսակարգավորիչ</w:t>
      </w:r>
      <w:r w:rsidR="00CA27E3" w:rsidRPr="005C1B3A">
        <w:rPr>
          <w:rFonts w:ascii="Sylfaen" w:hAnsi="Sylfaen"/>
          <w:b/>
          <w:sz w:val="24"/>
          <w:szCs w:val="24"/>
        </w:rPr>
        <w:t>՝</w:t>
      </w:r>
      <w:r w:rsidR="00CA27E3" w:rsidRPr="00CA27E3">
        <w:rPr>
          <w:rFonts w:ascii="Sylfaen" w:hAnsi="Sylfaen"/>
          <w:sz w:val="24"/>
          <w:szCs w:val="24"/>
        </w:rPr>
        <w:t xml:space="preserve"> լամպերի լուսարձակման պայծառությունը կարգավորելու համար նախատեսված սարքվածք.</w:t>
      </w:r>
    </w:p>
    <w:p w14:paraId="64C1E3D3" w14:textId="77777777" w:rsidR="005C1B3A" w:rsidRDefault="005C1B3A">
      <w:pPr>
        <w:rPr>
          <w:rFonts w:ascii="Sylfaen" w:eastAsia="Times New Roman" w:hAnsi="Sylfaen" w:cs="Times New Roman"/>
          <w:color w:val="auto"/>
        </w:rPr>
      </w:pPr>
      <w:r>
        <w:rPr>
          <w:rFonts w:ascii="Sylfaen" w:hAnsi="Sylfaen"/>
        </w:rPr>
        <w:br w:type="page"/>
      </w:r>
    </w:p>
    <w:p w14:paraId="7D4E077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lastRenderedPageBreak/>
        <w:t>գործարկումը կարգավո</w:t>
      </w:r>
      <w:r w:rsidR="005C1B3A" w:rsidRPr="005C1B3A">
        <w:rPr>
          <w:rFonts w:ascii="Sylfaen" w:hAnsi="Sylfaen"/>
          <w:b/>
          <w:sz w:val="24"/>
          <w:szCs w:val="24"/>
        </w:rPr>
        <w:t>րող ապարատի համադրված ՕԳԳ (EBb)</w:t>
      </w:r>
      <w:r w:rsidRPr="005C1B3A">
        <w:rPr>
          <w:rFonts w:ascii="Sylfaen" w:hAnsi="Sylfaen"/>
          <w:b/>
          <w:sz w:val="24"/>
          <w:szCs w:val="24"/>
        </w:rPr>
        <w:t>`</w:t>
      </w:r>
      <w:r w:rsidRPr="00CA27E3">
        <w:rPr>
          <w:rFonts w:ascii="Sylfaen" w:hAnsi="Sylfaen"/>
          <w:sz w:val="24"/>
          <w:szCs w:val="24"/>
        </w:rPr>
        <w:t xml:space="preserve"> լամպի հաշվարկային հզորության (P</w:t>
      </w:r>
      <w:r w:rsidRPr="00CA27E3">
        <w:rPr>
          <w:rFonts w:ascii="Sylfaen" w:hAnsi="Sylfaen"/>
          <w:sz w:val="24"/>
          <w:szCs w:val="24"/>
          <w:vertAlign w:val="subscript"/>
        </w:rPr>
        <w:t>jl</w:t>
      </w:r>
      <w:r w:rsidRPr="00CA27E3">
        <w:rPr>
          <w:rFonts w:ascii="Sylfaen" w:hAnsi="Sylfaen"/>
          <w:sz w:val="24"/>
          <w:szCs w:val="24"/>
        </w:rPr>
        <w:t xml:space="preserve">) հարաբերություն գործարկումը կարգավորող ապարատի ՕԳԳ-ի նկատմամբ։ Գործարկումը կարգավորող ապարատի համադրված ՕԳԳ-ն գործարկումը կարգավորող ապարատով մեկ </w:t>
      </w:r>
      <w:r>
        <w:rPr>
          <w:rFonts w:ascii="Sylfaen" w:hAnsi="Sylfaen"/>
          <w:sz w:val="24"/>
          <w:szCs w:val="24"/>
        </w:rPr>
        <w:t>եւ</w:t>
      </w:r>
      <w:r w:rsidRPr="00CA27E3">
        <w:rPr>
          <w:rFonts w:ascii="Sylfaen" w:hAnsi="Sylfaen"/>
          <w:sz w:val="24"/>
          <w:szCs w:val="24"/>
        </w:rPr>
        <w:t xml:space="preserve"> երկու լամպակոթով լյումինեսցենտային լամպերի համար հաշվարկվում է ըստ հետ</w:t>
      </w:r>
      <w:r>
        <w:rPr>
          <w:rFonts w:ascii="Sylfaen" w:hAnsi="Sylfaen"/>
          <w:sz w:val="24"/>
          <w:szCs w:val="24"/>
        </w:rPr>
        <w:t>եւ</w:t>
      </w:r>
      <w:r w:rsidRPr="00CA27E3">
        <w:rPr>
          <w:rFonts w:ascii="Sylfaen" w:hAnsi="Sylfaen"/>
          <w:sz w:val="24"/>
          <w:szCs w:val="24"/>
        </w:rPr>
        <w:t>յալ սխեմայի՝</w:t>
      </w:r>
    </w:p>
    <w:p w14:paraId="35815D10" w14:textId="77777777" w:rsidR="00CA27E3" w:rsidRPr="00CA27E3" w:rsidRDefault="00CA27E3" w:rsidP="00CA27E3">
      <w:pPr>
        <w:pStyle w:val="40"/>
        <w:shd w:val="clear" w:color="auto" w:fill="auto"/>
        <w:spacing w:after="160" w:line="360" w:lineRule="auto"/>
        <w:rPr>
          <w:rFonts w:ascii="Sylfaen" w:hAnsi="Sylfaen" w:cs="Sylfaen"/>
          <w:sz w:val="24"/>
          <w:szCs w:val="24"/>
        </w:rPr>
      </w:pPr>
      <w:r w:rsidRPr="00CA27E3">
        <w:rPr>
          <w:rStyle w:val="a"/>
          <w:rFonts w:ascii="Sylfaen" w:hAnsi="Sylfaen"/>
          <w:sz w:val="24"/>
          <w:szCs w:val="24"/>
        </w:rPr>
        <w:t>η</w:t>
      </w:r>
      <w:r w:rsidRPr="00CA27E3">
        <w:rPr>
          <w:rFonts w:ascii="Sylfaen" w:hAnsi="Sylfaen"/>
          <w:sz w:val="24"/>
          <w:szCs w:val="24"/>
          <w:vertAlign w:val="subscript"/>
        </w:rPr>
        <w:t>ԳԿԱ</w:t>
      </w:r>
      <w:r w:rsidRPr="00CA27E3">
        <w:rPr>
          <w:rFonts w:ascii="Sylfaen" w:hAnsi="Sylfaen"/>
          <w:sz w:val="24"/>
          <w:szCs w:val="24"/>
        </w:rPr>
        <w:t xml:space="preserve"> ≥ EB</w:t>
      </w:r>
      <w:r w:rsidRPr="00CA27E3">
        <w:rPr>
          <w:rStyle w:val="a"/>
          <w:rFonts w:ascii="Sylfaen" w:hAnsi="Sylfaen"/>
          <w:sz w:val="24"/>
          <w:szCs w:val="24"/>
        </w:rPr>
        <w:t>b</w:t>
      </w:r>
      <w:r w:rsidRPr="00CA27E3">
        <w:rPr>
          <w:rFonts w:ascii="Sylfaen" w:hAnsi="Sylfaen"/>
          <w:smallCaps/>
          <w:sz w:val="24"/>
          <w:szCs w:val="24"/>
          <w:vertAlign w:val="subscript"/>
        </w:rPr>
        <w:t>Fl</w:t>
      </w:r>
      <w:r w:rsidRPr="00CA27E3">
        <w:rPr>
          <w:rFonts w:ascii="Sylfaen" w:hAnsi="Sylfaen"/>
          <w:sz w:val="24"/>
          <w:szCs w:val="24"/>
        </w:rPr>
        <w:t>.</w:t>
      </w:r>
    </w:p>
    <w:p w14:paraId="3EDBF9F7" w14:textId="77777777" w:rsidR="00CA27E3" w:rsidRPr="00CA27E3" w:rsidRDefault="00CA27E3" w:rsidP="00CA27E3">
      <w:pPr>
        <w:spacing w:after="160" w:line="360" w:lineRule="auto"/>
        <w:rPr>
          <w:rFonts w:ascii="Sylfaen" w:hAnsi="Sylfaen" w:cs="Sylfaen"/>
        </w:rPr>
      </w:pPr>
    </w:p>
    <w:p w14:paraId="181159B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P</w:t>
      </w:r>
      <w:r w:rsidRPr="00CA27E3">
        <w:rPr>
          <w:rFonts w:ascii="Sylfaen" w:hAnsi="Sylfaen"/>
          <w:sz w:val="24"/>
          <w:szCs w:val="24"/>
          <w:vertAlign w:val="subscript"/>
        </w:rPr>
        <w:t>լ</w:t>
      </w:r>
      <w:r w:rsidRPr="00CA27E3">
        <w:rPr>
          <w:rFonts w:ascii="Sylfaen" w:hAnsi="Sylfaen"/>
          <w:sz w:val="24"/>
          <w:szCs w:val="24"/>
        </w:rPr>
        <w:t xml:space="preserve"> ≤ 5 Վտ, ապա Ebb</w:t>
      </w:r>
      <w:r w:rsidRPr="00CA27E3">
        <w:rPr>
          <w:rFonts w:ascii="Sylfaen" w:hAnsi="Sylfaen"/>
          <w:sz w:val="24"/>
          <w:szCs w:val="24"/>
          <w:vertAlign w:val="subscript"/>
        </w:rPr>
        <w:t>FL</w:t>
      </w:r>
      <w:r w:rsidRPr="00CA27E3">
        <w:rPr>
          <w:rFonts w:ascii="Sylfaen" w:hAnsi="Sylfaen"/>
          <w:sz w:val="24"/>
          <w:szCs w:val="24"/>
        </w:rPr>
        <w:t xml:space="preserve"> արժեքը = 0,71։</w:t>
      </w:r>
    </w:p>
    <w:p w14:paraId="6CAA906C" w14:textId="77777777" w:rsidR="00CA27E3" w:rsidRPr="005C1B3A" w:rsidRDefault="00CA27E3" w:rsidP="00CA27E3">
      <w:pPr>
        <w:pStyle w:val="a0"/>
        <w:shd w:val="clear" w:color="auto" w:fill="auto"/>
        <w:spacing w:after="160"/>
        <w:ind w:firstLine="567"/>
        <w:jc w:val="both"/>
        <w:rPr>
          <w:rFonts w:ascii="Sylfaen" w:hAnsi="Sylfaen" w:cs="Sylfaen"/>
          <w:spacing w:val="-6"/>
          <w:sz w:val="24"/>
          <w:szCs w:val="24"/>
        </w:rPr>
      </w:pPr>
      <w:r w:rsidRPr="005C1B3A">
        <w:rPr>
          <w:rFonts w:ascii="Sylfaen" w:hAnsi="Sylfaen"/>
          <w:spacing w:val="-6"/>
          <w:sz w:val="24"/>
          <w:szCs w:val="24"/>
        </w:rPr>
        <w:t>Եթե 5 Վտ &lt; Р</w:t>
      </w:r>
      <w:r w:rsidRPr="005C1B3A">
        <w:rPr>
          <w:rFonts w:ascii="Sylfaen" w:hAnsi="Sylfaen"/>
          <w:spacing w:val="-6"/>
          <w:sz w:val="24"/>
          <w:szCs w:val="24"/>
          <w:vertAlign w:val="subscript"/>
        </w:rPr>
        <w:t>լ</w:t>
      </w:r>
      <w:r w:rsidRPr="005C1B3A">
        <w:rPr>
          <w:rFonts w:ascii="Sylfaen" w:hAnsi="Sylfaen"/>
          <w:spacing w:val="-6"/>
          <w:sz w:val="24"/>
          <w:szCs w:val="24"/>
        </w:rPr>
        <w:t xml:space="preserve"> &lt; 100 Վտ, ապա EBb</w:t>
      </w:r>
      <w:r w:rsidRPr="005C1B3A">
        <w:rPr>
          <w:rFonts w:ascii="Sylfaen" w:hAnsi="Sylfaen"/>
          <w:spacing w:val="-6"/>
          <w:sz w:val="24"/>
          <w:szCs w:val="24"/>
          <w:vertAlign w:val="subscript"/>
        </w:rPr>
        <w:t>FL</w:t>
      </w:r>
      <w:r w:rsidRPr="005C1B3A">
        <w:rPr>
          <w:rFonts w:ascii="Sylfaen" w:hAnsi="Sylfaen"/>
          <w:spacing w:val="-6"/>
          <w:sz w:val="24"/>
          <w:szCs w:val="24"/>
        </w:rPr>
        <w:t xml:space="preserve"> արժեքը = Р</w:t>
      </w:r>
      <w:r w:rsidRPr="005C1B3A">
        <w:rPr>
          <w:rFonts w:ascii="Sylfaen" w:hAnsi="Sylfaen"/>
          <w:spacing w:val="-6"/>
          <w:sz w:val="24"/>
          <w:szCs w:val="24"/>
          <w:vertAlign w:val="subscript"/>
        </w:rPr>
        <w:t>լ</w:t>
      </w:r>
      <w:r w:rsidRPr="005C1B3A">
        <w:rPr>
          <w:rFonts w:ascii="Sylfaen" w:hAnsi="Sylfaen"/>
          <w:spacing w:val="-6"/>
          <w:sz w:val="24"/>
          <w:szCs w:val="24"/>
        </w:rPr>
        <w:t xml:space="preserve"> / (2sqrt × (Р</w:t>
      </w:r>
      <w:r w:rsidRPr="005C1B3A">
        <w:rPr>
          <w:rFonts w:ascii="Sylfaen" w:hAnsi="Sylfaen"/>
          <w:spacing w:val="-6"/>
          <w:sz w:val="24"/>
          <w:szCs w:val="24"/>
          <w:vertAlign w:val="subscript"/>
        </w:rPr>
        <w:t>լ</w:t>
      </w:r>
      <w:r w:rsidRPr="005C1B3A">
        <w:rPr>
          <w:rFonts w:ascii="Sylfaen" w:hAnsi="Sylfaen"/>
          <w:spacing w:val="-6"/>
          <w:sz w:val="24"/>
          <w:szCs w:val="24"/>
        </w:rPr>
        <w:t xml:space="preserve"> / 36) + 38 / 36 × Р</w:t>
      </w:r>
      <w:r w:rsidRPr="005C1B3A">
        <w:rPr>
          <w:rFonts w:ascii="Sylfaen" w:hAnsi="Sylfaen"/>
          <w:spacing w:val="-6"/>
          <w:sz w:val="24"/>
          <w:szCs w:val="24"/>
          <w:vertAlign w:val="subscript"/>
        </w:rPr>
        <w:t>լ</w:t>
      </w:r>
      <w:r w:rsidRPr="005C1B3A">
        <w:rPr>
          <w:rFonts w:ascii="Sylfaen" w:hAnsi="Sylfaen"/>
          <w:spacing w:val="-6"/>
          <w:sz w:val="24"/>
          <w:szCs w:val="24"/>
        </w:rPr>
        <w:t xml:space="preserve"> +1)։</w:t>
      </w:r>
    </w:p>
    <w:p w14:paraId="6673771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Р</w:t>
      </w:r>
      <w:r w:rsidRPr="00CA27E3">
        <w:rPr>
          <w:rFonts w:ascii="Sylfaen" w:hAnsi="Sylfaen"/>
          <w:sz w:val="24"/>
          <w:szCs w:val="24"/>
          <w:vertAlign w:val="subscript"/>
        </w:rPr>
        <w:t>լ</w:t>
      </w:r>
      <w:r w:rsidRPr="00CA27E3">
        <w:rPr>
          <w:rFonts w:ascii="Sylfaen" w:hAnsi="Sylfaen"/>
          <w:sz w:val="24"/>
          <w:szCs w:val="24"/>
        </w:rPr>
        <w:t xml:space="preserve"> ≥ 100 Վտ, ապա EBb</w:t>
      </w:r>
      <w:r w:rsidRPr="00CA27E3">
        <w:rPr>
          <w:rFonts w:ascii="Sylfaen" w:hAnsi="Sylfaen"/>
          <w:sz w:val="24"/>
          <w:szCs w:val="24"/>
          <w:vertAlign w:val="subscript"/>
        </w:rPr>
        <w:t>FL</w:t>
      </w:r>
      <w:r w:rsidRPr="00CA27E3">
        <w:rPr>
          <w:rFonts w:ascii="Sylfaen" w:hAnsi="Sylfaen"/>
          <w:sz w:val="24"/>
          <w:szCs w:val="24"/>
        </w:rPr>
        <w:t xml:space="preserve"> արժեքը = 0,91.</w:t>
      </w:r>
    </w:p>
    <w:p w14:paraId="76ADABB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 xml:space="preserve">լամպի ծառայության </w:t>
      </w:r>
      <w:r w:rsidR="005C1B3A" w:rsidRPr="005C1B3A">
        <w:rPr>
          <w:rFonts w:ascii="Sylfaen" w:hAnsi="Sylfaen"/>
          <w:b/>
          <w:sz w:val="24"/>
          <w:szCs w:val="24"/>
        </w:rPr>
        <w:t>ժամկետ</w:t>
      </w:r>
      <w:r w:rsidRPr="005C1B3A">
        <w:rPr>
          <w:rFonts w:ascii="Sylfaen" w:hAnsi="Sylfaen"/>
          <w:b/>
          <w:sz w:val="24"/>
          <w:szCs w:val="24"/>
        </w:rPr>
        <w:t>՝</w:t>
      </w:r>
      <w:r w:rsidRPr="00CA27E3">
        <w:rPr>
          <w:rFonts w:ascii="Sylfaen" w:hAnsi="Sylfaen"/>
          <w:sz w:val="24"/>
          <w:szCs w:val="24"/>
        </w:rPr>
        <w:t xml:space="preserve"> շահագործման ժամանակ, որից հետո որոշակի պայմաններում </w:t>
      </w:r>
      <w:r>
        <w:rPr>
          <w:rFonts w:ascii="Sylfaen" w:hAnsi="Sylfaen"/>
          <w:sz w:val="24"/>
          <w:szCs w:val="24"/>
        </w:rPr>
        <w:t>եւ</w:t>
      </w:r>
      <w:r w:rsidRPr="00CA27E3">
        <w:rPr>
          <w:rFonts w:ascii="Sylfaen" w:hAnsi="Sylfaen"/>
          <w:sz w:val="24"/>
          <w:szCs w:val="24"/>
        </w:rPr>
        <w:t xml:space="preserve"> միացումների (փոխարկումների) որոշակի հաճախականության դեպքում լամպերի ընդհանուր քանակի մեջ աշխատող լամպերի բաժինը համապատասխանում է լամպի ծառայության ժամկետի գործակցին.</w:t>
      </w:r>
    </w:p>
    <w:p w14:paraId="7FA161F2" w14:textId="77777777" w:rsidR="00CA27E3" w:rsidRPr="00CA27E3" w:rsidRDefault="005C1B3A"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գունավորություն</w:t>
      </w:r>
      <w:r w:rsidR="00CA27E3" w:rsidRPr="005C1B3A">
        <w:rPr>
          <w:rFonts w:ascii="Sylfaen" w:hAnsi="Sylfaen"/>
          <w:b/>
          <w:sz w:val="24"/>
          <w:szCs w:val="24"/>
        </w:rPr>
        <w:t>՝</w:t>
      </w:r>
      <w:r w:rsidR="00CA27E3" w:rsidRPr="00CA27E3">
        <w:rPr>
          <w:rFonts w:ascii="Sylfaen" w:hAnsi="Sylfaen"/>
          <w:sz w:val="24"/>
          <w:szCs w:val="24"/>
        </w:rPr>
        <w:t xml:space="preserve"> լամպի գույնի որակի բնութագիր, որը որոշվում է դրա գունավորության կոորդինատներով.</w:t>
      </w:r>
    </w:p>
    <w:p w14:paraId="6D37726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U</w:t>
      </w:r>
      <w:r w:rsidR="005C1B3A" w:rsidRPr="005C1B3A">
        <w:rPr>
          <w:rFonts w:ascii="Sylfaen" w:hAnsi="Sylfaen"/>
          <w:b/>
          <w:sz w:val="24"/>
          <w:szCs w:val="24"/>
        </w:rPr>
        <w:t>V-ճառագայթման արդունավետություն</w:t>
      </w:r>
      <w:r w:rsidRPr="005C1B3A">
        <w:rPr>
          <w:rFonts w:ascii="Sylfaen" w:hAnsi="Sylfaen"/>
          <w:b/>
          <w:sz w:val="24"/>
          <w:szCs w:val="24"/>
        </w:rPr>
        <w:t>՝</w:t>
      </w:r>
      <w:r w:rsidRPr="00CA27E3">
        <w:rPr>
          <w:rFonts w:ascii="Sylfaen" w:hAnsi="Sylfaen"/>
          <w:sz w:val="24"/>
          <w:szCs w:val="24"/>
        </w:rPr>
        <w:t xml:space="preserve"> լամպի UV-ճառագայթման արդյունավետ ուժ՝ դրա լուսային հոսքի նկատմամբ (մՎտ/կլմ-ով).</w:t>
      </w:r>
    </w:p>
    <w:p w14:paraId="032DC6FF" w14:textId="77777777" w:rsidR="00CA27E3" w:rsidRPr="00CA27E3" w:rsidRDefault="00CA27E3" w:rsidP="005C1B3A">
      <w:pPr>
        <w:pStyle w:val="a0"/>
        <w:shd w:val="clear" w:color="auto" w:fill="auto"/>
        <w:spacing w:after="160"/>
        <w:ind w:firstLine="567"/>
        <w:jc w:val="both"/>
        <w:rPr>
          <w:rFonts w:ascii="Sylfaen" w:hAnsi="Sylfaen" w:cs="Sylfaen"/>
          <w:sz w:val="24"/>
          <w:szCs w:val="24"/>
        </w:rPr>
      </w:pPr>
      <w:r w:rsidRPr="005C1B3A">
        <w:rPr>
          <w:rFonts w:ascii="Sylfaen" w:hAnsi="Sylfaen"/>
          <w:b/>
          <w:sz w:val="24"/>
          <w:szCs w:val="24"/>
        </w:rPr>
        <w:t>էլեկտրոնային կամ բարձրահաճախական</w:t>
      </w:r>
      <w:r w:rsidRPr="00CA27E3">
        <w:rPr>
          <w:rFonts w:ascii="Sylfaen" w:hAnsi="Sylfaen"/>
          <w:sz w:val="24"/>
          <w:szCs w:val="24"/>
        </w:rPr>
        <w:t>՝ գործարկումը կարգավորող ապարատ»՝ էլեկտրական ցանցից աշխատող փոփոխական հոսանքի սնուցման բլոկ՝ ներառյալ միացման կայունացնող տարրերը՝ սովորաբար բարձրահաճախական մեկ կամ մի քանի խողովակավոր լյումինեսցենտային լամպերի աշխատանքի համար։</w:t>
      </w:r>
    </w:p>
    <w:p w14:paraId="0E37E0CF"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10B81336" w14:textId="77777777" w:rsidR="00CA27E3" w:rsidRPr="003D2C38" w:rsidRDefault="00CA27E3" w:rsidP="005C1B3A">
      <w:pPr>
        <w:pStyle w:val="a0"/>
        <w:shd w:val="clear" w:color="auto" w:fill="auto"/>
        <w:spacing w:after="160"/>
        <w:ind w:right="566" w:firstLine="0"/>
        <w:jc w:val="center"/>
        <w:rPr>
          <w:rFonts w:ascii="Sylfaen" w:hAnsi="Sylfaen"/>
          <w:sz w:val="24"/>
          <w:szCs w:val="24"/>
        </w:rPr>
      </w:pPr>
      <w:r w:rsidRPr="00CA27E3">
        <w:rPr>
          <w:rFonts w:ascii="Sylfaen" w:hAnsi="Sylfaen"/>
          <w:sz w:val="24"/>
          <w:szCs w:val="24"/>
        </w:rPr>
        <w:lastRenderedPageBreak/>
        <w:t xml:space="preserve">III.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կանոնները</w:t>
      </w:r>
    </w:p>
    <w:p w14:paraId="00C5B6F8" w14:textId="77777777" w:rsidR="005C1B3A" w:rsidRPr="003D2C38" w:rsidRDefault="005C1B3A" w:rsidP="005C1B3A">
      <w:pPr>
        <w:pStyle w:val="a0"/>
        <w:shd w:val="clear" w:color="auto" w:fill="auto"/>
        <w:spacing w:after="160"/>
        <w:ind w:right="566" w:firstLine="0"/>
        <w:jc w:val="center"/>
        <w:rPr>
          <w:rFonts w:ascii="Sylfaen" w:hAnsi="Sylfaen" w:cs="Sylfaen"/>
          <w:sz w:val="24"/>
          <w:szCs w:val="24"/>
        </w:rPr>
      </w:pPr>
    </w:p>
    <w:p w14:paraId="3C08EBF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1. Լամպերի էներգետիկ արդյունավետությանը </w:t>
      </w:r>
      <w:r w:rsidR="003B4610" w:rsidRPr="003D2C38">
        <w:rPr>
          <w:rFonts w:ascii="Sylfaen" w:hAnsi="Sylfaen"/>
          <w:sz w:val="24"/>
          <w:szCs w:val="24"/>
        </w:rPr>
        <w:br/>
      </w:r>
      <w:r w:rsidRPr="00CA27E3">
        <w:rPr>
          <w:rFonts w:ascii="Sylfaen" w:hAnsi="Sylfaen"/>
          <w:sz w:val="24"/>
          <w:szCs w:val="24"/>
        </w:rPr>
        <w:t>ներկայացվող պահանջները</w:t>
      </w:r>
    </w:p>
    <w:p w14:paraId="3D51FC9D"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5C50BB" w:rsidRPr="005C50BB">
        <w:rPr>
          <w:rFonts w:ascii="Sylfaen" w:hAnsi="Sylfaen"/>
          <w:sz w:val="24"/>
          <w:szCs w:val="24"/>
        </w:rPr>
        <w:tab/>
      </w:r>
      <w:r w:rsidRPr="00CA27E3">
        <w:rPr>
          <w:rFonts w:ascii="Sylfaen" w:hAnsi="Sylfaen"/>
          <w:sz w:val="24"/>
          <w:szCs w:val="24"/>
        </w:rPr>
        <w:t xml:space="preserve">16 </w:t>
      </w:r>
      <w:r>
        <w:rPr>
          <w:rFonts w:ascii="Sylfaen" w:hAnsi="Sylfaen"/>
          <w:sz w:val="24"/>
          <w:szCs w:val="24"/>
        </w:rPr>
        <w:t>եւ</w:t>
      </w:r>
      <w:r w:rsidRPr="00CA27E3">
        <w:rPr>
          <w:rFonts w:ascii="Sylfaen" w:hAnsi="Sylfaen"/>
          <w:sz w:val="24"/>
          <w:szCs w:val="24"/>
        </w:rPr>
        <w:t xml:space="preserve"> 26 մմ տրամագիծ ունեցող երկու լամպակոթերով լյումինեսցենտային լամպերը (Т5 </w:t>
      </w:r>
      <w:r>
        <w:rPr>
          <w:rFonts w:ascii="Sylfaen" w:hAnsi="Sylfaen"/>
          <w:sz w:val="24"/>
          <w:szCs w:val="24"/>
        </w:rPr>
        <w:t>եւ</w:t>
      </w:r>
      <w:r w:rsidRPr="00CA27E3">
        <w:rPr>
          <w:rFonts w:ascii="Sylfaen" w:hAnsi="Sylfaen"/>
          <w:sz w:val="24"/>
          <w:szCs w:val="24"/>
        </w:rPr>
        <w:t xml:space="preserve"> Т8) 25 °C ջերմաստիճանում պետք է ունենան 1-ին աղյուսակում բերված՝ լուսատացքի հաշվարկային արժեքներից ոչ պակաս արժեքներ։</w:t>
      </w:r>
    </w:p>
    <w:p w14:paraId="0D54DEB7" w14:textId="77777777" w:rsidR="00CA27E3" w:rsidRPr="003D2C38"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Եթե անվանական հզորությունը տարբերվում է 1-ին աղյուսակում նշված անվանական հզորությունից, ապա լամպերը պետք է հասնեն մոտակա անվանական հզորության լամպերի համար նշված լուսատացքի՝</w:t>
      </w:r>
      <w:r>
        <w:rPr>
          <w:rFonts w:ascii="Sylfaen" w:hAnsi="Sylfaen"/>
          <w:sz w:val="24"/>
          <w:szCs w:val="24"/>
        </w:rPr>
        <w:t xml:space="preserve"> </w:t>
      </w:r>
      <w:r w:rsidRPr="00CA27E3">
        <w:rPr>
          <w:rFonts w:ascii="Sylfaen" w:hAnsi="Sylfaen"/>
          <w:sz w:val="24"/>
          <w:szCs w:val="24"/>
        </w:rPr>
        <w:t>բացառությամբ 50</w:t>
      </w:r>
      <w:r w:rsidR="005C1B3A" w:rsidRPr="005C1B3A">
        <w:rPr>
          <w:rFonts w:ascii="Sylfaen" w:hAnsi="Sylfaen"/>
          <w:sz w:val="24"/>
          <w:szCs w:val="24"/>
        </w:rPr>
        <w:t> </w:t>
      </w:r>
      <w:r w:rsidRPr="00CA27E3">
        <w:rPr>
          <w:rFonts w:ascii="Sylfaen" w:hAnsi="Sylfaen"/>
          <w:sz w:val="24"/>
          <w:szCs w:val="24"/>
        </w:rPr>
        <w:t>Վտ-ից ավելի հզորությամբ Т8 լամպերի, որոնք պետք է հասնեն 83 լմ/Վտ լուսատացքի։ Եթե անվանական հզորության արժեքն ընկնում է 1-ին աղյուսակում բերված երկու արժեքների ուղիղ մեջտեղում, ապա համապատասխան լամպը պետք է համապատասխանի լուսատացքի արժեքներից ամենաբարձրին։ Եթե լամպի անվանական հզորությունը գերազանցում է 1-ին աղյուսակում նշված առավելագույն հզորությունը, ապա համապատասխան լամպը պետք է ունենա տվյալ առավելագույն հզորության համար լուսատացքի արժեքը։</w:t>
      </w:r>
    </w:p>
    <w:p w14:paraId="0BF0D77E" w14:textId="77777777" w:rsidR="005C1B3A" w:rsidRPr="003D2C38" w:rsidRDefault="005C1B3A" w:rsidP="00CA27E3">
      <w:pPr>
        <w:pStyle w:val="a0"/>
        <w:shd w:val="clear" w:color="auto" w:fill="auto"/>
        <w:spacing w:after="160"/>
        <w:ind w:firstLine="567"/>
        <w:jc w:val="both"/>
        <w:rPr>
          <w:rFonts w:ascii="Sylfaen" w:hAnsi="Sylfaen" w:cs="Sylfaen"/>
          <w:sz w:val="24"/>
          <w:szCs w:val="24"/>
        </w:rPr>
      </w:pPr>
    </w:p>
    <w:p w14:paraId="3187BB6A" w14:textId="77777777" w:rsidR="005C1B3A" w:rsidRDefault="005C1B3A">
      <w:pPr>
        <w:rPr>
          <w:rFonts w:ascii="Sylfaen" w:eastAsia="Times New Roman" w:hAnsi="Sylfaen" w:cs="Times New Roman"/>
          <w:color w:val="auto"/>
        </w:rPr>
      </w:pPr>
      <w:r>
        <w:rPr>
          <w:rFonts w:ascii="Sylfaen" w:hAnsi="Sylfaen"/>
        </w:rPr>
        <w:br w:type="page"/>
      </w:r>
    </w:p>
    <w:p w14:paraId="3F2DA5A7"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lastRenderedPageBreak/>
        <w:t>Աղյուսակ 1</w:t>
      </w:r>
    </w:p>
    <w:p w14:paraId="5538D0D5"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T8 </w:t>
      </w:r>
      <w:r>
        <w:rPr>
          <w:rFonts w:ascii="Sylfaen" w:hAnsi="Sylfaen"/>
          <w:sz w:val="24"/>
          <w:szCs w:val="24"/>
        </w:rPr>
        <w:t>եւ</w:t>
      </w:r>
      <w:r w:rsidRPr="00CA27E3">
        <w:rPr>
          <w:rFonts w:ascii="Sylfaen" w:hAnsi="Sylfaen"/>
          <w:sz w:val="24"/>
          <w:szCs w:val="24"/>
        </w:rPr>
        <w:t xml:space="preserve"> T5 լամպերի լուսատացքի հաշվարկային արժեքները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65"/>
        <w:gridCol w:w="1560"/>
        <w:gridCol w:w="1565"/>
        <w:gridCol w:w="1555"/>
        <w:gridCol w:w="1555"/>
        <w:gridCol w:w="1570"/>
      </w:tblGrid>
      <w:tr w:rsidR="00CA27E3" w:rsidRPr="00D83000" w14:paraId="759B1582" w14:textId="77777777" w:rsidTr="005C1B3A">
        <w:trPr>
          <w:jc w:val="center"/>
        </w:trPr>
        <w:tc>
          <w:tcPr>
            <w:tcW w:w="3125" w:type="dxa"/>
            <w:gridSpan w:val="2"/>
            <w:tcBorders>
              <w:top w:val="single" w:sz="4" w:space="0" w:color="auto"/>
              <w:left w:val="single" w:sz="4" w:space="0" w:color="auto"/>
            </w:tcBorders>
            <w:shd w:val="clear" w:color="auto" w:fill="FFFFFF"/>
            <w:vAlign w:val="center"/>
          </w:tcPr>
          <w:p w14:paraId="7FB05B0F"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T8 (տրամագիծը՝ 26 մմ)</w:t>
            </w:r>
          </w:p>
        </w:tc>
        <w:tc>
          <w:tcPr>
            <w:tcW w:w="3120" w:type="dxa"/>
            <w:gridSpan w:val="2"/>
            <w:tcBorders>
              <w:top w:val="single" w:sz="4" w:space="0" w:color="auto"/>
              <w:left w:val="single" w:sz="4" w:space="0" w:color="auto"/>
            </w:tcBorders>
            <w:shd w:val="clear" w:color="auto" w:fill="FFFFFF"/>
            <w:vAlign w:val="center"/>
          </w:tcPr>
          <w:p w14:paraId="2BA24CEE"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T5 (տրամագիծը՝ 16 մմ) բարձր արդյունավետություն</w:t>
            </w:r>
          </w:p>
        </w:tc>
        <w:tc>
          <w:tcPr>
            <w:tcW w:w="3125" w:type="dxa"/>
            <w:gridSpan w:val="2"/>
            <w:tcBorders>
              <w:top w:val="single" w:sz="4" w:space="0" w:color="auto"/>
              <w:left w:val="single" w:sz="4" w:space="0" w:color="auto"/>
              <w:right w:val="single" w:sz="4" w:space="0" w:color="auto"/>
            </w:tcBorders>
            <w:shd w:val="clear" w:color="auto" w:fill="FFFFFF"/>
            <w:vAlign w:val="center"/>
          </w:tcPr>
          <w:p w14:paraId="0C6E1151"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T5 (տրամագիծը՝ 16 մմ) բարձր հզորություն</w:t>
            </w:r>
          </w:p>
        </w:tc>
      </w:tr>
      <w:tr w:rsidR="00CA27E3" w:rsidRPr="00D83000" w14:paraId="7825C830" w14:textId="77777777" w:rsidTr="005C1B3A">
        <w:trPr>
          <w:jc w:val="center"/>
        </w:trPr>
        <w:tc>
          <w:tcPr>
            <w:tcW w:w="1565" w:type="dxa"/>
            <w:tcBorders>
              <w:top w:val="single" w:sz="4" w:space="0" w:color="auto"/>
              <w:left w:val="single" w:sz="4" w:space="0" w:color="auto"/>
            </w:tcBorders>
            <w:shd w:val="clear" w:color="auto" w:fill="FFFFFF"/>
            <w:vAlign w:val="center"/>
          </w:tcPr>
          <w:p w14:paraId="59950832"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560" w:type="dxa"/>
            <w:tcBorders>
              <w:top w:val="single" w:sz="4" w:space="0" w:color="auto"/>
              <w:left w:val="single" w:sz="4" w:space="0" w:color="auto"/>
            </w:tcBorders>
            <w:shd w:val="clear" w:color="auto" w:fill="FFFFFF"/>
            <w:vAlign w:val="center"/>
          </w:tcPr>
          <w:p w14:paraId="45685CA0"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 100 ժ շահագործումից հետո</w:t>
            </w:r>
          </w:p>
        </w:tc>
        <w:tc>
          <w:tcPr>
            <w:tcW w:w="1565" w:type="dxa"/>
            <w:tcBorders>
              <w:top w:val="single" w:sz="4" w:space="0" w:color="auto"/>
              <w:left w:val="single" w:sz="4" w:space="0" w:color="auto"/>
            </w:tcBorders>
            <w:shd w:val="clear" w:color="auto" w:fill="FFFFFF"/>
            <w:vAlign w:val="center"/>
          </w:tcPr>
          <w:p w14:paraId="4FB646A2"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555" w:type="dxa"/>
            <w:tcBorders>
              <w:top w:val="single" w:sz="4" w:space="0" w:color="auto"/>
              <w:left w:val="single" w:sz="4" w:space="0" w:color="auto"/>
            </w:tcBorders>
            <w:shd w:val="clear" w:color="auto" w:fill="FFFFFF"/>
            <w:vAlign w:val="center"/>
          </w:tcPr>
          <w:p w14:paraId="1EC08CE5"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 100 ժ շահագործումից հետո</w:t>
            </w:r>
          </w:p>
        </w:tc>
        <w:tc>
          <w:tcPr>
            <w:tcW w:w="1555" w:type="dxa"/>
            <w:tcBorders>
              <w:top w:val="single" w:sz="4" w:space="0" w:color="auto"/>
              <w:left w:val="single" w:sz="4" w:space="0" w:color="auto"/>
            </w:tcBorders>
            <w:shd w:val="clear" w:color="auto" w:fill="FFFFFF"/>
            <w:vAlign w:val="center"/>
          </w:tcPr>
          <w:p w14:paraId="5BE9F113"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570" w:type="dxa"/>
            <w:tcBorders>
              <w:top w:val="single" w:sz="4" w:space="0" w:color="auto"/>
              <w:left w:val="single" w:sz="4" w:space="0" w:color="auto"/>
              <w:right w:val="single" w:sz="4" w:space="0" w:color="auto"/>
            </w:tcBorders>
            <w:shd w:val="clear" w:color="auto" w:fill="FFFFFF"/>
            <w:vAlign w:val="center"/>
          </w:tcPr>
          <w:p w14:paraId="38D25579"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 100 ժ շահագործումից հետո</w:t>
            </w:r>
          </w:p>
        </w:tc>
      </w:tr>
      <w:tr w:rsidR="00CA27E3" w:rsidRPr="00D83000" w14:paraId="1CBDBF33" w14:textId="77777777" w:rsidTr="00CA27E3">
        <w:trPr>
          <w:jc w:val="center"/>
        </w:trPr>
        <w:tc>
          <w:tcPr>
            <w:tcW w:w="1565" w:type="dxa"/>
            <w:tcBorders>
              <w:top w:val="single" w:sz="4" w:space="0" w:color="auto"/>
              <w:left w:val="single" w:sz="4" w:space="0" w:color="auto"/>
            </w:tcBorders>
            <w:shd w:val="clear" w:color="auto" w:fill="FFFFFF"/>
            <w:vAlign w:val="bottom"/>
          </w:tcPr>
          <w:p w14:paraId="5C7DD35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15</w:t>
            </w:r>
          </w:p>
        </w:tc>
        <w:tc>
          <w:tcPr>
            <w:tcW w:w="1560" w:type="dxa"/>
            <w:tcBorders>
              <w:top w:val="single" w:sz="4" w:space="0" w:color="auto"/>
              <w:left w:val="single" w:sz="4" w:space="0" w:color="auto"/>
            </w:tcBorders>
            <w:shd w:val="clear" w:color="auto" w:fill="FFFFFF"/>
            <w:vAlign w:val="bottom"/>
          </w:tcPr>
          <w:p w14:paraId="6221C53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63</w:t>
            </w:r>
          </w:p>
        </w:tc>
        <w:tc>
          <w:tcPr>
            <w:tcW w:w="1565" w:type="dxa"/>
            <w:tcBorders>
              <w:top w:val="single" w:sz="4" w:space="0" w:color="auto"/>
              <w:left w:val="single" w:sz="4" w:space="0" w:color="auto"/>
            </w:tcBorders>
            <w:shd w:val="clear" w:color="auto" w:fill="FFFFFF"/>
            <w:vAlign w:val="bottom"/>
          </w:tcPr>
          <w:p w14:paraId="4496A3B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14</w:t>
            </w:r>
          </w:p>
        </w:tc>
        <w:tc>
          <w:tcPr>
            <w:tcW w:w="1555" w:type="dxa"/>
            <w:tcBorders>
              <w:top w:val="single" w:sz="4" w:space="0" w:color="auto"/>
              <w:left w:val="single" w:sz="4" w:space="0" w:color="auto"/>
            </w:tcBorders>
            <w:shd w:val="clear" w:color="auto" w:fill="FFFFFF"/>
            <w:vAlign w:val="bottom"/>
          </w:tcPr>
          <w:p w14:paraId="6212B4A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86</w:t>
            </w:r>
          </w:p>
        </w:tc>
        <w:tc>
          <w:tcPr>
            <w:tcW w:w="1555" w:type="dxa"/>
            <w:tcBorders>
              <w:top w:val="single" w:sz="4" w:space="0" w:color="auto"/>
              <w:left w:val="single" w:sz="4" w:space="0" w:color="auto"/>
            </w:tcBorders>
            <w:shd w:val="clear" w:color="auto" w:fill="FFFFFF"/>
            <w:vAlign w:val="bottom"/>
          </w:tcPr>
          <w:p w14:paraId="02A99EC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24</w:t>
            </w:r>
          </w:p>
        </w:tc>
        <w:tc>
          <w:tcPr>
            <w:tcW w:w="1570" w:type="dxa"/>
            <w:tcBorders>
              <w:top w:val="single" w:sz="4" w:space="0" w:color="auto"/>
              <w:left w:val="single" w:sz="4" w:space="0" w:color="auto"/>
              <w:right w:val="single" w:sz="4" w:space="0" w:color="auto"/>
            </w:tcBorders>
            <w:shd w:val="clear" w:color="auto" w:fill="FFFFFF"/>
            <w:vAlign w:val="bottom"/>
          </w:tcPr>
          <w:p w14:paraId="403DC51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73</w:t>
            </w:r>
          </w:p>
        </w:tc>
      </w:tr>
      <w:tr w:rsidR="00CA27E3" w:rsidRPr="00D83000" w14:paraId="2403E071" w14:textId="77777777" w:rsidTr="00CA27E3">
        <w:trPr>
          <w:jc w:val="center"/>
        </w:trPr>
        <w:tc>
          <w:tcPr>
            <w:tcW w:w="1565" w:type="dxa"/>
            <w:tcBorders>
              <w:top w:val="single" w:sz="4" w:space="0" w:color="auto"/>
              <w:left w:val="single" w:sz="4" w:space="0" w:color="auto"/>
            </w:tcBorders>
            <w:shd w:val="clear" w:color="auto" w:fill="FFFFFF"/>
            <w:vAlign w:val="bottom"/>
          </w:tcPr>
          <w:p w14:paraId="365CBD7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18</w:t>
            </w:r>
          </w:p>
        </w:tc>
        <w:tc>
          <w:tcPr>
            <w:tcW w:w="1560" w:type="dxa"/>
            <w:tcBorders>
              <w:top w:val="single" w:sz="4" w:space="0" w:color="auto"/>
              <w:left w:val="single" w:sz="4" w:space="0" w:color="auto"/>
            </w:tcBorders>
            <w:shd w:val="clear" w:color="auto" w:fill="FFFFFF"/>
          </w:tcPr>
          <w:p w14:paraId="1EDDC2C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1565" w:type="dxa"/>
            <w:tcBorders>
              <w:top w:val="single" w:sz="4" w:space="0" w:color="auto"/>
              <w:left w:val="single" w:sz="4" w:space="0" w:color="auto"/>
            </w:tcBorders>
            <w:shd w:val="clear" w:color="auto" w:fill="FFFFFF"/>
            <w:vAlign w:val="bottom"/>
          </w:tcPr>
          <w:p w14:paraId="3C85C40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21</w:t>
            </w:r>
          </w:p>
        </w:tc>
        <w:tc>
          <w:tcPr>
            <w:tcW w:w="1555" w:type="dxa"/>
            <w:tcBorders>
              <w:top w:val="single" w:sz="4" w:space="0" w:color="auto"/>
              <w:left w:val="single" w:sz="4" w:space="0" w:color="auto"/>
            </w:tcBorders>
            <w:shd w:val="clear" w:color="auto" w:fill="FFFFFF"/>
          </w:tcPr>
          <w:p w14:paraId="72BF014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w:t>
            </w:r>
          </w:p>
        </w:tc>
        <w:tc>
          <w:tcPr>
            <w:tcW w:w="1555" w:type="dxa"/>
            <w:tcBorders>
              <w:top w:val="single" w:sz="4" w:space="0" w:color="auto"/>
              <w:left w:val="single" w:sz="4" w:space="0" w:color="auto"/>
            </w:tcBorders>
            <w:shd w:val="clear" w:color="auto" w:fill="FFFFFF"/>
          </w:tcPr>
          <w:p w14:paraId="24A224B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39</w:t>
            </w:r>
          </w:p>
        </w:tc>
        <w:tc>
          <w:tcPr>
            <w:tcW w:w="1570" w:type="dxa"/>
            <w:tcBorders>
              <w:top w:val="single" w:sz="4" w:space="0" w:color="auto"/>
              <w:left w:val="single" w:sz="4" w:space="0" w:color="auto"/>
              <w:right w:val="single" w:sz="4" w:space="0" w:color="auto"/>
            </w:tcBorders>
            <w:shd w:val="clear" w:color="auto" w:fill="FFFFFF"/>
          </w:tcPr>
          <w:p w14:paraId="7B6670D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79</w:t>
            </w:r>
          </w:p>
        </w:tc>
      </w:tr>
      <w:tr w:rsidR="00CA27E3" w:rsidRPr="00D83000" w14:paraId="7E2E4745" w14:textId="77777777" w:rsidTr="00CA27E3">
        <w:trPr>
          <w:jc w:val="center"/>
        </w:trPr>
        <w:tc>
          <w:tcPr>
            <w:tcW w:w="1565" w:type="dxa"/>
            <w:tcBorders>
              <w:top w:val="single" w:sz="4" w:space="0" w:color="auto"/>
              <w:left w:val="single" w:sz="4" w:space="0" w:color="auto"/>
            </w:tcBorders>
            <w:shd w:val="clear" w:color="auto" w:fill="FFFFFF"/>
            <w:vAlign w:val="bottom"/>
          </w:tcPr>
          <w:p w14:paraId="43C61E1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25</w:t>
            </w:r>
          </w:p>
        </w:tc>
        <w:tc>
          <w:tcPr>
            <w:tcW w:w="1560" w:type="dxa"/>
            <w:tcBorders>
              <w:top w:val="single" w:sz="4" w:space="0" w:color="auto"/>
              <w:left w:val="single" w:sz="4" w:space="0" w:color="auto"/>
            </w:tcBorders>
            <w:shd w:val="clear" w:color="auto" w:fill="FFFFFF"/>
            <w:vAlign w:val="bottom"/>
          </w:tcPr>
          <w:p w14:paraId="227D972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76</w:t>
            </w:r>
          </w:p>
        </w:tc>
        <w:tc>
          <w:tcPr>
            <w:tcW w:w="1565" w:type="dxa"/>
            <w:tcBorders>
              <w:top w:val="single" w:sz="4" w:space="0" w:color="auto"/>
              <w:left w:val="single" w:sz="4" w:space="0" w:color="auto"/>
            </w:tcBorders>
            <w:shd w:val="clear" w:color="auto" w:fill="FFFFFF"/>
            <w:vAlign w:val="bottom"/>
          </w:tcPr>
          <w:p w14:paraId="471B6BA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28</w:t>
            </w:r>
          </w:p>
        </w:tc>
        <w:tc>
          <w:tcPr>
            <w:tcW w:w="1555" w:type="dxa"/>
            <w:tcBorders>
              <w:top w:val="single" w:sz="4" w:space="0" w:color="auto"/>
              <w:left w:val="single" w:sz="4" w:space="0" w:color="auto"/>
            </w:tcBorders>
            <w:shd w:val="clear" w:color="auto" w:fill="FFFFFF"/>
            <w:vAlign w:val="bottom"/>
          </w:tcPr>
          <w:p w14:paraId="01FD0AD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93</w:t>
            </w:r>
          </w:p>
        </w:tc>
        <w:tc>
          <w:tcPr>
            <w:tcW w:w="1555" w:type="dxa"/>
            <w:tcBorders>
              <w:top w:val="single" w:sz="4" w:space="0" w:color="auto"/>
              <w:left w:val="single" w:sz="4" w:space="0" w:color="auto"/>
            </w:tcBorders>
            <w:shd w:val="clear" w:color="auto" w:fill="FFFFFF"/>
            <w:vAlign w:val="bottom"/>
          </w:tcPr>
          <w:p w14:paraId="639647B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49</w:t>
            </w:r>
          </w:p>
        </w:tc>
        <w:tc>
          <w:tcPr>
            <w:tcW w:w="1570" w:type="dxa"/>
            <w:tcBorders>
              <w:top w:val="single" w:sz="4" w:space="0" w:color="auto"/>
              <w:left w:val="single" w:sz="4" w:space="0" w:color="auto"/>
              <w:right w:val="single" w:sz="4" w:space="0" w:color="auto"/>
            </w:tcBorders>
            <w:shd w:val="clear" w:color="auto" w:fill="FFFFFF"/>
            <w:vAlign w:val="bottom"/>
          </w:tcPr>
          <w:p w14:paraId="17499D8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88</w:t>
            </w:r>
          </w:p>
        </w:tc>
      </w:tr>
      <w:tr w:rsidR="00CA27E3" w:rsidRPr="00D83000" w14:paraId="494A9DB9" w14:textId="77777777" w:rsidTr="00CA27E3">
        <w:trPr>
          <w:jc w:val="center"/>
        </w:trPr>
        <w:tc>
          <w:tcPr>
            <w:tcW w:w="1565" w:type="dxa"/>
            <w:tcBorders>
              <w:top w:val="single" w:sz="4" w:space="0" w:color="auto"/>
              <w:left w:val="single" w:sz="4" w:space="0" w:color="auto"/>
            </w:tcBorders>
            <w:shd w:val="clear" w:color="auto" w:fill="FFFFFF"/>
          </w:tcPr>
          <w:p w14:paraId="5071177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w:t>
            </w:r>
          </w:p>
        </w:tc>
        <w:tc>
          <w:tcPr>
            <w:tcW w:w="1560" w:type="dxa"/>
            <w:tcBorders>
              <w:top w:val="single" w:sz="4" w:space="0" w:color="auto"/>
              <w:left w:val="single" w:sz="4" w:space="0" w:color="auto"/>
            </w:tcBorders>
            <w:shd w:val="clear" w:color="auto" w:fill="FFFFFF"/>
            <w:vAlign w:val="bottom"/>
          </w:tcPr>
          <w:p w14:paraId="1D9E957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80</w:t>
            </w:r>
          </w:p>
        </w:tc>
        <w:tc>
          <w:tcPr>
            <w:tcW w:w="1565" w:type="dxa"/>
            <w:tcBorders>
              <w:top w:val="single" w:sz="4" w:space="0" w:color="auto"/>
              <w:left w:val="single" w:sz="4" w:space="0" w:color="auto"/>
            </w:tcBorders>
            <w:shd w:val="clear" w:color="auto" w:fill="FFFFFF"/>
          </w:tcPr>
          <w:p w14:paraId="67D7B5A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w:t>
            </w:r>
          </w:p>
        </w:tc>
        <w:tc>
          <w:tcPr>
            <w:tcW w:w="1555" w:type="dxa"/>
            <w:tcBorders>
              <w:top w:val="single" w:sz="4" w:space="0" w:color="auto"/>
              <w:left w:val="single" w:sz="4" w:space="0" w:color="auto"/>
            </w:tcBorders>
            <w:shd w:val="clear" w:color="auto" w:fill="FFFFFF"/>
          </w:tcPr>
          <w:p w14:paraId="59611BA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94</w:t>
            </w:r>
          </w:p>
        </w:tc>
        <w:tc>
          <w:tcPr>
            <w:tcW w:w="1555" w:type="dxa"/>
            <w:tcBorders>
              <w:top w:val="single" w:sz="4" w:space="0" w:color="auto"/>
              <w:left w:val="single" w:sz="4" w:space="0" w:color="auto"/>
            </w:tcBorders>
            <w:shd w:val="clear" w:color="auto" w:fill="FFFFFF"/>
          </w:tcPr>
          <w:p w14:paraId="7D6E371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54</w:t>
            </w:r>
          </w:p>
        </w:tc>
        <w:tc>
          <w:tcPr>
            <w:tcW w:w="1570" w:type="dxa"/>
            <w:tcBorders>
              <w:top w:val="single" w:sz="4" w:space="0" w:color="auto"/>
              <w:left w:val="single" w:sz="4" w:space="0" w:color="auto"/>
              <w:right w:val="single" w:sz="4" w:space="0" w:color="auto"/>
            </w:tcBorders>
            <w:shd w:val="clear" w:color="auto" w:fill="FFFFFF"/>
            <w:vAlign w:val="bottom"/>
          </w:tcPr>
          <w:p w14:paraId="08448FB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82</w:t>
            </w:r>
          </w:p>
        </w:tc>
      </w:tr>
      <w:tr w:rsidR="00CA27E3" w:rsidRPr="00D83000" w14:paraId="75C4542A" w14:textId="77777777" w:rsidTr="00CA27E3">
        <w:trPr>
          <w:jc w:val="center"/>
        </w:trPr>
        <w:tc>
          <w:tcPr>
            <w:tcW w:w="1565" w:type="dxa"/>
            <w:tcBorders>
              <w:top w:val="single" w:sz="4" w:space="0" w:color="auto"/>
              <w:left w:val="single" w:sz="4" w:space="0" w:color="auto"/>
            </w:tcBorders>
            <w:shd w:val="clear" w:color="auto" w:fill="FFFFFF"/>
            <w:vAlign w:val="bottom"/>
          </w:tcPr>
          <w:p w14:paraId="4E91A32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36</w:t>
            </w:r>
          </w:p>
        </w:tc>
        <w:tc>
          <w:tcPr>
            <w:tcW w:w="1560" w:type="dxa"/>
            <w:tcBorders>
              <w:top w:val="single" w:sz="4" w:space="0" w:color="auto"/>
              <w:left w:val="single" w:sz="4" w:space="0" w:color="auto"/>
            </w:tcBorders>
            <w:shd w:val="clear" w:color="auto" w:fill="FFFFFF"/>
            <w:vAlign w:val="bottom"/>
          </w:tcPr>
          <w:p w14:paraId="442D5DB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93</w:t>
            </w:r>
          </w:p>
        </w:tc>
        <w:tc>
          <w:tcPr>
            <w:tcW w:w="1565" w:type="dxa"/>
            <w:tcBorders>
              <w:top w:val="single" w:sz="4" w:space="0" w:color="auto"/>
              <w:left w:val="single" w:sz="4" w:space="0" w:color="auto"/>
            </w:tcBorders>
            <w:shd w:val="clear" w:color="auto" w:fill="FFFFFF"/>
            <w:vAlign w:val="center"/>
          </w:tcPr>
          <w:p w14:paraId="1B7239E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08246B1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tcBorders>
            <w:shd w:val="clear" w:color="auto" w:fill="FFFFFF"/>
            <w:vAlign w:val="bottom"/>
          </w:tcPr>
          <w:p w14:paraId="782D748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80</w:t>
            </w:r>
          </w:p>
        </w:tc>
        <w:tc>
          <w:tcPr>
            <w:tcW w:w="1570" w:type="dxa"/>
            <w:tcBorders>
              <w:top w:val="single" w:sz="4" w:space="0" w:color="auto"/>
              <w:left w:val="single" w:sz="4" w:space="0" w:color="auto"/>
              <w:right w:val="single" w:sz="4" w:space="0" w:color="auto"/>
            </w:tcBorders>
            <w:shd w:val="clear" w:color="auto" w:fill="FFFFFF"/>
            <w:vAlign w:val="bottom"/>
          </w:tcPr>
          <w:p w14:paraId="02DD103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77</w:t>
            </w:r>
          </w:p>
        </w:tc>
      </w:tr>
      <w:tr w:rsidR="00CA27E3" w:rsidRPr="00D83000" w14:paraId="181F3DA0" w14:textId="77777777" w:rsidTr="00CA27E3">
        <w:trPr>
          <w:jc w:val="center"/>
        </w:trPr>
        <w:tc>
          <w:tcPr>
            <w:tcW w:w="1565" w:type="dxa"/>
            <w:tcBorders>
              <w:top w:val="single" w:sz="4" w:space="0" w:color="auto"/>
              <w:left w:val="single" w:sz="4" w:space="0" w:color="auto"/>
            </w:tcBorders>
            <w:shd w:val="clear" w:color="auto" w:fill="FFFFFF"/>
            <w:vAlign w:val="center"/>
          </w:tcPr>
          <w:p w14:paraId="07DDB9F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38</w:t>
            </w:r>
          </w:p>
        </w:tc>
        <w:tc>
          <w:tcPr>
            <w:tcW w:w="1560" w:type="dxa"/>
            <w:tcBorders>
              <w:top w:val="single" w:sz="4" w:space="0" w:color="auto"/>
              <w:left w:val="single" w:sz="4" w:space="0" w:color="auto"/>
            </w:tcBorders>
            <w:shd w:val="clear" w:color="auto" w:fill="FFFFFF"/>
            <w:vAlign w:val="center"/>
          </w:tcPr>
          <w:p w14:paraId="6033CFB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87</w:t>
            </w:r>
          </w:p>
        </w:tc>
        <w:tc>
          <w:tcPr>
            <w:tcW w:w="1565" w:type="dxa"/>
            <w:tcBorders>
              <w:top w:val="single" w:sz="4" w:space="0" w:color="auto"/>
              <w:left w:val="single" w:sz="4" w:space="0" w:color="auto"/>
            </w:tcBorders>
            <w:shd w:val="clear" w:color="auto" w:fill="FFFFFF"/>
            <w:vAlign w:val="center"/>
          </w:tcPr>
          <w:p w14:paraId="3EB5301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4801F50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0E22339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70" w:type="dxa"/>
            <w:tcBorders>
              <w:top w:val="single" w:sz="4" w:space="0" w:color="auto"/>
              <w:left w:val="single" w:sz="4" w:space="0" w:color="auto"/>
              <w:right w:val="single" w:sz="4" w:space="0" w:color="auto"/>
            </w:tcBorders>
            <w:shd w:val="clear" w:color="auto" w:fill="FFFFFF"/>
            <w:vAlign w:val="center"/>
          </w:tcPr>
          <w:p w14:paraId="5121C8C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76285E72" w14:textId="77777777" w:rsidTr="00CA27E3">
        <w:trPr>
          <w:jc w:val="center"/>
        </w:trPr>
        <w:tc>
          <w:tcPr>
            <w:tcW w:w="1565" w:type="dxa"/>
            <w:tcBorders>
              <w:top w:val="single" w:sz="4" w:space="0" w:color="auto"/>
              <w:left w:val="single" w:sz="4" w:space="0" w:color="auto"/>
            </w:tcBorders>
            <w:shd w:val="clear" w:color="auto" w:fill="FFFFFF"/>
            <w:vAlign w:val="center"/>
          </w:tcPr>
          <w:p w14:paraId="018BEEB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w:t>
            </w:r>
          </w:p>
        </w:tc>
        <w:tc>
          <w:tcPr>
            <w:tcW w:w="1560" w:type="dxa"/>
            <w:tcBorders>
              <w:top w:val="single" w:sz="4" w:space="0" w:color="auto"/>
              <w:left w:val="single" w:sz="4" w:space="0" w:color="auto"/>
            </w:tcBorders>
            <w:shd w:val="clear" w:color="auto" w:fill="FFFFFF"/>
            <w:vAlign w:val="center"/>
          </w:tcPr>
          <w:p w14:paraId="705239F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w:t>
            </w:r>
          </w:p>
        </w:tc>
        <w:tc>
          <w:tcPr>
            <w:tcW w:w="1565" w:type="dxa"/>
            <w:tcBorders>
              <w:top w:val="single" w:sz="4" w:space="0" w:color="auto"/>
              <w:left w:val="single" w:sz="4" w:space="0" w:color="auto"/>
            </w:tcBorders>
            <w:shd w:val="clear" w:color="auto" w:fill="FFFFFF"/>
            <w:vAlign w:val="center"/>
          </w:tcPr>
          <w:p w14:paraId="1D86EE9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5C7BA98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tcBorders>
            <w:shd w:val="clear" w:color="auto" w:fill="FFFFFF"/>
            <w:vAlign w:val="center"/>
          </w:tcPr>
          <w:p w14:paraId="0F22E93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70" w:type="dxa"/>
            <w:tcBorders>
              <w:top w:val="single" w:sz="4" w:space="0" w:color="auto"/>
              <w:left w:val="single" w:sz="4" w:space="0" w:color="auto"/>
              <w:right w:val="single" w:sz="4" w:space="0" w:color="auto"/>
            </w:tcBorders>
            <w:shd w:val="clear" w:color="auto" w:fill="FFFFFF"/>
            <w:vAlign w:val="center"/>
          </w:tcPr>
          <w:p w14:paraId="4958FE8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6881B0A8" w14:textId="77777777" w:rsidTr="00CA27E3">
        <w:trPr>
          <w:jc w:val="center"/>
        </w:trPr>
        <w:tc>
          <w:tcPr>
            <w:tcW w:w="1565" w:type="dxa"/>
            <w:tcBorders>
              <w:top w:val="single" w:sz="4" w:space="0" w:color="auto"/>
              <w:left w:val="single" w:sz="4" w:space="0" w:color="auto"/>
              <w:bottom w:val="single" w:sz="4" w:space="0" w:color="auto"/>
            </w:tcBorders>
            <w:shd w:val="clear" w:color="auto" w:fill="FFFFFF"/>
            <w:vAlign w:val="center"/>
          </w:tcPr>
          <w:p w14:paraId="05BC357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70</w:t>
            </w:r>
          </w:p>
        </w:tc>
        <w:tc>
          <w:tcPr>
            <w:tcW w:w="1560" w:type="dxa"/>
            <w:tcBorders>
              <w:top w:val="single" w:sz="4" w:space="0" w:color="auto"/>
              <w:left w:val="single" w:sz="4" w:space="0" w:color="auto"/>
              <w:bottom w:val="single" w:sz="4" w:space="0" w:color="auto"/>
            </w:tcBorders>
            <w:shd w:val="clear" w:color="auto" w:fill="FFFFFF"/>
            <w:vAlign w:val="center"/>
          </w:tcPr>
          <w:p w14:paraId="205C38C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89</w:t>
            </w:r>
          </w:p>
        </w:tc>
        <w:tc>
          <w:tcPr>
            <w:tcW w:w="1565" w:type="dxa"/>
            <w:tcBorders>
              <w:top w:val="single" w:sz="4" w:space="0" w:color="auto"/>
              <w:left w:val="single" w:sz="4" w:space="0" w:color="auto"/>
              <w:bottom w:val="single" w:sz="4" w:space="0" w:color="auto"/>
            </w:tcBorders>
            <w:shd w:val="clear" w:color="auto" w:fill="FFFFFF"/>
            <w:vAlign w:val="center"/>
          </w:tcPr>
          <w:p w14:paraId="0CF9F6C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bottom w:val="single" w:sz="4" w:space="0" w:color="auto"/>
            </w:tcBorders>
            <w:shd w:val="clear" w:color="auto" w:fill="FFFFFF"/>
            <w:vAlign w:val="center"/>
          </w:tcPr>
          <w:p w14:paraId="6C7C8EF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55" w:type="dxa"/>
            <w:tcBorders>
              <w:top w:val="single" w:sz="4" w:space="0" w:color="auto"/>
              <w:left w:val="single" w:sz="4" w:space="0" w:color="auto"/>
              <w:bottom w:val="single" w:sz="4" w:space="0" w:color="auto"/>
            </w:tcBorders>
            <w:shd w:val="clear" w:color="auto" w:fill="FFFFFF"/>
            <w:vAlign w:val="center"/>
          </w:tcPr>
          <w:p w14:paraId="0184E0A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14:paraId="61AA977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bl>
    <w:p w14:paraId="52630F12" w14:textId="77777777" w:rsidR="00CA27E3" w:rsidRPr="00CA27E3" w:rsidRDefault="00CA27E3" w:rsidP="00CA27E3">
      <w:pPr>
        <w:spacing w:after="160" w:line="360" w:lineRule="auto"/>
        <w:rPr>
          <w:rFonts w:ascii="Sylfaen" w:hAnsi="Sylfaen" w:cs="Sylfaen"/>
        </w:rPr>
      </w:pPr>
    </w:p>
    <w:p w14:paraId="3D4610E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Լմ/Վտ-ը հաշվարկելիս թույլատրվում է տասնորդական մասերի կլորացում՝ աճման ուղղությամբ։</w:t>
      </w:r>
    </w:p>
    <w:p w14:paraId="44039FA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G13 լամպակոթով երկու լամպակոթ ունեցող լյումինեսցենտային լամպերի համար տվյալ պահանջները պետք է կիրառվեն 2023 թվականի սեպտեմբերի 1-ից։</w:t>
      </w:r>
    </w:p>
    <w:p w14:paraId="5A10777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Մեկ լամպակոթով լյումինեսցենտային լամպերը 25 °C ջերմաստիճանում պետք է ունենան 2-րդ աղյուսակում բերված՝ լուսատացքի հաշվարկային արժեքներից ոչ պակաս արժեքներ։</w:t>
      </w:r>
    </w:p>
    <w:p w14:paraId="44C34FF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անվանական հզորությունը կամ լամպի ձ</w:t>
      </w:r>
      <w:r>
        <w:rPr>
          <w:rFonts w:ascii="Sylfaen" w:hAnsi="Sylfaen"/>
          <w:sz w:val="24"/>
          <w:szCs w:val="24"/>
        </w:rPr>
        <w:t>եւ</w:t>
      </w:r>
      <w:r w:rsidRPr="00CA27E3">
        <w:rPr>
          <w:rFonts w:ascii="Sylfaen" w:hAnsi="Sylfaen"/>
          <w:sz w:val="24"/>
          <w:szCs w:val="24"/>
        </w:rPr>
        <w:t>ը շեղվում են 2-5-րդ աղյուսակներում բերված՝ հզորության արժեքներից կամ լամպերի ձ</w:t>
      </w:r>
      <w:r>
        <w:rPr>
          <w:rFonts w:ascii="Sylfaen" w:hAnsi="Sylfaen"/>
          <w:sz w:val="24"/>
          <w:szCs w:val="24"/>
        </w:rPr>
        <w:t>եւ</w:t>
      </w:r>
      <w:r w:rsidRPr="00CA27E3">
        <w:rPr>
          <w:rFonts w:ascii="Sylfaen" w:hAnsi="Sylfaen"/>
          <w:sz w:val="24"/>
          <w:szCs w:val="24"/>
        </w:rPr>
        <w:t>երից, ապա լամպերը պետք է հասնեն մոտակա անվանական հզորության կամ ձ</w:t>
      </w:r>
      <w:r>
        <w:rPr>
          <w:rFonts w:ascii="Sylfaen" w:hAnsi="Sylfaen"/>
          <w:sz w:val="24"/>
          <w:szCs w:val="24"/>
        </w:rPr>
        <w:t>եւ</w:t>
      </w:r>
      <w:r w:rsidRPr="00CA27E3">
        <w:rPr>
          <w:rFonts w:ascii="Sylfaen" w:hAnsi="Sylfaen"/>
          <w:sz w:val="24"/>
          <w:szCs w:val="24"/>
        </w:rPr>
        <w:t>ի լուսատացքի։ Եթե անվանական հզորության արժեքն ընկնում է</w:t>
      </w:r>
      <w:r>
        <w:rPr>
          <w:rFonts w:ascii="Sylfaen" w:hAnsi="Sylfaen"/>
          <w:sz w:val="24"/>
          <w:szCs w:val="24"/>
        </w:rPr>
        <w:t xml:space="preserve"> </w:t>
      </w:r>
      <w:r w:rsidRPr="00CA27E3">
        <w:rPr>
          <w:rFonts w:ascii="Sylfaen" w:hAnsi="Sylfaen"/>
          <w:sz w:val="24"/>
          <w:szCs w:val="24"/>
        </w:rPr>
        <w:t xml:space="preserve">աղյուսակում բերված երկու արժեքների ուղիղ մեջտեղում, ապա համապատասխան լամպը պետք է համապատասխանի լուսատացքի արժեքներից ամենաբարձրին։ </w:t>
      </w:r>
      <w:r w:rsidRPr="00CA27E3">
        <w:rPr>
          <w:rFonts w:ascii="Sylfaen" w:hAnsi="Sylfaen"/>
          <w:sz w:val="24"/>
          <w:szCs w:val="24"/>
        </w:rPr>
        <w:lastRenderedPageBreak/>
        <w:t>Եթե</w:t>
      </w:r>
      <w:r w:rsidR="005C1B3A" w:rsidRPr="005C1B3A">
        <w:rPr>
          <w:rFonts w:ascii="Sylfaen" w:hAnsi="Sylfaen"/>
          <w:sz w:val="24"/>
          <w:szCs w:val="24"/>
        </w:rPr>
        <w:t> </w:t>
      </w:r>
      <w:r w:rsidRPr="00CA27E3">
        <w:rPr>
          <w:rFonts w:ascii="Sylfaen" w:hAnsi="Sylfaen"/>
          <w:sz w:val="24"/>
          <w:szCs w:val="24"/>
        </w:rPr>
        <w:t>անվանական հզորությունը գերազանցում է 2-րդ աղյուսակում նշված առավելագույն հզորությունը, ապա համապատասխան լամպը պետք է ունենա նշված առավելագույն հզորության համար լուսատացքի արժեքը։</w:t>
      </w:r>
    </w:p>
    <w:p w14:paraId="13DEB03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Պարուրաձ</w:t>
      </w:r>
      <w:r>
        <w:rPr>
          <w:rFonts w:ascii="Sylfaen" w:hAnsi="Sylfaen"/>
          <w:sz w:val="24"/>
          <w:szCs w:val="24"/>
        </w:rPr>
        <w:t xml:space="preserve">եւ </w:t>
      </w:r>
      <w:r w:rsidRPr="00CA27E3">
        <w:rPr>
          <w:rFonts w:ascii="Sylfaen" w:hAnsi="Sylfaen"/>
          <w:sz w:val="24"/>
          <w:szCs w:val="24"/>
        </w:rPr>
        <w:t>երկու լամպակոթով բոլոր՝ 16 մմ-ին հավասար կամ դրանից ավելի տրամագծերով լյումինեսցենտային լամպերը պետք է համապատասխանեն 5-րդ աղյուսակից T9 օղակաձ</w:t>
      </w:r>
      <w:r>
        <w:rPr>
          <w:rFonts w:ascii="Sylfaen" w:hAnsi="Sylfaen"/>
          <w:sz w:val="24"/>
          <w:szCs w:val="24"/>
        </w:rPr>
        <w:t>եւ</w:t>
      </w:r>
      <w:r w:rsidRPr="00CA27E3">
        <w:rPr>
          <w:rFonts w:ascii="Sylfaen" w:hAnsi="Sylfaen"/>
          <w:sz w:val="24"/>
          <w:szCs w:val="24"/>
        </w:rPr>
        <w:t xml:space="preserve"> լամպերի համար նախատեսված պահանջներին։</w:t>
      </w:r>
    </w:p>
    <w:p w14:paraId="611BC5E9" w14:textId="77777777" w:rsidR="00CA27E3" w:rsidRPr="00CA27E3" w:rsidRDefault="00CA27E3" w:rsidP="00CA27E3">
      <w:pPr>
        <w:pStyle w:val="a0"/>
        <w:shd w:val="clear" w:color="auto" w:fill="auto"/>
        <w:spacing w:after="160"/>
        <w:ind w:firstLine="567"/>
        <w:jc w:val="right"/>
        <w:rPr>
          <w:rFonts w:ascii="Sylfaen" w:hAnsi="Sylfaen" w:cs="Sylfaen"/>
          <w:sz w:val="24"/>
          <w:szCs w:val="24"/>
        </w:rPr>
      </w:pPr>
    </w:p>
    <w:p w14:paraId="01846CDE" w14:textId="77777777" w:rsidR="00CA27E3" w:rsidRPr="00CA27E3" w:rsidRDefault="00CA27E3" w:rsidP="00CA27E3">
      <w:pPr>
        <w:pStyle w:val="a0"/>
        <w:shd w:val="clear" w:color="auto" w:fill="auto"/>
        <w:spacing w:after="160"/>
        <w:ind w:firstLine="567"/>
        <w:jc w:val="right"/>
        <w:rPr>
          <w:rFonts w:ascii="Sylfaen" w:hAnsi="Sylfaen" w:cs="Sylfaen"/>
          <w:sz w:val="24"/>
          <w:szCs w:val="24"/>
        </w:rPr>
      </w:pPr>
      <w:r w:rsidRPr="00CA27E3">
        <w:rPr>
          <w:rFonts w:ascii="Sylfaen" w:hAnsi="Sylfaen"/>
          <w:sz w:val="24"/>
          <w:szCs w:val="24"/>
        </w:rPr>
        <w:t>Աղյուսակ 2</w:t>
      </w:r>
    </w:p>
    <w:p w14:paraId="50511F5E" w14:textId="77777777" w:rsidR="00CA27E3" w:rsidRPr="00CA27E3" w:rsidRDefault="00CA27E3" w:rsidP="005C1B3A">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Էլեկտրամագնիսական </w:t>
      </w:r>
      <w:r>
        <w:rPr>
          <w:rFonts w:ascii="Sylfaen" w:hAnsi="Sylfaen"/>
          <w:sz w:val="24"/>
          <w:szCs w:val="24"/>
        </w:rPr>
        <w:t>եւ</w:t>
      </w:r>
      <w:r w:rsidRPr="00CA27E3">
        <w:rPr>
          <w:rFonts w:ascii="Sylfaen" w:hAnsi="Sylfaen"/>
          <w:sz w:val="24"/>
          <w:szCs w:val="24"/>
        </w:rPr>
        <w:t xml:space="preserve"> էլեկտրոնային՝ գործարկումը կարգավորող ապարատով աշխատող՝ մեկ լամպակոթով լյումինեսցենտային լամպերի լուսատացքի հաշվարկային արժեքները</w:t>
      </w:r>
    </w:p>
    <w:tbl>
      <w:tblPr>
        <w:tblOverlap w:val="never"/>
        <w:tblW w:w="9481" w:type="dxa"/>
        <w:jc w:val="center"/>
        <w:tblLayout w:type="fixed"/>
        <w:tblCellMar>
          <w:left w:w="10" w:type="dxa"/>
          <w:right w:w="10" w:type="dxa"/>
        </w:tblCellMar>
        <w:tblLook w:val="0000" w:firstRow="0" w:lastRow="0" w:firstColumn="0" w:lastColumn="0" w:noHBand="0" w:noVBand="0"/>
      </w:tblPr>
      <w:tblGrid>
        <w:gridCol w:w="1579"/>
        <w:gridCol w:w="1608"/>
        <w:gridCol w:w="1483"/>
        <w:gridCol w:w="1628"/>
        <w:gridCol w:w="1468"/>
        <w:gridCol w:w="1715"/>
      </w:tblGrid>
      <w:tr w:rsidR="00CA27E3" w:rsidRPr="00D83000" w14:paraId="2EA4FCE2" w14:textId="77777777" w:rsidTr="005C1B3A">
        <w:trPr>
          <w:jc w:val="center"/>
        </w:trPr>
        <w:tc>
          <w:tcPr>
            <w:tcW w:w="3187" w:type="dxa"/>
            <w:gridSpan w:val="2"/>
            <w:tcBorders>
              <w:top w:val="single" w:sz="4" w:space="0" w:color="auto"/>
              <w:left w:val="single" w:sz="4" w:space="0" w:color="auto"/>
            </w:tcBorders>
            <w:shd w:val="clear" w:color="auto" w:fill="FFFFFF"/>
            <w:vAlign w:val="bottom"/>
          </w:tcPr>
          <w:p w14:paraId="532D451F" w14:textId="77777777" w:rsidR="00CA27E3" w:rsidRPr="00D83000" w:rsidRDefault="00CA27E3" w:rsidP="005C1B3A">
            <w:pPr>
              <w:pStyle w:val="a4"/>
              <w:shd w:val="clear" w:color="auto" w:fill="auto"/>
              <w:spacing w:after="120" w:line="240" w:lineRule="auto"/>
              <w:ind w:right="77" w:firstLine="0"/>
              <w:jc w:val="center"/>
              <w:rPr>
                <w:rFonts w:ascii="Sylfaen" w:hAnsi="Sylfaen" w:cs="Sylfaen"/>
                <w:sz w:val="20"/>
                <w:szCs w:val="20"/>
              </w:rPr>
            </w:pPr>
            <w:r w:rsidRPr="00D83000">
              <w:rPr>
                <w:rFonts w:ascii="Sylfaen" w:hAnsi="Sylfaen"/>
                <w:sz w:val="20"/>
                <w:szCs w:val="20"/>
              </w:rPr>
              <w:t>Մեկ զուգահեռ խողովակ, G23</w:t>
            </w:r>
            <w:r w:rsidR="005C1B3A" w:rsidRPr="005C1B3A">
              <w:rPr>
                <w:rFonts w:ascii="Sylfaen" w:hAnsi="Sylfaen"/>
                <w:sz w:val="20"/>
                <w:szCs w:val="20"/>
              </w:rPr>
              <w:t> </w:t>
            </w:r>
            <w:r w:rsidRPr="00D83000">
              <w:rPr>
                <w:rFonts w:ascii="Sylfaen" w:hAnsi="Sylfaen"/>
                <w:sz w:val="20"/>
                <w:szCs w:val="20"/>
              </w:rPr>
              <w:t>(2</w:t>
            </w:r>
            <w:r w:rsidR="005C50BB" w:rsidRPr="005C50BB">
              <w:rPr>
                <w:rFonts w:ascii="Sylfaen" w:hAnsi="Sylfaen"/>
                <w:sz w:val="20"/>
                <w:szCs w:val="20"/>
              </w:rPr>
              <w:t> </w:t>
            </w:r>
            <w:r w:rsidRPr="00D83000">
              <w:rPr>
                <w:rFonts w:ascii="Sylfaen" w:hAnsi="Sylfaen"/>
                <w:sz w:val="20"/>
                <w:szCs w:val="20"/>
              </w:rPr>
              <w:t>ցցիկ) կամ 2G7 (4 ցցիկ) լամպակոթ</w:t>
            </w:r>
          </w:p>
        </w:tc>
        <w:tc>
          <w:tcPr>
            <w:tcW w:w="3111" w:type="dxa"/>
            <w:gridSpan w:val="2"/>
            <w:tcBorders>
              <w:top w:val="single" w:sz="4" w:space="0" w:color="auto"/>
              <w:left w:val="single" w:sz="4" w:space="0" w:color="auto"/>
            </w:tcBorders>
            <w:shd w:val="clear" w:color="auto" w:fill="FFFFFF"/>
            <w:vAlign w:val="bottom"/>
          </w:tcPr>
          <w:p w14:paraId="0AC191C1" w14:textId="77777777" w:rsidR="00CA27E3" w:rsidRPr="00D83000" w:rsidRDefault="00CA27E3" w:rsidP="005C1B3A">
            <w:pPr>
              <w:pStyle w:val="a4"/>
              <w:shd w:val="clear" w:color="auto" w:fill="auto"/>
              <w:spacing w:after="120" w:line="240" w:lineRule="auto"/>
              <w:ind w:right="77" w:firstLine="0"/>
              <w:jc w:val="center"/>
              <w:rPr>
                <w:rFonts w:ascii="Sylfaen" w:hAnsi="Sylfaen" w:cs="Sylfaen"/>
                <w:sz w:val="20"/>
                <w:szCs w:val="20"/>
              </w:rPr>
            </w:pPr>
            <w:r w:rsidRPr="00D83000">
              <w:rPr>
                <w:rFonts w:ascii="Sylfaen" w:hAnsi="Sylfaen"/>
                <w:sz w:val="20"/>
                <w:szCs w:val="20"/>
              </w:rPr>
              <w:t>Երկու զուգահեռ խողովակ, G24H</w:t>
            </w:r>
            <w:r w:rsidR="005C1B3A" w:rsidRPr="005C1B3A">
              <w:rPr>
                <w:rFonts w:ascii="Sylfaen" w:hAnsi="Sylfaen"/>
                <w:sz w:val="20"/>
                <w:szCs w:val="20"/>
              </w:rPr>
              <w:t> </w:t>
            </w:r>
            <w:r w:rsidRPr="00D83000">
              <w:rPr>
                <w:rFonts w:ascii="Sylfaen" w:hAnsi="Sylfaen"/>
                <w:sz w:val="20"/>
                <w:szCs w:val="20"/>
              </w:rPr>
              <w:t>(2 ցցիկ) կամ G24q (4 ցցիկ) լամպակոթ</w:t>
            </w:r>
          </w:p>
        </w:tc>
        <w:tc>
          <w:tcPr>
            <w:tcW w:w="3183" w:type="dxa"/>
            <w:gridSpan w:val="2"/>
            <w:tcBorders>
              <w:top w:val="single" w:sz="4" w:space="0" w:color="auto"/>
              <w:left w:val="single" w:sz="4" w:space="0" w:color="auto"/>
              <w:right w:val="single" w:sz="4" w:space="0" w:color="auto"/>
            </w:tcBorders>
            <w:shd w:val="clear" w:color="auto" w:fill="FFFFFF"/>
            <w:vAlign w:val="bottom"/>
          </w:tcPr>
          <w:p w14:paraId="3F014446" w14:textId="77777777" w:rsidR="00CA27E3" w:rsidRPr="00D83000" w:rsidRDefault="00CA27E3" w:rsidP="005C1B3A">
            <w:pPr>
              <w:pStyle w:val="a4"/>
              <w:shd w:val="clear" w:color="auto" w:fill="auto"/>
              <w:spacing w:after="120" w:line="240" w:lineRule="auto"/>
              <w:ind w:right="77" w:firstLine="0"/>
              <w:jc w:val="center"/>
              <w:rPr>
                <w:rFonts w:ascii="Sylfaen" w:hAnsi="Sylfaen" w:cs="Sylfaen"/>
                <w:sz w:val="20"/>
                <w:szCs w:val="20"/>
              </w:rPr>
            </w:pPr>
            <w:r w:rsidRPr="00D83000">
              <w:rPr>
                <w:rFonts w:ascii="Sylfaen" w:hAnsi="Sylfaen"/>
                <w:sz w:val="20"/>
                <w:szCs w:val="20"/>
              </w:rPr>
              <w:t>Երեք զուգահեռ խողովակ, GX24H (2 ցցիկ) կամ GX24q (4</w:t>
            </w:r>
            <w:r w:rsidR="005C50BB" w:rsidRPr="005C50BB">
              <w:rPr>
                <w:rFonts w:ascii="Sylfaen" w:hAnsi="Sylfaen"/>
                <w:sz w:val="20"/>
                <w:szCs w:val="20"/>
              </w:rPr>
              <w:t> </w:t>
            </w:r>
            <w:r w:rsidRPr="00D83000">
              <w:rPr>
                <w:rFonts w:ascii="Sylfaen" w:hAnsi="Sylfaen"/>
                <w:sz w:val="20"/>
                <w:szCs w:val="20"/>
              </w:rPr>
              <w:t>ցցիկ) լամպակոթ</w:t>
            </w:r>
          </w:p>
        </w:tc>
      </w:tr>
      <w:tr w:rsidR="00CA27E3" w:rsidRPr="00D83000" w14:paraId="7FB2B3D4" w14:textId="77777777" w:rsidTr="005C1B3A">
        <w:trPr>
          <w:jc w:val="center"/>
        </w:trPr>
        <w:tc>
          <w:tcPr>
            <w:tcW w:w="1579" w:type="dxa"/>
            <w:tcBorders>
              <w:top w:val="single" w:sz="4" w:space="0" w:color="auto"/>
              <w:left w:val="single" w:sz="4" w:space="0" w:color="auto"/>
            </w:tcBorders>
            <w:shd w:val="clear" w:color="auto" w:fill="FFFFFF"/>
          </w:tcPr>
          <w:p w14:paraId="0A864093"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36E7B290" wp14:editId="71BA02B8">
                  <wp:extent cx="561975" cy="10572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561975" cy="1057275"/>
                          </a:xfrm>
                          <a:prstGeom prst="rect">
                            <a:avLst/>
                          </a:prstGeom>
                          <a:noFill/>
                          <a:ln w="9525">
                            <a:noFill/>
                            <a:miter lim="800000"/>
                            <a:headEnd/>
                            <a:tailEnd/>
                          </a:ln>
                        </pic:spPr>
                      </pic:pic>
                    </a:graphicData>
                  </a:graphic>
                </wp:inline>
              </w:drawing>
            </w:r>
          </w:p>
        </w:tc>
        <w:tc>
          <w:tcPr>
            <w:tcW w:w="1608" w:type="dxa"/>
            <w:tcBorders>
              <w:top w:val="single" w:sz="4" w:space="0" w:color="auto"/>
              <w:left w:val="single" w:sz="4" w:space="0" w:color="auto"/>
            </w:tcBorders>
            <w:shd w:val="clear" w:color="auto" w:fill="FFFFFF"/>
            <w:vAlign w:val="center"/>
          </w:tcPr>
          <w:p w14:paraId="5B67EC0A"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080746D5" wp14:editId="1A3501C5">
                  <wp:extent cx="561975" cy="8953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61975" cy="895350"/>
                          </a:xfrm>
                          <a:prstGeom prst="rect">
                            <a:avLst/>
                          </a:prstGeom>
                          <a:noFill/>
                          <a:ln w="9525">
                            <a:noFill/>
                            <a:miter lim="800000"/>
                            <a:headEnd/>
                            <a:tailEnd/>
                          </a:ln>
                        </pic:spPr>
                      </pic:pic>
                    </a:graphicData>
                  </a:graphic>
                </wp:inline>
              </w:drawing>
            </w:r>
          </w:p>
        </w:tc>
        <w:tc>
          <w:tcPr>
            <w:tcW w:w="1483" w:type="dxa"/>
            <w:tcBorders>
              <w:top w:val="single" w:sz="4" w:space="0" w:color="auto"/>
              <w:left w:val="single" w:sz="4" w:space="0" w:color="auto"/>
            </w:tcBorders>
            <w:shd w:val="clear" w:color="auto" w:fill="FFFFFF"/>
            <w:vAlign w:val="bottom"/>
          </w:tcPr>
          <w:p w14:paraId="3CD7350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7E91925E" wp14:editId="31A91C02">
                  <wp:extent cx="523875" cy="10382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23875" cy="1038225"/>
                          </a:xfrm>
                          <a:prstGeom prst="rect">
                            <a:avLst/>
                          </a:prstGeom>
                          <a:noFill/>
                          <a:ln w="9525">
                            <a:noFill/>
                            <a:miter lim="800000"/>
                            <a:headEnd/>
                            <a:tailEnd/>
                          </a:ln>
                        </pic:spPr>
                      </pic:pic>
                    </a:graphicData>
                  </a:graphic>
                </wp:inline>
              </w:drawing>
            </w:r>
          </w:p>
        </w:tc>
        <w:tc>
          <w:tcPr>
            <w:tcW w:w="1628" w:type="dxa"/>
            <w:tcBorders>
              <w:top w:val="single" w:sz="4" w:space="0" w:color="auto"/>
              <w:left w:val="single" w:sz="4" w:space="0" w:color="auto"/>
            </w:tcBorders>
            <w:shd w:val="clear" w:color="auto" w:fill="FFFFFF"/>
          </w:tcPr>
          <w:p w14:paraId="2719BE2F"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3FA435F1" wp14:editId="19B647C1">
                  <wp:extent cx="600075" cy="10287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600075" cy="1028700"/>
                          </a:xfrm>
                          <a:prstGeom prst="rect">
                            <a:avLst/>
                          </a:prstGeom>
                          <a:noFill/>
                          <a:ln w="9525">
                            <a:noFill/>
                            <a:miter lim="800000"/>
                            <a:headEnd/>
                            <a:tailEnd/>
                          </a:ln>
                        </pic:spPr>
                      </pic:pic>
                    </a:graphicData>
                  </a:graphic>
                </wp:inline>
              </w:drawing>
            </w:r>
          </w:p>
        </w:tc>
        <w:tc>
          <w:tcPr>
            <w:tcW w:w="1468" w:type="dxa"/>
            <w:tcBorders>
              <w:top w:val="single" w:sz="4" w:space="0" w:color="auto"/>
              <w:left w:val="single" w:sz="4" w:space="0" w:color="auto"/>
            </w:tcBorders>
            <w:shd w:val="clear" w:color="auto" w:fill="FFFFFF"/>
            <w:vAlign w:val="bottom"/>
          </w:tcPr>
          <w:p w14:paraId="21A1E1D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00EB6B7E" wp14:editId="628772F9">
                  <wp:extent cx="561975" cy="1038225"/>
                  <wp:effectExtent l="19050" t="0" r="9525" b="0"/>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561975" cy="1038225"/>
                          </a:xfrm>
                          <a:prstGeom prst="rect">
                            <a:avLst/>
                          </a:prstGeom>
                          <a:noFill/>
                          <a:ln w="9525">
                            <a:noFill/>
                            <a:miter lim="800000"/>
                            <a:headEnd/>
                            <a:tailEnd/>
                          </a:ln>
                        </pic:spPr>
                      </pic:pic>
                    </a:graphicData>
                  </a:graphic>
                </wp:inline>
              </w:drawing>
            </w:r>
          </w:p>
        </w:tc>
        <w:tc>
          <w:tcPr>
            <w:tcW w:w="1715" w:type="dxa"/>
            <w:tcBorders>
              <w:top w:val="single" w:sz="4" w:space="0" w:color="auto"/>
              <w:left w:val="single" w:sz="4" w:space="0" w:color="auto"/>
              <w:right w:val="single" w:sz="4" w:space="0" w:color="auto"/>
            </w:tcBorders>
            <w:shd w:val="clear" w:color="auto" w:fill="FFFFFF"/>
            <w:vAlign w:val="bottom"/>
          </w:tcPr>
          <w:p w14:paraId="5A62145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0152AF20" wp14:editId="5C151672">
                  <wp:extent cx="600075" cy="1057275"/>
                  <wp:effectExtent l="19050" t="0" r="9525"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600075" cy="1057275"/>
                          </a:xfrm>
                          <a:prstGeom prst="rect">
                            <a:avLst/>
                          </a:prstGeom>
                          <a:noFill/>
                          <a:ln w="9525">
                            <a:noFill/>
                            <a:miter lim="800000"/>
                            <a:headEnd/>
                            <a:tailEnd/>
                          </a:ln>
                        </pic:spPr>
                      </pic:pic>
                    </a:graphicData>
                  </a:graphic>
                </wp:inline>
              </w:drawing>
            </w:r>
          </w:p>
        </w:tc>
      </w:tr>
      <w:tr w:rsidR="00CA27E3" w:rsidRPr="00D83000" w14:paraId="74B99650" w14:textId="77777777" w:rsidTr="005C1B3A">
        <w:trPr>
          <w:jc w:val="center"/>
        </w:trPr>
        <w:tc>
          <w:tcPr>
            <w:tcW w:w="1579" w:type="dxa"/>
            <w:tcBorders>
              <w:top w:val="single" w:sz="4" w:space="0" w:color="auto"/>
              <w:left w:val="single" w:sz="4" w:space="0" w:color="auto"/>
            </w:tcBorders>
            <w:shd w:val="clear" w:color="auto" w:fill="FFFFFF"/>
            <w:vAlign w:val="center"/>
          </w:tcPr>
          <w:p w14:paraId="05A9B9A4"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608" w:type="dxa"/>
            <w:tcBorders>
              <w:top w:val="single" w:sz="4" w:space="0" w:color="auto"/>
              <w:left w:val="single" w:sz="4" w:space="0" w:color="auto"/>
            </w:tcBorders>
            <w:shd w:val="clear" w:color="auto" w:fill="FFFFFF"/>
            <w:vAlign w:val="center"/>
          </w:tcPr>
          <w:p w14:paraId="5B437229"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 100 ժ շահագործումից հետո</w:t>
            </w:r>
          </w:p>
        </w:tc>
        <w:tc>
          <w:tcPr>
            <w:tcW w:w="1483" w:type="dxa"/>
            <w:tcBorders>
              <w:top w:val="single" w:sz="4" w:space="0" w:color="auto"/>
              <w:left w:val="single" w:sz="4" w:space="0" w:color="auto"/>
            </w:tcBorders>
            <w:shd w:val="clear" w:color="auto" w:fill="FFFFFF"/>
            <w:vAlign w:val="center"/>
          </w:tcPr>
          <w:p w14:paraId="457F87D4"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628" w:type="dxa"/>
            <w:tcBorders>
              <w:top w:val="single" w:sz="4" w:space="0" w:color="auto"/>
              <w:left w:val="single" w:sz="4" w:space="0" w:color="auto"/>
            </w:tcBorders>
            <w:shd w:val="clear" w:color="auto" w:fill="FFFFFF"/>
            <w:vAlign w:val="center"/>
          </w:tcPr>
          <w:p w14:paraId="488AB04C"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(լմ/Վտ),100 ժ շահագործումից հետո</w:t>
            </w:r>
          </w:p>
        </w:tc>
        <w:tc>
          <w:tcPr>
            <w:tcW w:w="1468" w:type="dxa"/>
            <w:tcBorders>
              <w:top w:val="single" w:sz="4" w:space="0" w:color="auto"/>
              <w:left w:val="single" w:sz="4" w:space="0" w:color="auto"/>
            </w:tcBorders>
            <w:shd w:val="clear" w:color="auto" w:fill="FFFFFF"/>
            <w:vAlign w:val="center"/>
          </w:tcPr>
          <w:p w14:paraId="0B9A3D1D"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715" w:type="dxa"/>
            <w:tcBorders>
              <w:top w:val="single" w:sz="4" w:space="0" w:color="auto"/>
              <w:left w:val="single" w:sz="4" w:space="0" w:color="auto"/>
              <w:right w:val="single" w:sz="4" w:space="0" w:color="auto"/>
            </w:tcBorders>
            <w:shd w:val="clear" w:color="auto" w:fill="FFFFFF"/>
            <w:vAlign w:val="center"/>
          </w:tcPr>
          <w:p w14:paraId="37272B6C"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(լմ/Վտ),100 ժ շահագործումից հետո</w:t>
            </w:r>
          </w:p>
        </w:tc>
      </w:tr>
      <w:tr w:rsidR="00CA27E3" w:rsidRPr="00D83000" w14:paraId="176C0019" w14:textId="77777777" w:rsidTr="005C1B3A">
        <w:trPr>
          <w:jc w:val="center"/>
        </w:trPr>
        <w:tc>
          <w:tcPr>
            <w:tcW w:w="1579" w:type="dxa"/>
            <w:tcBorders>
              <w:top w:val="single" w:sz="4" w:space="0" w:color="auto"/>
              <w:left w:val="single" w:sz="4" w:space="0" w:color="auto"/>
            </w:tcBorders>
            <w:shd w:val="clear" w:color="auto" w:fill="FFFFFF"/>
            <w:vAlign w:val="bottom"/>
          </w:tcPr>
          <w:p w14:paraId="0EC8713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w:t>
            </w:r>
          </w:p>
        </w:tc>
        <w:tc>
          <w:tcPr>
            <w:tcW w:w="1608" w:type="dxa"/>
            <w:tcBorders>
              <w:top w:val="single" w:sz="4" w:space="0" w:color="auto"/>
              <w:left w:val="single" w:sz="4" w:space="0" w:color="auto"/>
            </w:tcBorders>
            <w:shd w:val="clear" w:color="auto" w:fill="FFFFFF"/>
            <w:vAlign w:val="bottom"/>
          </w:tcPr>
          <w:p w14:paraId="3AAC82C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48</w:t>
            </w:r>
          </w:p>
        </w:tc>
        <w:tc>
          <w:tcPr>
            <w:tcW w:w="1483" w:type="dxa"/>
            <w:tcBorders>
              <w:top w:val="single" w:sz="4" w:space="0" w:color="auto"/>
              <w:left w:val="single" w:sz="4" w:space="0" w:color="auto"/>
            </w:tcBorders>
            <w:shd w:val="clear" w:color="auto" w:fill="FFFFFF"/>
            <w:vAlign w:val="bottom"/>
          </w:tcPr>
          <w:p w14:paraId="0721FBC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w:t>
            </w:r>
          </w:p>
        </w:tc>
        <w:tc>
          <w:tcPr>
            <w:tcW w:w="1628" w:type="dxa"/>
            <w:tcBorders>
              <w:top w:val="single" w:sz="4" w:space="0" w:color="auto"/>
              <w:left w:val="single" w:sz="4" w:space="0" w:color="auto"/>
            </w:tcBorders>
            <w:shd w:val="clear" w:color="auto" w:fill="FFFFFF"/>
            <w:vAlign w:val="bottom"/>
          </w:tcPr>
          <w:p w14:paraId="3DC532A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w:t>
            </w:r>
          </w:p>
        </w:tc>
        <w:tc>
          <w:tcPr>
            <w:tcW w:w="1468" w:type="dxa"/>
            <w:tcBorders>
              <w:top w:val="single" w:sz="4" w:space="0" w:color="auto"/>
              <w:left w:val="single" w:sz="4" w:space="0" w:color="auto"/>
            </w:tcBorders>
            <w:shd w:val="clear" w:color="auto" w:fill="FFFFFF"/>
            <w:vAlign w:val="bottom"/>
          </w:tcPr>
          <w:p w14:paraId="5134E1F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13</w:t>
            </w:r>
          </w:p>
        </w:tc>
        <w:tc>
          <w:tcPr>
            <w:tcW w:w="1715" w:type="dxa"/>
            <w:tcBorders>
              <w:top w:val="single" w:sz="4" w:space="0" w:color="auto"/>
              <w:left w:val="single" w:sz="4" w:space="0" w:color="auto"/>
              <w:right w:val="single" w:sz="4" w:space="0" w:color="auto"/>
            </w:tcBorders>
            <w:shd w:val="clear" w:color="auto" w:fill="FFFFFF"/>
            <w:vAlign w:val="bottom"/>
          </w:tcPr>
          <w:p w14:paraId="74CDD4DC" w14:textId="77777777" w:rsidR="00CA27E3" w:rsidRPr="00D83000" w:rsidRDefault="00CA27E3" w:rsidP="00D83000">
            <w:pPr>
              <w:pStyle w:val="a4"/>
              <w:shd w:val="clear" w:color="auto" w:fill="auto"/>
              <w:spacing w:after="120" w:line="240" w:lineRule="auto"/>
              <w:ind w:firstLine="660"/>
              <w:jc w:val="both"/>
              <w:rPr>
                <w:rFonts w:ascii="Sylfaen" w:hAnsi="Sylfaen" w:cs="Sylfaen"/>
                <w:sz w:val="20"/>
                <w:szCs w:val="20"/>
              </w:rPr>
            </w:pPr>
            <w:r w:rsidRPr="00D83000">
              <w:rPr>
                <w:rFonts w:ascii="Sylfaen" w:hAnsi="Sylfaen"/>
                <w:sz w:val="20"/>
                <w:szCs w:val="20"/>
              </w:rPr>
              <w:t>62</w:t>
            </w:r>
          </w:p>
        </w:tc>
      </w:tr>
      <w:tr w:rsidR="00CA27E3" w:rsidRPr="00D83000" w14:paraId="11498564" w14:textId="77777777" w:rsidTr="005C1B3A">
        <w:trPr>
          <w:jc w:val="center"/>
        </w:trPr>
        <w:tc>
          <w:tcPr>
            <w:tcW w:w="1579" w:type="dxa"/>
            <w:tcBorders>
              <w:top w:val="single" w:sz="4" w:space="0" w:color="auto"/>
              <w:left w:val="single" w:sz="4" w:space="0" w:color="auto"/>
            </w:tcBorders>
            <w:shd w:val="clear" w:color="auto" w:fill="FFFFFF"/>
          </w:tcPr>
          <w:p w14:paraId="254C827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w:t>
            </w:r>
          </w:p>
        </w:tc>
        <w:tc>
          <w:tcPr>
            <w:tcW w:w="1608" w:type="dxa"/>
            <w:tcBorders>
              <w:top w:val="single" w:sz="4" w:space="0" w:color="auto"/>
              <w:left w:val="single" w:sz="4" w:space="0" w:color="auto"/>
            </w:tcBorders>
            <w:shd w:val="clear" w:color="auto" w:fill="FFFFFF"/>
          </w:tcPr>
          <w:p w14:paraId="03350E3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57</w:t>
            </w:r>
          </w:p>
        </w:tc>
        <w:tc>
          <w:tcPr>
            <w:tcW w:w="1483" w:type="dxa"/>
            <w:tcBorders>
              <w:top w:val="single" w:sz="4" w:space="0" w:color="auto"/>
              <w:left w:val="single" w:sz="4" w:space="0" w:color="auto"/>
            </w:tcBorders>
            <w:shd w:val="clear" w:color="auto" w:fill="FFFFFF"/>
          </w:tcPr>
          <w:p w14:paraId="256EC2F9" w14:textId="77777777" w:rsidR="00CA27E3" w:rsidRPr="00D83000" w:rsidRDefault="00CA27E3" w:rsidP="00D83000">
            <w:pPr>
              <w:pStyle w:val="a4"/>
              <w:shd w:val="clear" w:color="auto" w:fill="auto"/>
              <w:spacing w:after="120" w:line="240" w:lineRule="auto"/>
              <w:ind w:firstLine="600"/>
              <w:jc w:val="both"/>
              <w:rPr>
                <w:rFonts w:ascii="Sylfaen" w:hAnsi="Sylfaen" w:cs="Sylfaen"/>
                <w:sz w:val="20"/>
                <w:szCs w:val="20"/>
              </w:rPr>
            </w:pPr>
            <w:r w:rsidRPr="00D83000">
              <w:rPr>
                <w:rFonts w:ascii="Sylfaen" w:hAnsi="Sylfaen"/>
                <w:sz w:val="20"/>
                <w:szCs w:val="20"/>
              </w:rPr>
              <w:t>13</w:t>
            </w:r>
          </w:p>
        </w:tc>
        <w:tc>
          <w:tcPr>
            <w:tcW w:w="1628" w:type="dxa"/>
            <w:tcBorders>
              <w:top w:val="single" w:sz="4" w:space="0" w:color="auto"/>
              <w:left w:val="single" w:sz="4" w:space="0" w:color="auto"/>
            </w:tcBorders>
            <w:shd w:val="clear" w:color="auto" w:fill="FFFFFF"/>
          </w:tcPr>
          <w:p w14:paraId="253A9B6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69</w:t>
            </w:r>
          </w:p>
        </w:tc>
        <w:tc>
          <w:tcPr>
            <w:tcW w:w="1468" w:type="dxa"/>
            <w:tcBorders>
              <w:top w:val="single" w:sz="4" w:space="0" w:color="auto"/>
              <w:left w:val="single" w:sz="4" w:space="0" w:color="auto"/>
            </w:tcBorders>
            <w:shd w:val="clear" w:color="auto" w:fill="FFFFFF"/>
            <w:vAlign w:val="bottom"/>
          </w:tcPr>
          <w:p w14:paraId="5467CFA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18</w:t>
            </w:r>
          </w:p>
        </w:tc>
        <w:tc>
          <w:tcPr>
            <w:tcW w:w="1715" w:type="dxa"/>
            <w:tcBorders>
              <w:top w:val="single" w:sz="4" w:space="0" w:color="auto"/>
              <w:left w:val="single" w:sz="4" w:space="0" w:color="auto"/>
              <w:right w:val="single" w:sz="4" w:space="0" w:color="auto"/>
            </w:tcBorders>
            <w:shd w:val="clear" w:color="auto" w:fill="FFFFFF"/>
          </w:tcPr>
          <w:p w14:paraId="2D96E7D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67</w:t>
            </w:r>
          </w:p>
        </w:tc>
      </w:tr>
      <w:tr w:rsidR="00CA27E3" w:rsidRPr="00D83000" w14:paraId="747CA83A" w14:textId="77777777" w:rsidTr="005C1B3A">
        <w:trPr>
          <w:jc w:val="center"/>
        </w:trPr>
        <w:tc>
          <w:tcPr>
            <w:tcW w:w="1579" w:type="dxa"/>
            <w:tcBorders>
              <w:top w:val="single" w:sz="4" w:space="0" w:color="auto"/>
              <w:left w:val="single" w:sz="4" w:space="0" w:color="auto"/>
            </w:tcBorders>
            <w:shd w:val="clear" w:color="auto" w:fill="FFFFFF"/>
            <w:vAlign w:val="bottom"/>
          </w:tcPr>
          <w:p w14:paraId="4C8F161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w:t>
            </w:r>
          </w:p>
        </w:tc>
        <w:tc>
          <w:tcPr>
            <w:tcW w:w="1608" w:type="dxa"/>
            <w:tcBorders>
              <w:top w:val="single" w:sz="4" w:space="0" w:color="auto"/>
              <w:left w:val="single" w:sz="4" w:space="0" w:color="auto"/>
            </w:tcBorders>
            <w:shd w:val="clear" w:color="auto" w:fill="FFFFFF"/>
            <w:vAlign w:val="bottom"/>
          </w:tcPr>
          <w:p w14:paraId="284F0BC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67</w:t>
            </w:r>
          </w:p>
        </w:tc>
        <w:tc>
          <w:tcPr>
            <w:tcW w:w="1483" w:type="dxa"/>
            <w:tcBorders>
              <w:top w:val="single" w:sz="4" w:space="0" w:color="auto"/>
              <w:left w:val="single" w:sz="4" w:space="0" w:color="auto"/>
            </w:tcBorders>
            <w:shd w:val="clear" w:color="auto" w:fill="FFFFFF"/>
            <w:vAlign w:val="bottom"/>
          </w:tcPr>
          <w:p w14:paraId="7B83BD90" w14:textId="77777777" w:rsidR="00CA27E3" w:rsidRPr="00D83000" w:rsidRDefault="00CA27E3" w:rsidP="00D83000">
            <w:pPr>
              <w:pStyle w:val="a4"/>
              <w:shd w:val="clear" w:color="auto" w:fill="auto"/>
              <w:spacing w:after="120" w:line="240" w:lineRule="auto"/>
              <w:ind w:firstLine="600"/>
              <w:jc w:val="both"/>
              <w:rPr>
                <w:rFonts w:ascii="Sylfaen" w:hAnsi="Sylfaen" w:cs="Sylfaen"/>
                <w:sz w:val="20"/>
                <w:szCs w:val="20"/>
              </w:rPr>
            </w:pPr>
            <w:r w:rsidRPr="00D83000">
              <w:rPr>
                <w:rFonts w:ascii="Sylfaen" w:hAnsi="Sylfaen"/>
                <w:sz w:val="20"/>
                <w:szCs w:val="20"/>
              </w:rPr>
              <w:t>18</w:t>
            </w:r>
          </w:p>
        </w:tc>
        <w:tc>
          <w:tcPr>
            <w:tcW w:w="1628" w:type="dxa"/>
            <w:tcBorders>
              <w:top w:val="single" w:sz="4" w:space="0" w:color="auto"/>
              <w:left w:val="single" w:sz="4" w:space="0" w:color="auto"/>
            </w:tcBorders>
            <w:shd w:val="clear" w:color="auto" w:fill="FFFFFF"/>
            <w:vAlign w:val="bottom"/>
          </w:tcPr>
          <w:p w14:paraId="080C293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67</w:t>
            </w:r>
          </w:p>
        </w:tc>
        <w:tc>
          <w:tcPr>
            <w:tcW w:w="1468" w:type="dxa"/>
            <w:tcBorders>
              <w:top w:val="single" w:sz="4" w:space="0" w:color="auto"/>
              <w:left w:val="single" w:sz="4" w:space="0" w:color="auto"/>
            </w:tcBorders>
            <w:shd w:val="clear" w:color="auto" w:fill="FFFFFF"/>
            <w:vAlign w:val="bottom"/>
          </w:tcPr>
          <w:p w14:paraId="5595C5A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26</w:t>
            </w:r>
          </w:p>
        </w:tc>
        <w:tc>
          <w:tcPr>
            <w:tcW w:w="1715" w:type="dxa"/>
            <w:tcBorders>
              <w:top w:val="single" w:sz="4" w:space="0" w:color="auto"/>
              <w:left w:val="single" w:sz="4" w:space="0" w:color="auto"/>
              <w:right w:val="single" w:sz="4" w:space="0" w:color="auto"/>
            </w:tcBorders>
            <w:shd w:val="clear" w:color="auto" w:fill="FFFFFF"/>
            <w:vAlign w:val="bottom"/>
          </w:tcPr>
          <w:p w14:paraId="6DCD3524" w14:textId="77777777" w:rsidR="00CA27E3" w:rsidRPr="00D83000" w:rsidRDefault="00CA27E3" w:rsidP="00D83000">
            <w:pPr>
              <w:pStyle w:val="a4"/>
              <w:shd w:val="clear" w:color="auto" w:fill="auto"/>
              <w:spacing w:after="120" w:line="240" w:lineRule="auto"/>
              <w:ind w:firstLine="660"/>
              <w:jc w:val="both"/>
              <w:rPr>
                <w:rFonts w:ascii="Sylfaen" w:hAnsi="Sylfaen" w:cs="Sylfaen"/>
                <w:sz w:val="20"/>
                <w:szCs w:val="20"/>
              </w:rPr>
            </w:pPr>
            <w:r w:rsidRPr="00D83000">
              <w:rPr>
                <w:rFonts w:ascii="Sylfaen" w:hAnsi="Sylfaen"/>
                <w:sz w:val="20"/>
                <w:szCs w:val="20"/>
              </w:rPr>
              <w:t>66</w:t>
            </w:r>
          </w:p>
        </w:tc>
      </w:tr>
      <w:tr w:rsidR="00CA27E3" w:rsidRPr="00D83000" w14:paraId="57371DA9" w14:textId="77777777" w:rsidTr="005C1B3A">
        <w:trPr>
          <w:jc w:val="center"/>
        </w:trPr>
        <w:tc>
          <w:tcPr>
            <w:tcW w:w="1579" w:type="dxa"/>
            <w:tcBorders>
              <w:top w:val="single" w:sz="4" w:space="0" w:color="auto"/>
              <w:left w:val="single" w:sz="4" w:space="0" w:color="auto"/>
            </w:tcBorders>
            <w:shd w:val="clear" w:color="auto" w:fill="FFFFFF"/>
            <w:vAlign w:val="bottom"/>
          </w:tcPr>
          <w:p w14:paraId="6D4EA68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11</w:t>
            </w:r>
          </w:p>
        </w:tc>
        <w:tc>
          <w:tcPr>
            <w:tcW w:w="1608" w:type="dxa"/>
            <w:tcBorders>
              <w:top w:val="single" w:sz="4" w:space="0" w:color="auto"/>
              <w:left w:val="single" w:sz="4" w:space="0" w:color="auto"/>
            </w:tcBorders>
            <w:shd w:val="clear" w:color="auto" w:fill="FFFFFF"/>
            <w:vAlign w:val="center"/>
          </w:tcPr>
          <w:p w14:paraId="7D57E48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76</w:t>
            </w:r>
          </w:p>
        </w:tc>
        <w:tc>
          <w:tcPr>
            <w:tcW w:w="1483" w:type="dxa"/>
            <w:tcBorders>
              <w:top w:val="single" w:sz="4" w:space="0" w:color="auto"/>
              <w:left w:val="single" w:sz="4" w:space="0" w:color="auto"/>
            </w:tcBorders>
            <w:shd w:val="clear" w:color="auto" w:fill="FFFFFF"/>
            <w:vAlign w:val="bottom"/>
          </w:tcPr>
          <w:p w14:paraId="2FE62A1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26</w:t>
            </w:r>
          </w:p>
        </w:tc>
        <w:tc>
          <w:tcPr>
            <w:tcW w:w="1628" w:type="dxa"/>
            <w:tcBorders>
              <w:top w:val="single" w:sz="4" w:space="0" w:color="auto"/>
              <w:left w:val="single" w:sz="4" w:space="0" w:color="auto"/>
            </w:tcBorders>
            <w:shd w:val="clear" w:color="auto" w:fill="FFFFFF"/>
            <w:vAlign w:val="bottom"/>
          </w:tcPr>
          <w:p w14:paraId="2BEA811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66</w:t>
            </w:r>
          </w:p>
        </w:tc>
        <w:tc>
          <w:tcPr>
            <w:tcW w:w="3183" w:type="dxa"/>
            <w:gridSpan w:val="2"/>
            <w:vMerge w:val="restart"/>
            <w:tcBorders>
              <w:top w:val="single" w:sz="4" w:space="0" w:color="auto"/>
              <w:left w:val="single" w:sz="4" w:space="0" w:color="auto"/>
            </w:tcBorders>
            <w:shd w:val="clear" w:color="auto" w:fill="FFFFFF"/>
          </w:tcPr>
          <w:p w14:paraId="5E68028F" w14:textId="77777777" w:rsidR="00CA27E3" w:rsidRPr="00D83000" w:rsidRDefault="00CA27E3" w:rsidP="00D83000">
            <w:pPr>
              <w:spacing w:after="120"/>
              <w:rPr>
                <w:rFonts w:ascii="Sylfaen" w:hAnsi="Sylfaen" w:cs="Sylfaen"/>
                <w:sz w:val="20"/>
                <w:szCs w:val="20"/>
              </w:rPr>
            </w:pPr>
          </w:p>
        </w:tc>
      </w:tr>
      <w:tr w:rsidR="00CA27E3" w:rsidRPr="00D83000" w14:paraId="25F0DFD3" w14:textId="77777777" w:rsidTr="005C1B3A">
        <w:trPr>
          <w:jc w:val="center"/>
        </w:trPr>
        <w:tc>
          <w:tcPr>
            <w:tcW w:w="3187" w:type="dxa"/>
            <w:gridSpan w:val="2"/>
            <w:tcBorders>
              <w:top w:val="single" w:sz="4" w:space="0" w:color="auto"/>
              <w:left w:val="single" w:sz="4" w:space="0" w:color="auto"/>
            </w:tcBorders>
            <w:shd w:val="clear" w:color="auto" w:fill="FFFFFF"/>
            <w:vAlign w:val="center"/>
          </w:tcPr>
          <w:p w14:paraId="7879C3F1"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Չորս խողովակ՝ մեկ հարթության մեջ, 2G10 լամպակոթ</w:t>
            </w:r>
            <w:r w:rsidRPr="00D83000" w:rsidDel="00903300">
              <w:rPr>
                <w:rFonts w:ascii="Sylfaen" w:hAnsi="Sylfaen"/>
                <w:sz w:val="20"/>
                <w:szCs w:val="20"/>
              </w:rPr>
              <w:t xml:space="preserve"> </w:t>
            </w:r>
            <w:r w:rsidRPr="00D83000">
              <w:rPr>
                <w:rFonts w:ascii="Sylfaen" w:hAnsi="Sylfaen"/>
                <w:sz w:val="20"/>
                <w:szCs w:val="20"/>
              </w:rPr>
              <w:t>(4 ցցիկ)</w:t>
            </w:r>
          </w:p>
        </w:tc>
        <w:tc>
          <w:tcPr>
            <w:tcW w:w="3111" w:type="dxa"/>
            <w:gridSpan w:val="2"/>
            <w:tcBorders>
              <w:top w:val="single" w:sz="4" w:space="0" w:color="auto"/>
              <w:left w:val="single" w:sz="4" w:space="0" w:color="auto"/>
            </w:tcBorders>
            <w:shd w:val="clear" w:color="auto" w:fill="FFFFFF"/>
            <w:vAlign w:val="center"/>
          </w:tcPr>
          <w:p w14:paraId="725EF5CD"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Մեկ զուգահեռ խողովակ, 2G11</w:t>
            </w:r>
            <w:r w:rsidR="005C1B3A" w:rsidRPr="005C1B3A">
              <w:rPr>
                <w:rFonts w:ascii="Sylfaen" w:hAnsi="Sylfaen"/>
                <w:sz w:val="20"/>
                <w:szCs w:val="20"/>
              </w:rPr>
              <w:t> </w:t>
            </w:r>
            <w:r w:rsidRPr="00D83000">
              <w:rPr>
                <w:rFonts w:ascii="Sylfaen" w:hAnsi="Sylfaen"/>
                <w:sz w:val="20"/>
                <w:szCs w:val="20"/>
              </w:rPr>
              <w:t>լամպակոթ (4 ցցիկ)</w:t>
            </w:r>
          </w:p>
        </w:tc>
        <w:tc>
          <w:tcPr>
            <w:tcW w:w="3183" w:type="dxa"/>
            <w:gridSpan w:val="2"/>
            <w:vMerge/>
            <w:tcBorders>
              <w:left w:val="single" w:sz="4" w:space="0" w:color="auto"/>
            </w:tcBorders>
            <w:shd w:val="clear" w:color="auto" w:fill="FFFFFF"/>
          </w:tcPr>
          <w:p w14:paraId="4008A00D" w14:textId="77777777" w:rsidR="00CA27E3" w:rsidRPr="00D83000" w:rsidRDefault="00CA27E3" w:rsidP="00D83000">
            <w:pPr>
              <w:spacing w:after="120"/>
              <w:rPr>
                <w:rFonts w:ascii="Sylfaen" w:hAnsi="Sylfaen" w:cs="Sylfaen"/>
                <w:sz w:val="20"/>
                <w:szCs w:val="20"/>
              </w:rPr>
            </w:pPr>
          </w:p>
        </w:tc>
      </w:tr>
      <w:tr w:rsidR="00CA27E3" w:rsidRPr="00D83000" w14:paraId="31184839" w14:textId="77777777" w:rsidTr="005C1B3A">
        <w:trPr>
          <w:jc w:val="center"/>
        </w:trPr>
        <w:tc>
          <w:tcPr>
            <w:tcW w:w="3187" w:type="dxa"/>
            <w:gridSpan w:val="2"/>
            <w:tcBorders>
              <w:top w:val="single" w:sz="4" w:space="0" w:color="auto"/>
              <w:left w:val="single" w:sz="4" w:space="0" w:color="auto"/>
            </w:tcBorders>
            <w:shd w:val="clear" w:color="auto" w:fill="FFFFFF"/>
            <w:vAlign w:val="bottom"/>
          </w:tcPr>
          <w:p w14:paraId="24C777F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eastAsia="Arial" w:hAnsi="Sylfaen" w:cs="Sylfaen"/>
                <w:noProof/>
                <w:sz w:val="20"/>
                <w:szCs w:val="20"/>
                <w:lang w:val="en-US" w:eastAsia="en-US" w:bidi="ar-SA"/>
              </w:rPr>
              <w:drawing>
                <wp:inline distT="0" distB="0" distL="0" distR="0" wp14:anchorId="300AF99E" wp14:editId="3016FE69">
                  <wp:extent cx="638175" cy="838200"/>
                  <wp:effectExtent l="19050" t="0" r="9525" b="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638175" cy="838200"/>
                          </a:xfrm>
                          <a:prstGeom prst="rect">
                            <a:avLst/>
                          </a:prstGeom>
                          <a:noFill/>
                          <a:ln w="9525">
                            <a:noFill/>
                            <a:miter lim="800000"/>
                            <a:headEnd/>
                            <a:tailEnd/>
                          </a:ln>
                        </pic:spPr>
                      </pic:pic>
                    </a:graphicData>
                  </a:graphic>
                </wp:inline>
              </w:drawing>
            </w:r>
          </w:p>
        </w:tc>
        <w:tc>
          <w:tcPr>
            <w:tcW w:w="1483" w:type="dxa"/>
            <w:tcBorders>
              <w:top w:val="single" w:sz="4" w:space="0" w:color="auto"/>
              <w:left w:val="single" w:sz="4" w:space="0" w:color="auto"/>
            </w:tcBorders>
            <w:shd w:val="clear" w:color="auto" w:fill="FFFFFF"/>
            <w:vAlign w:val="bottom"/>
          </w:tcPr>
          <w:p w14:paraId="1352488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7D2ADE14" wp14:editId="7096A098">
                  <wp:extent cx="333375" cy="800100"/>
                  <wp:effectExtent l="19050" t="0" r="9525" b="0"/>
                  <wp:docPr id="1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srcRect/>
                          <a:stretch>
                            <a:fillRect/>
                          </a:stretch>
                        </pic:blipFill>
                        <pic:spPr bwMode="auto">
                          <a:xfrm>
                            <a:off x="0" y="0"/>
                            <a:ext cx="333375" cy="800100"/>
                          </a:xfrm>
                          <a:prstGeom prst="rect">
                            <a:avLst/>
                          </a:prstGeom>
                          <a:noFill/>
                          <a:ln w="9525">
                            <a:noFill/>
                            <a:miter lim="800000"/>
                            <a:headEnd/>
                            <a:tailEnd/>
                          </a:ln>
                        </pic:spPr>
                      </pic:pic>
                    </a:graphicData>
                  </a:graphic>
                </wp:inline>
              </w:drawing>
            </w:r>
          </w:p>
        </w:tc>
        <w:tc>
          <w:tcPr>
            <w:tcW w:w="1628" w:type="dxa"/>
            <w:tcBorders>
              <w:top w:val="single" w:sz="4" w:space="0" w:color="auto"/>
              <w:left w:val="single" w:sz="4" w:space="0" w:color="auto"/>
            </w:tcBorders>
            <w:shd w:val="clear" w:color="auto" w:fill="FFFFFF"/>
            <w:vAlign w:val="bottom"/>
          </w:tcPr>
          <w:p w14:paraId="56B517F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5D9BE6D2" wp14:editId="40F2ED04">
                  <wp:extent cx="295275" cy="809625"/>
                  <wp:effectExtent l="19050" t="0" r="9525" b="0"/>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srcRect/>
                          <a:stretch>
                            <a:fillRect/>
                          </a:stretch>
                        </pic:blipFill>
                        <pic:spPr bwMode="auto">
                          <a:xfrm>
                            <a:off x="0" y="0"/>
                            <a:ext cx="295275" cy="809625"/>
                          </a:xfrm>
                          <a:prstGeom prst="rect">
                            <a:avLst/>
                          </a:prstGeom>
                          <a:noFill/>
                          <a:ln w="9525">
                            <a:noFill/>
                            <a:miter lim="800000"/>
                            <a:headEnd/>
                            <a:tailEnd/>
                          </a:ln>
                        </pic:spPr>
                      </pic:pic>
                    </a:graphicData>
                  </a:graphic>
                </wp:inline>
              </w:drawing>
            </w:r>
          </w:p>
        </w:tc>
        <w:tc>
          <w:tcPr>
            <w:tcW w:w="3183" w:type="dxa"/>
            <w:gridSpan w:val="2"/>
            <w:vMerge/>
            <w:tcBorders>
              <w:left w:val="single" w:sz="4" w:space="0" w:color="auto"/>
            </w:tcBorders>
            <w:shd w:val="clear" w:color="auto" w:fill="FFFFFF"/>
          </w:tcPr>
          <w:p w14:paraId="7C645B87" w14:textId="77777777" w:rsidR="00CA27E3" w:rsidRPr="00D83000" w:rsidRDefault="00CA27E3" w:rsidP="00D83000">
            <w:pPr>
              <w:spacing w:after="120"/>
              <w:rPr>
                <w:rFonts w:ascii="Sylfaen" w:hAnsi="Sylfaen" w:cs="Sylfaen"/>
                <w:sz w:val="20"/>
                <w:szCs w:val="20"/>
              </w:rPr>
            </w:pPr>
          </w:p>
        </w:tc>
      </w:tr>
      <w:tr w:rsidR="00CA27E3" w:rsidRPr="00D83000" w14:paraId="7F103439" w14:textId="77777777" w:rsidTr="005C1B3A">
        <w:trPr>
          <w:jc w:val="center"/>
        </w:trPr>
        <w:tc>
          <w:tcPr>
            <w:tcW w:w="1579" w:type="dxa"/>
            <w:tcBorders>
              <w:top w:val="single" w:sz="4" w:space="0" w:color="auto"/>
              <w:left w:val="single" w:sz="4" w:space="0" w:color="auto"/>
            </w:tcBorders>
            <w:shd w:val="clear" w:color="auto" w:fill="FFFFFF"/>
            <w:vAlign w:val="center"/>
          </w:tcPr>
          <w:p w14:paraId="0B97880E"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lastRenderedPageBreak/>
              <w:t>Անվանական հզորությունը, Վտ</w:t>
            </w:r>
          </w:p>
        </w:tc>
        <w:tc>
          <w:tcPr>
            <w:tcW w:w="1608" w:type="dxa"/>
            <w:tcBorders>
              <w:top w:val="single" w:sz="4" w:space="0" w:color="auto"/>
              <w:left w:val="single" w:sz="4" w:space="0" w:color="auto"/>
            </w:tcBorders>
            <w:shd w:val="clear" w:color="auto" w:fill="FFFFFF"/>
            <w:vAlign w:val="center"/>
          </w:tcPr>
          <w:p w14:paraId="4F4B304A"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w:t>
            </w:r>
            <w:r w:rsidR="005C1B3A" w:rsidRPr="005C1B3A">
              <w:rPr>
                <w:rFonts w:ascii="Sylfaen" w:hAnsi="Sylfaen"/>
                <w:sz w:val="20"/>
                <w:szCs w:val="20"/>
              </w:rPr>
              <w:t xml:space="preserve"> </w:t>
            </w:r>
            <w:r w:rsidRPr="00D83000">
              <w:rPr>
                <w:rFonts w:ascii="Sylfaen" w:hAnsi="Sylfaen"/>
                <w:sz w:val="20"/>
                <w:szCs w:val="20"/>
              </w:rPr>
              <w:t>100 ժ շահագործումից հետո</w:t>
            </w:r>
          </w:p>
        </w:tc>
        <w:tc>
          <w:tcPr>
            <w:tcW w:w="1483" w:type="dxa"/>
            <w:tcBorders>
              <w:top w:val="single" w:sz="4" w:space="0" w:color="auto"/>
              <w:left w:val="single" w:sz="4" w:space="0" w:color="auto"/>
            </w:tcBorders>
            <w:shd w:val="clear" w:color="auto" w:fill="FFFFFF"/>
            <w:vAlign w:val="center"/>
          </w:tcPr>
          <w:p w14:paraId="1288715C"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628" w:type="dxa"/>
            <w:tcBorders>
              <w:top w:val="single" w:sz="4" w:space="0" w:color="auto"/>
              <w:left w:val="single" w:sz="4" w:space="0" w:color="auto"/>
            </w:tcBorders>
            <w:shd w:val="clear" w:color="auto" w:fill="FFFFFF"/>
            <w:vAlign w:val="center"/>
          </w:tcPr>
          <w:p w14:paraId="17718E2C" w14:textId="77777777" w:rsidR="00CA27E3" w:rsidRPr="00D83000" w:rsidRDefault="00CA27E3" w:rsidP="005C1B3A">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w:t>
            </w:r>
            <w:r w:rsidR="005C1B3A" w:rsidRPr="005C1B3A">
              <w:rPr>
                <w:rFonts w:ascii="Sylfaen" w:hAnsi="Sylfaen"/>
                <w:sz w:val="20"/>
                <w:szCs w:val="20"/>
              </w:rPr>
              <w:t xml:space="preserve"> </w:t>
            </w:r>
            <w:r w:rsidRPr="00D83000">
              <w:rPr>
                <w:rFonts w:ascii="Sylfaen" w:hAnsi="Sylfaen"/>
                <w:sz w:val="20"/>
                <w:szCs w:val="20"/>
              </w:rPr>
              <w:t>100 ժ շահագործումից հետո</w:t>
            </w:r>
          </w:p>
        </w:tc>
        <w:tc>
          <w:tcPr>
            <w:tcW w:w="3183" w:type="dxa"/>
            <w:gridSpan w:val="2"/>
            <w:vMerge/>
            <w:tcBorders>
              <w:left w:val="single" w:sz="4" w:space="0" w:color="auto"/>
            </w:tcBorders>
            <w:shd w:val="clear" w:color="auto" w:fill="FFFFFF"/>
          </w:tcPr>
          <w:p w14:paraId="7A67E6DA" w14:textId="77777777" w:rsidR="00CA27E3" w:rsidRPr="00D83000" w:rsidRDefault="00CA27E3" w:rsidP="00D83000">
            <w:pPr>
              <w:spacing w:after="120"/>
              <w:rPr>
                <w:rFonts w:ascii="Sylfaen" w:hAnsi="Sylfaen" w:cs="Sylfaen"/>
                <w:sz w:val="20"/>
                <w:szCs w:val="20"/>
              </w:rPr>
            </w:pPr>
          </w:p>
        </w:tc>
      </w:tr>
      <w:tr w:rsidR="00CA27E3" w:rsidRPr="00D83000" w14:paraId="47DF15BB" w14:textId="77777777" w:rsidTr="005C1B3A">
        <w:trPr>
          <w:jc w:val="center"/>
        </w:trPr>
        <w:tc>
          <w:tcPr>
            <w:tcW w:w="1579" w:type="dxa"/>
            <w:tcBorders>
              <w:top w:val="single" w:sz="4" w:space="0" w:color="auto"/>
              <w:left w:val="single" w:sz="4" w:space="0" w:color="auto"/>
            </w:tcBorders>
            <w:shd w:val="clear" w:color="auto" w:fill="FFFFFF"/>
            <w:vAlign w:val="bottom"/>
          </w:tcPr>
          <w:p w14:paraId="2BB078CD" w14:textId="77777777" w:rsidR="00CA27E3" w:rsidRPr="00D83000" w:rsidRDefault="00CA27E3" w:rsidP="00D83000">
            <w:pPr>
              <w:pStyle w:val="a4"/>
              <w:shd w:val="clear" w:color="auto" w:fill="auto"/>
              <w:spacing w:after="120" w:line="240" w:lineRule="auto"/>
              <w:ind w:firstLine="660"/>
              <w:jc w:val="both"/>
              <w:rPr>
                <w:rFonts w:ascii="Sylfaen" w:hAnsi="Sylfaen" w:cs="Sylfaen"/>
                <w:sz w:val="20"/>
                <w:szCs w:val="20"/>
              </w:rPr>
            </w:pPr>
            <w:r w:rsidRPr="00D83000">
              <w:rPr>
                <w:rFonts w:ascii="Sylfaen" w:hAnsi="Sylfaen"/>
                <w:sz w:val="20"/>
                <w:szCs w:val="20"/>
              </w:rPr>
              <w:t>18</w:t>
            </w:r>
          </w:p>
        </w:tc>
        <w:tc>
          <w:tcPr>
            <w:tcW w:w="1608" w:type="dxa"/>
            <w:tcBorders>
              <w:top w:val="single" w:sz="4" w:space="0" w:color="auto"/>
              <w:left w:val="single" w:sz="4" w:space="0" w:color="auto"/>
            </w:tcBorders>
            <w:shd w:val="clear" w:color="auto" w:fill="FFFFFF"/>
            <w:vAlign w:val="bottom"/>
          </w:tcPr>
          <w:p w14:paraId="2C17215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61</w:t>
            </w:r>
          </w:p>
        </w:tc>
        <w:tc>
          <w:tcPr>
            <w:tcW w:w="1483" w:type="dxa"/>
            <w:tcBorders>
              <w:top w:val="single" w:sz="4" w:space="0" w:color="auto"/>
              <w:left w:val="single" w:sz="4" w:space="0" w:color="auto"/>
            </w:tcBorders>
            <w:shd w:val="clear" w:color="auto" w:fill="FFFFFF"/>
            <w:vAlign w:val="bottom"/>
          </w:tcPr>
          <w:p w14:paraId="0E662042" w14:textId="77777777" w:rsidR="00CA27E3" w:rsidRPr="00D83000" w:rsidRDefault="00CA27E3" w:rsidP="00D83000">
            <w:pPr>
              <w:pStyle w:val="a4"/>
              <w:shd w:val="clear" w:color="auto" w:fill="auto"/>
              <w:spacing w:after="120" w:line="240" w:lineRule="auto"/>
              <w:ind w:firstLine="600"/>
              <w:jc w:val="both"/>
              <w:rPr>
                <w:rFonts w:ascii="Sylfaen" w:hAnsi="Sylfaen" w:cs="Sylfaen"/>
                <w:sz w:val="20"/>
                <w:szCs w:val="20"/>
              </w:rPr>
            </w:pPr>
            <w:r w:rsidRPr="00D83000">
              <w:rPr>
                <w:rFonts w:ascii="Sylfaen" w:hAnsi="Sylfaen"/>
                <w:sz w:val="20"/>
                <w:szCs w:val="20"/>
              </w:rPr>
              <w:t>18</w:t>
            </w:r>
          </w:p>
        </w:tc>
        <w:tc>
          <w:tcPr>
            <w:tcW w:w="1628" w:type="dxa"/>
            <w:tcBorders>
              <w:top w:val="single" w:sz="4" w:space="0" w:color="auto"/>
              <w:left w:val="single" w:sz="4" w:space="0" w:color="auto"/>
            </w:tcBorders>
            <w:shd w:val="clear" w:color="auto" w:fill="FFFFFF"/>
            <w:vAlign w:val="center"/>
          </w:tcPr>
          <w:p w14:paraId="7EF032C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67</w:t>
            </w:r>
          </w:p>
        </w:tc>
        <w:tc>
          <w:tcPr>
            <w:tcW w:w="3183" w:type="dxa"/>
            <w:gridSpan w:val="2"/>
            <w:vMerge/>
            <w:tcBorders>
              <w:left w:val="single" w:sz="4" w:space="0" w:color="auto"/>
            </w:tcBorders>
            <w:shd w:val="clear" w:color="auto" w:fill="FFFFFF"/>
          </w:tcPr>
          <w:p w14:paraId="5FD9F6D4" w14:textId="77777777" w:rsidR="00CA27E3" w:rsidRPr="00D83000" w:rsidRDefault="00CA27E3" w:rsidP="00D83000">
            <w:pPr>
              <w:spacing w:after="120"/>
              <w:rPr>
                <w:rFonts w:ascii="Sylfaen" w:hAnsi="Sylfaen" w:cs="Sylfaen"/>
                <w:sz w:val="20"/>
                <w:szCs w:val="20"/>
              </w:rPr>
            </w:pPr>
          </w:p>
        </w:tc>
      </w:tr>
      <w:tr w:rsidR="00CA27E3" w:rsidRPr="00D83000" w14:paraId="5EBBDCE9" w14:textId="77777777" w:rsidTr="005C1B3A">
        <w:trPr>
          <w:jc w:val="center"/>
        </w:trPr>
        <w:tc>
          <w:tcPr>
            <w:tcW w:w="1579" w:type="dxa"/>
            <w:tcBorders>
              <w:top w:val="single" w:sz="4" w:space="0" w:color="auto"/>
              <w:left w:val="single" w:sz="4" w:space="0" w:color="auto"/>
            </w:tcBorders>
            <w:shd w:val="clear" w:color="auto" w:fill="FFFFFF"/>
          </w:tcPr>
          <w:p w14:paraId="5451844B" w14:textId="77777777" w:rsidR="00CA27E3" w:rsidRPr="00D83000" w:rsidRDefault="00CA27E3" w:rsidP="00D83000">
            <w:pPr>
              <w:pStyle w:val="a4"/>
              <w:shd w:val="clear" w:color="auto" w:fill="auto"/>
              <w:spacing w:after="120" w:line="240" w:lineRule="auto"/>
              <w:ind w:firstLine="660"/>
              <w:jc w:val="both"/>
              <w:rPr>
                <w:rFonts w:ascii="Sylfaen" w:hAnsi="Sylfaen" w:cs="Sylfaen"/>
                <w:sz w:val="20"/>
                <w:szCs w:val="20"/>
              </w:rPr>
            </w:pPr>
            <w:r w:rsidRPr="00D83000">
              <w:rPr>
                <w:rFonts w:ascii="Sylfaen" w:hAnsi="Sylfaen"/>
                <w:sz w:val="20"/>
                <w:szCs w:val="20"/>
              </w:rPr>
              <w:t>24</w:t>
            </w:r>
          </w:p>
        </w:tc>
        <w:tc>
          <w:tcPr>
            <w:tcW w:w="1608" w:type="dxa"/>
            <w:tcBorders>
              <w:top w:val="single" w:sz="4" w:space="0" w:color="auto"/>
              <w:left w:val="single" w:sz="4" w:space="0" w:color="auto"/>
            </w:tcBorders>
            <w:shd w:val="clear" w:color="auto" w:fill="FFFFFF"/>
          </w:tcPr>
          <w:p w14:paraId="564D178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71</w:t>
            </w:r>
          </w:p>
        </w:tc>
        <w:tc>
          <w:tcPr>
            <w:tcW w:w="1483" w:type="dxa"/>
            <w:tcBorders>
              <w:top w:val="single" w:sz="4" w:space="0" w:color="auto"/>
              <w:left w:val="single" w:sz="4" w:space="0" w:color="auto"/>
            </w:tcBorders>
            <w:shd w:val="clear" w:color="auto" w:fill="FFFFFF"/>
          </w:tcPr>
          <w:p w14:paraId="668C473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24</w:t>
            </w:r>
          </w:p>
        </w:tc>
        <w:tc>
          <w:tcPr>
            <w:tcW w:w="1628" w:type="dxa"/>
            <w:tcBorders>
              <w:top w:val="single" w:sz="4" w:space="0" w:color="auto"/>
              <w:left w:val="single" w:sz="4" w:space="0" w:color="auto"/>
            </w:tcBorders>
            <w:shd w:val="clear" w:color="auto" w:fill="FFFFFF"/>
          </w:tcPr>
          <w:p w14:paraId="2E94290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3" w:type="dxa"/>
            <w:gridSpan w:val="2"/>
            <w:vMerge/>
            <w:tcBorders>
              <w:left w:val="single" w:sz="4" w:space="0" w:color="auto"/>
            </w:tcBorders>
            <w:shd w:val="clear" w:color="auto" w:fill="FFFFFF"/>
          </w:tcPr>
          <w:p w14:paraId="04F5A4B1" w14:textId="77777777" w:rsidR="00CA27E3" w:rsidRPr="00D83000" w:rsidRDefault="00CA27E3" w:rsidP="00D83000">
            <w:pPr>
              <w:spacing w:after="120"/>
              <w:rPr>
                <w:rFonts w:ascii="Sylfaen" w:hAnsi="Sylfaen" w:cs="Sylfaen"/>
                <w:sz w:val="20"/>
                <w:szCs w:val="20"/>
              </w:rPr>
            </w:pPr>
          </w:p>
        </w:tc>
      </w:tr>
      <w:tr w:rsidR="00CA27E3" w:rsidRPr="00D83000" w14:paraId="1E214FC1" w14:textId="77777777" w:rsidTr="005C1B3A">
        <w:trPr>
          <w:jc w:val="center"/>
        </w:trPr>
        <w:tc>
          <w:tcPr>
            <w:tcW w:w="1579" w:type="dxa"/>
            <w:tcBorders>
              <w:top w:val="single" w:sz="4" w:space="0" w:color="auto"/>
              <w:left w:val="single" w:sz="4" w:space="0" w:color="auto"/>
            </w:tcBorders>
            <w:shd w:val="clear" w:color="auto" w:fill="FFFFFF"/>
            <w:vAlign w:val="bottom"/>
          </w:tcPr>
          <w:p w14:paraId="6816C2D7" w14:textId="77777777" w:rsidR="00CA27E3" w:rsidRPr="00D83000" w:rsidRDefault="00CA27E3" w:rsidP="00D83000">
            <w:pPr>
              <w:pStyle w:val="a4"/>
              <w:shd w:val="clear" w:color="auto" w:fill="auto"/>
              <w:spacing w:after="120" w:line="240" w:lineRule="auto"/>
              <w:ind w:firstLine="660"/>
              <w:jc w:val="both"/>
              <w:rPr>
                <w:rFonts w:ascii="Sylfaen" w:hAnsi="Sylfaen" w:cs="Sylfaen"/>
                <w:sz w:val="20"/>
                <w:szCs w:val="20"/>
              </w:rPr>
            </w:pPr>
            <w:r w:rsidRPr="00D83000">
              <w:rPr>
                <w:rFonts w:ascii="Sylfaen" w:hAnsi="Sylfaen"/>
                <w:sz w:val="20"/>
                <w:szCs w:val="20"/>
              </w:rPr>
              <w:t>36</w:t>
            </w:r>
          </w:p>
        </w:tc>
        <w:tc>
          <w:tcPr>
            <w:tcW w:w="1608" w:type="dxa"/>
            <w:tcBorders>
              <w:top w:val="single" w:sz="4" w:space="0" w:color="auto"/>
              <w:left w:val="single" w:sz="4" w:space="0" w:color="auto"/>
            </w:tcBorders>
            <w:shd w:val="clear" w:color="auto" w:fill="FFFFFF"/>
            <w:vAlign w:val="bottom"/>
          </w:tcPr>
          <w:p w14:paraId="4C3D970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78</w:t>
            </w:r>
          </w:p>
        </w:tc>
        <w:tc>
          <w:tcPr>
            <w:tcW w:w="1483" w:type="dxa"/>
            <w:tcBorders>
              <w:top w:val="single" w:sz="4" w:space="0" w:color="auto"/>
              <w:left w:val="single" w:sz="4" w:space="0" w:color="auto"/>
            </w:tcBorders>
            <w:shd w:val="clear" w:color="auto" w:fill="FFFFFF"/>
            <w:vAlign w:val="bottom"/>
          </w:tcPr>
          <w:p w14:paraId="71D8017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34</w:t>
            </w:r>
          </w:p>
        </w:tc>
        <w:tc>
          <w:tcPr>
            <w:tcW w:w="1628" w:type="dxa"/>
            <w:tcBorders>
              <w:top w:val="single" w:sz="4" w:space="0" w:color="auto"/>
              <w:left w:val="single" w:sz="4" w:space="0" w:color="auto"/>
            </w:tcBorders>
            <w:shd w:val="clear" w:color="auto" w:fill="FFFFFF"/>
            <w:vAlign w:val="bottom"/>
          </w:tcPr>
          <w:p w14:paraId="06BC4FB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82</w:t>
            </w:r>
          </w:p>
        </w:tc>
        <w:tc>
          <w:tcPr>
            <w:tcW w:w="3183" w:type="dxa"/>
            <w:gridSpan w:val="2"/>
            <w:vMerge/>
            <w:tcBorders>
              <w:left w:val="single" w:sz="4" w:space="0" w:color="auto"/>
            </w:tcBorders>
            <w:shd w:val="clear" w:color="auto" w:fill="FFFFFF"/>
          </w:tcPr>
          <w:p w14:paraId="014A656A" w14:textId="77777777" w:rsidR="00CA27E3" w:rsidRPr="00D83000" w:rsidRDefault="00CA27E3" w:rsidP="00D83000">
            <w:pPr>
              <w:spacing w:after="120"/>
              <w:rPr>
                <w:rFonts w:ascii="Sylfaen" w:hAnsi="Sylfaen" w:cs="Sylfaen"/>
                <w:sz w:val="20"/>
                <w:szCs w:val="20"/>
              </w:rPr>
            </w:pPr>
          </w:p>
        </w:tc>
      </w:tr>
      <w:tr w:rsidR="00CA27E3" w:rsidRPr="00D83000" w14:paraId="75B59C6C" w14:textId="77777777" w:rsidTr="005C1B3A">
        <w:trPr>
          <w:jc w:val="center"/>
        </w:trPr>
        <w:tc>
          <w:tcPr>
            <w:tcW w:w="3187" w:type="dxa"/>
            <w:gridSpan w:val="2"/>
            <w:tcBorders>
              <w:top w:val="single" w:sz="4" w:space="0" w:color="auto"/>
              <w:left w:val="single" w:sz="4" w:space="0" w:color="auto"/>
              <w:bottom w:val="single" w:sz="4" w:space="0" w:color="auto"/>
            </w:tcBorders>
            <w:shd w:val="clear" w:color="auto" w:fill="FFFFFF"/>
          </w:tcPr>
          <w:p w14:paraId="7EFD5416" w14:textId="77777777" w:rsidR="00CA27E3" w:rsidRPr="00D83000" w:rsidRDefault="00CA27E3" w:rsidP="00D83000">
            <w:pPr>
              <w:spacing w:after="120"/>
              <w:rPr>
                <w:rFonts w:ascii="Sylfaen" w:hAnsi="Sylfaen" w:cs="Sylfaen"/>
                <w:sz w:val="20"/>
                <w:szCs w:val="20"/>
              </w:rPr>
            </w:pPr>
          </w:p>
        </w:tc>
        <w:tc>
          <w:tcPr>
            <w:tcW w:w="1483" w:type="dxa"/>
            <w:tcBorders>
              <w:top w:val="single" w:sz="4" w:space="0" w:color="auto"/>
              <w:left w:val="single" w:sz="4" w:space="0" w:color="auto"/>
              <w:bottom w:val="single" w:sz="4" w:space="0" w:color="auto"/>
            </w:tcBorders>
            <w:shd w:val="clear" w:color="auto" w:fill="FFFFFF"/>
            <w:vAlign w:val="bottom"/>
          </w:tcPr>
          <w:p w14:paraId="578FC57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36</w:t>
            </w:r>
          </w:p>
        </w:tc>
        <w:tc>
          <w:tcPr>
            <w:tcW w:w="1628" w:type="dxa"/>
            <w:tcBorders>
              <w:top w:val="single" w:sz="4" w:space="0" w:color="auto"/>
              <w:left w:val="single" w:sz="4" w:space="0" w:color="auto"/>
              <w:bottom w:val="single" w:sz="4" w:space="0" w:color="auto"/>
            </w:tcBorders>
            <w:shd w:val="clear" w:color="auto" w:fill="FFFFFF"/>
            <w:vAlign w:val="bottom"/>
          </w:tcPr>
          <w:p w14:paraId="4196626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81</w:t>
            </w:r>
          </w:p>
        </w:tc>
        <w:tc>
          <w:tcPr>
            <w:tcW w:w="3183" w:type="dxa"/>
            <w:gridSpan w:val="2"/>
            <w:vMerge/>
            <w:tcBorders>
              <w:left w:val="single" w:sz="4" w:space="0" w:color="auto"/>
            </w:tcBorders>
            <w:shd w:val="clear" w:color="auto" w:fill="FFFFFF"/>
          </w:tcPr>
          <w:p w14:paraId="414B02C2" w14:textId="77777777" w:rsidR="00CA27E3" w:rsidRPr="00D83000" w:rsidRDefault="00CA27E3" w:rsidP="00D83000">
            <w:pPr>
              <w:spacing w:after="120"/>
              <w:rPr>
                <w:rFonts w:ascii="Sylfaen" w:hAnsi="Sylfaen" w:cs="Sylfaen"/>
                <w:sz w:val="20"/>
                <w:szCs w:val="20"/>
              </w:rPr>
            </w:pPr>
          </w:p>
        </w:tc>
      </w:tr>
    </w:tbl>
    <w:p w14:paraId="533ED42B" w14:textId="77777777" w:rsidR="005C1B3A" w:rsidRDefault="005C1B3A" w:rsidP="005C1B3A">
      <w:pPr>
        <w:pStyle w:val="a0"/>
        <w:shd w:val="clear" w:color="auto" w:fill="auto"/>
        <w:spacing w:after="160" w:line="336" w:lineRule="auto"/>
        <w:ind w:firstLine="567"/>
        <w:jc w:val="both"/>
        <w:rPr>
          <w:rFonts w:ascii="Sylfaen" w:hAnsi="Sylfaen"/>
          <w:sz w:val="24"/>
          <w:szCs w:val="24"/>
          <w:lang w:val="en-US"/>
        </w:rPr>
      </w:pPr>
    </w:p>
    <w:p w14:paraId="2C5E560E" w14:textId="77777777" w:rsidR="00CA27E3" w:rsidRPr="00CA27E3" w:rsidRDefault="00CA27E3" w:rsidP="005C1B3A">
      <w:pPr>
        <w:pStyle w:val="a0"/>
        <w:shd w:val="clear" w:color="auto" w:fill="auto"/>
        <w:spacing w:after="160" w:line="336" w:lineRule="auto"/>
        <w:ind w:firstLine="567"/>
        <w:jc w:val="both"/>
        <w:rPr>
          <w:rFonts w:ascii="Sylfaen" w:hAnsi="Sylfaen" w:cs="Sylfaen"/>
          <w:sz w:val="24"/>
          <w:szCs w:val="24"/>
        </w:rPr>
      </w:pPr>
      <w:r w:rsidRPr="00CA27E3">
        <w:rPr>
          <w:rFonts w:ascii="Sylfaen" w:hAnsi="Sylfaen"/>
          <w:sz w:val="24"/>
          <w:szCs w:val="24"/>
        </w:rPr>
        <w:t>Լմ/Վտ-ը հաշվարկելիս թույլատրվում է տասնորդական մասերի կլորացումը</w:t>
      </w:r>
      <w:r>
        <w:rPr>
          <w:rFonts w:ascii="Sylfaen" w:hAnsi="Sylfaen"/>
          <w:sz w:val="24"/>
          <w:szCs w:val="24"/>
        </w:rPr>
        <w:t xml:space="preserve"> </w:t>
      </w:r>
      <w:r w:rsidRPr="00CA27E3">
        <w:rPr>
          <w:rFonts w:ascii="Sylfaen" w:hAnsi="Sylfaen"/>
          <w:sz w:val="24"/>
          <w:szCs w:val="24"/>
        </w:rPr>
        <w:t>աճման ուղղությամբ։</w:t>
      </w:r>
    </w:p>
    <w:p w14:paraId="3A182829" w14:textId="77777777" w:rsidR="005C1B3A" w:rsidRPr="005C1B3A" w:rsidRDefault="005C1B3A" w:rsidP="005C1B3A">
      <w:pPr>
        <w:pStyle w:val="a0"/>
        <w:shd w:val="clear" w:color="auto" w:fill="auto"/>
        <w:spacing w:after="160" w:line="336" w:lineRule="auto"/>
        <w:ind w:firstLine="0"/>
        <w:jc w:val="right"/>
        <w:rPr>
          <w:rFonts w:ascii="Sylfaen" w:hAnsi="Sylfaen"/>
          <w:sz w:val="24"/>
          <w:szCs w:val="24"/>
        </w:rPr>
      </w:pPr>
    </w:p>
    <w:p w14:paraId="4BC974E6" w14:textId="77777777" w:rsidR="00CA27E3" w:rsidRPr="00CA27E3" w:rsidRDefault="00CA27E3" w:rsidP="005C1B3A">
      <w:pPr>
        <w:pStyle w:val="a0"/>
        <w:shd w:val="clear" w:color="auto" w:fill="auto"/>
        <w:spacing w:after="160" w:line="336" w:lineRule="auto"/>
        <w:ind w:firstLine="0"/>
        <w:jc w:val="right"/>
        <w:rPr>
          <w:rFonts w:ascii="Sylfaen" w:hAnsi="Sylfaen" w:cs="Sylfaen"/>
          <w:sz w:val="24"/>
          <w:szCs w:val="24"/>
        </w:rPr>
      </w:pPr>
      <w:r w:rsidRPr="00CA27E3">
        <w:rPr>
          <w:rFonts w:ascii="Sylfaen" w:hAnsi="Sylfaen"/>
          <w:sz w:val="24"/>
          <w:szCs w:val="24"/>
        </w:rPr>
        <w:t>Աղյուսակ 3</w:t>
      </w:r>
    </w:p>
    <w:p w14:paraId="0A968AC0" w14:textId="77777777" w:rsidR="00CA27E3" w:rsidRPr="00CA27E3" w:rsidRDefault="00CA27E3" w:rsidP="005C1B3A">
      <w:pPr>
        <w:pStyle w:val="a0"/>
        <w:shd w:val="clear" w:color="auto" w:fill="auto"/>
        <w:spacing w:after="160" w:line="336" w:lineRule="auto"/>
        <w:ind w:left="567" w:right="566" w:firstLine="0"/>
        <w:jc w:val="center"/>
        <w:rPr>
          <w:rFonts w:ascii="Sylfaen" w:hAnsi="Sylfaen" w:cs="Sylfaen"/>
          <w:sz w:val="24"/>
          <w:szCs w:val="24"/>
        </w:rPr>
      </w:pPr>
      <w:r w:rsidRPr="00CA27E3">
        <w:rPr>
          <w:rFonts w:ascii="Sylfaen" w:hAnsi="Sylfaen"/>
          <w:sz w:val="24"/>
          <w:szCs w:val="24"/>
        </w:rPr>
        <w:t>Միայն էլեկտրոնային՝ գործարկումը կարգավորող ապարատով աշխատող՝ մեկ լամպակոթով լյումինեսցենտային լամպերի լուսատացքի հաշվարկային արժեքները</w:t>
      </w:r>
    </w:p>
    <w:tbl>
      <w:tblPr>
        <w:tblOverlap w:val="never"/>
        <w:tblW w:w="9389" w:type="dxa"/>
        <w:tblLayout w:type="fixed"/>
        <w:tblCellMar>
          <w:left w:w="10" w:type="dxa"/>
          <w:right w:w="10" w:type="dxa"/>
        </w:tblCellMar>
        <w:tblLook w:val="0000" w:firstRow="0" w:lastRow="0" w:firstColumn="0" w:lastColumn="0" w:noHBand="0" w:noVBand="0"/>
      </w:tblPr>
      <w:tblGrid>
        <w:gridCol w:w="1480"/>
        <w:gridCol w:w="1640"/>
        <w:gridCol w:w="1482"/>
        <w:gridCol w:w="1638"/>
        <w:gridCol w:w="1511"/>
        <w:gridCol w:w="1638"/>
      </w:tblGrid>
      <w:tr w:rsidR="00CA27E3" w:rsidRPr="00D83000" w14:paraId="06958D53" w14:textId="77777777" w:rsidTr="005C1B3A">
        <w:tc>
          <w:tcPr>
            <w:tcW w:w="3120" w:type="dxa"/>
            <w:gridSpan w:val="2"/>
            <w:tcBorders>
              <w:top w:val="single" w:sz="4" w:space="0" w:color="auto"/>
              <w:left w:val="single" w:sz="4" w:space="0" w:color="auto"/>
            </w:tcBorders>
            <w:shd w:val="clear" w:color="auto" w:fill="FFFFFF"/>
            <w:vAlign w:val="center"/>
          </w:tcPr>
          <w:p w14:paraId="4C55B081" w14:textId="77777777" w:rsidR="00CA27E3" w:rsidRPr="00D83000" w:rsidRDefault="00CA27E3" w:rsidP="005C50BB">
            <w:pPr>
              <w:pStyle w:val="a4"/>
              <w:shd w:val="clear" w:color="auto" w:fill="auto"/>
              <w:spacing w:after="120" w:line="240" w:lineRule="auto"/>
              <w:ind w:right="123" w:firstLine="0"/>
              <w:jc w:val="center"/>
              <w:rPr>
                <w:rFonts w:ascii="Sylfaen" w:hAnsi="Sylfaen" w:cs="Sylfaen"/>
                <w:sz w:val="20"/>
                <w:szCs w:val="20"/>
              </w:rPr>
            </w:pPr>
            <w:r w:rsidRPr="00D83000">
              <w:rPr>
                <w:rFonts w:ascii="Sylfaen" w:hAnsi="Sylfaen"/>
                <w:sz w:val="20"/>
                <w:szCs w:val="20"/>
              </w:rPr>
              <w:t>Երեք զուգահեռ խողովակ, GX24q լամպակոթ</w:t>
            </w:r>
            <w:r w:rsidRPr="00D83000" w:rsidDel="00903300">
              <w:rPr>
                <w:rFonts w:ascii="Sylfaen" w:hAnsi="Sylfaen"/>
                <w:sz w:val="20"/>
                <w:szCs w:val="20"/>
              </w:rPr>
              <w:t xml:space="preserve"> </w:t>
            </w:r>
            <w:r w:rsidRPr="00D83000">
              <w:rPr>
                <w:rFonts w:ascii="Sylfaen" w:hAnsi="Sylfaen"/>
                <w:sz w:val="20"/>
                <w:szCs w:val="20"/>
              </w:rPr>
              <w:t>(4 ցցիկ)</w:t>
            </w:r>
          </w:p>
        </w:tc>
        <w:tc>
          <w:tcPr>
            <w:tcW w:w="3120" w:type="dxa"/>
            <w:gridSpan w:val="2"/>
            <w:tcBorders>
              <w:top w:val="single" w:sz="4" w:space="0" w:color="auto"/>
              <w:left w:val="single" w:sz="4" w:space="0" w:color="auto"/>
            </w:tcBorders>
            <w:shd w:val="clear" w:color="auto" w:fill="FFFFFF"/>
            <w:vAlign w:val="bottom"/>
          </w:tcPr>
          <w:p w14:paraId="0E612D04" w14:textId="77777777" w:rsidR="00CA27E3" w:rsidRPr="00D83000" w:rsidRDefault="00CA27E3" w:rsidP="005C50BB">
            <w:pPr>
              <w:pStyle w:val="a4"/>
              <w:shd w:val="clear" w:color="auto" w:fill="auto"/>
              <w:spacing w:after="120" w:line="240" w:lineRule="auto"/>
              <w:ind w:right="123" w:firstLine="0"/>
              <w:jc w:val="center"/>
              <w:rPr>
                <w:rFonts w:ascii="Sylfaen" w:hAnsi="Sylfaen" w:cs="Sylfaen"/>
                <w:sz w:val="20"/>
                <w:szCs w:val="20"/>
              </w:rPr>
            </w:pPr>
            <w:r w:rsidRPr="00D83000">
              <w:rPr>
                <w:rFonts w:ascii="Sylfaen" w:hAnsi="Sylfaen"/>
                <w:sz w:val="20"/>
                <w:szCs w:val="20"/>
              </w:rPr>
              <w:t>Չորս զուգահեռ խողովակ, GX24q լամպակոթ (4 ցիկ)</w:t>
            </w:r>
          </w:p>
        </w:tc>
        <w:tc>
          <w:tcPr>
            <w:tcW w:w="3149" w:type="dxa"/>
            <w:gridSpan w:val="2"/>
            <w:tcBorders>
              <w:top w:val="single" w:sz="4" w:space="0" w:color="auto"/>
              <w:left w:val="single" w:sz="4" w:space="0" w:color="auto"/>
              <w:right w:val="single" w:sz="4" w:space="0" w:color="auto"/>
            </w:tcBorders>
            <w:shd w:val="clear" w:color="auto" w:fill="FFFFFF"/>
            <w:vAlign w:val="bottom"/>
          </w:tcPr>
          <w:p w14:paraId="4108B85D" w14:textId="77777777" w:rsidR="00CA27E3" w:rsidRPr="00D83000" w:rsidRDefault="00CA27E3" w:rsidP="005C1B3A">
            <w:pPr>
              <w:pStyle w:val="a4"/>
              <w:shd w:val="clear" w:color="auto" w:fill="auto"/>
              <w:spacing w:after="120" w:line="240" w:lineRule="auto"/>
              <w:ind w:right="123" w:firstLine="0"/>
              <w:jc w:val="center"/>
              <w:rPr>
                <w:rFonts w:ascii="Sylfaen" w:hAnsi="Sylfaen" w:cs="Sylfaen"/>
                <w:sz w:val="20"/>
                <w:szCs w:val="20"/>
              </w:rPr>
            </w:pPr>
            <w:r w:rsidRPr="00D83000">
              <w:rPr>
                <w:rFonts w:ascii="Sylfaen" w:hAnsi="Sylfaen"/>
                <w:sz w:val="20"/>
                <w:szCs w:val="20"/>
              </w:rPr>
              <w:t>Մեկ զուգահեռ խողովակ, 2G11</w:t>
            </w:r>
            <w:r w:rsidR="005C1B3A" w:rsidRPr="005C1B3A">
              <w:rPr>
                <w:rFonts w:ascii="Sylfaen" w:hAnsi="Sylfaen"/>
                <w:sz w:val="20"/>
                <w:szCs w:val="20"/>
              </w:rPr>
              <w:t> </w:t>
            </w:r>
            <w:r w:rsidRPr="00D83000">
              <w:rPr>
                <w:rFonts w:ascii="Sylfaen" w:hAnsi="Sylfaen"/>
                <w:sz w:val="20"/>
                <w:szCs w:val="20"/>
              </w:rPr>
              <w:t>լամպակոթ (4 ցցիկ)</w:t>
            </w:r>
          </w:p>
        </w:tc>
      </w:tr>
      <w:tr w:rsidR="00CA27E3" w:rsidRPr="00D83000" w14:paraId="2F16225B" w14:textId="77777777" w:rsidTr="005C1B3A">
        <w:tc>
          <w:tcPr>
            <w:tcW w:w="3120" w:type="dxa"/>
            <w:gridSpan w:val="2"/>
            <w:tcBorders>
              <w:top w:val="single" w:sz="4" w:space="0" w:color="auto"/>
              <w:left w:val="single" w:sz="4" w:space="0" w:color="auto"/>
            </w:tcBorders>
            <w:shd w:val="clear" w:color="auto" w:fill="FFFFFF"/>
            <w:vAlign w:val="bottom"/>
          </w:tcPr>
          <w:p w14:paraId="325B4BD8"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427B8D6B" wp14:editId="18ED08FB">
                  <wp:extent cx="752475" cy="1047750"/>
                  <wp:effectExtent l="19050" t="0" r="9525" b="0"/>
                  <wp:docPr id="1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srcRect/>
                          <a:stretch>
                            <a:fillRect/>
                          </a:stretch>
                        </pic:blipFill>
                        <pic:spPr bwMode="auto">
                          <a:xfrm>
                            <a:off x="0" y="0"/>
                            <a:ext cx="752475" cy="1047750"/>
                          </a:xfrm>
                          <a:prstGeom prst="rect">
                            <a:avLst/>
                          </a:prstGeom>
                          <a:noFill/>
                          <a:ln w="9525">
                            <a:noFill/>
                            <a:miter lim="800000"/>
                            <a:headEnd/>
                            <a:tailEnd/>
                          </a:ln>
                        </pic:spPr>
                      </pic:pic>
                    </a:graphicData>
                  </a:graphic>
                </wp:inline>
              </w:drawing>
            </w:r>
          </w:p>
        </w:tc>
        <w:tc>
          <w:tcPr>
            <w:tcW w:w="3120" w:type="dxa"/>
            <w:gridSpan w:val="2"/>
            <w:tcBorders>
              <w:top w:val="single" w:sz="4" w:space="0" w:color="auto"/>
              <w:left w:val="single" w:sz="4" w:space="0" w:color="auto"/>
            </w:tcBorders>
            <w:shd w:val="clear" w:color="auto" w:fill="FFFFFF"/>
          </w:tcPr>
          <w:p w14:paraId="73797B20"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587E471F" wp14:editId="7F7B441A">
                  <wp:extent cx="485775" cy="1171575"/>
                  <wp:effectExtent l="19050" t="0" r="9525" b="0"/>
                  <wp:docPr id="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srcRect/>
                          <a:stretch>
                            <a:fillRect/>
                          </a:stretch>
                        </pic:blipFill>
                        <pic:spPr bwMode="auto">
                          <a:xfrm>
                            <a:off x="0" y="0"/>
                            <a:ext cx="485775" cy="1171575"/>
                          </a:xfrm>
                          <a:prstGeom prst="rect">
                            <a:avLst/>
                          </a:prstGeom>
                          <a:noFill/>
                          <a:ln w="9525">
                            <a:noFill/>
                            <a:miter lim="800000"/>
                            <a:headEnd/>
                            <a:tailEnd/>
                          </a:ln>
                        </pic:spPr>
                      </pic:pic>
                    </a:graphicData>
                  </a:graphic>
                </wp:inline>
              </w:drawing>
            </w:r>
          </w:p>
        </w:tc>
        <w:tc>
          <w:tcPr>
            <w:tcW w:w="1511" w:type="dxa"/>
            <w:tcBorders>
              <w:top w:val="single" w:sz="4" w:space="0" w:color="auto"/>
              <w:left w:val="single" w:sz="4" w:space="0" w:color="auto"/>
            </w:tcBorders>
            <w:shd w:val="clear" w:color="auto" w:fill="FFFFFF"/>
            <w:vAlign w:val="bottom"/>
          </w:tcPr>
          <w:p w14:paraId="16757CC7"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36F0A377" wp14:editId="48BBD62F">
                  <wp:extent cx="295275" cy="885825"/>
                  <wp:effectExtent l="19050" t="0" r="9525"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295275" cy="885825"/>
                          </a:xfrm>
                          <a:prstGeom prst="rect">
                            <a:avLst/>
                          </a:prstGeom>
                          <a:noFill/>
                          <a:ln w="9525">
                            <a:noFill/>
                            <a:miter lim="800000"/>
                            <a:headEnd/>
                            <a:tailEnd/>
                          </a:ln>
                        </pic:spPr>
                      </pic:pic>
                    </a:graphicData>
                  </a:graphic>
                </wp:inline>
              </w:drawing>
            </w:r>
          </w:p>
        </w:tc>
        <w:tc>
          <w:tcPr>
            <w:tcW w:w="1638" w:type="dxa"/>
            <w:tcBorders>
              <w:top w:val="single" w:sz="4" w:space="0" w:color="auto"/>
              <w:left w:val="single" w:sz="4" w:space="0" w:color="auto"/>
              <w:right w:val="single" w:sz="4" w:space="0" w:color="auto"/>
            </w:tcBorders>
            <w:shd w:val="clear" w:color="auto" w:fill="FFFFFF"/>
            <w:vAlign w:val="bottom"/>
          </w:tcPr>
          <w:p w14:paraId="3440A567" w14:textId="77777777" w:rsidR="00CA27E3" w:rsidRPr="00D83000" w:rsidRDefault="00CA27E3" w:rsidP="00D83000">
            <w:pPr>
              <w:spacing w:after="12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6914ADA0" wp14:editId="5955CA2F">
                  <wp:extent cx="371475" cy="914400"/>
                  <wp:effectExtent l="19050" t="0" r="9525"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371475" cy="914400"/>
                          </a:xfrm>
                          <a:prstGeom prst="rect">
                            <a:avLst/>
                          </a:prstGeom>
                          <a:noFill/>
                          <a:ln w="9525">
                            <a:noFill/>
                            <a:miter lim="800000"/>
                            <a:headEnd/>
                            <a:tailEnd/>
                          </a:ln>
                        </pic:spPr>
                      </pic:pic>
                    </a:graphicData>
                  </a:graphic>
                </wp:inline>
              </w:drawing>
            </w:r>
          </w:p>
        </w:tc>
      </w:tr>
      <w:tr w:rsidR="00CA27E3" w:rsidRPr="00D83000" w14:paraId="4A768716" w14:textId="77777777" w:rsidTr="005C1B3A">
        <w:tc>
          <w:tcPr>
            <w:tcW w:w="1480" w:type="dxa"/>
            <w:tcBorders>
              <w:top w:val="single" w:sz="4" w:space="0" w:color="auto"/>
              <w:left w:val="single" w:sz="4" w:space="0" w:color="auto"/>
            </w:tcBorders>
            <w:shd w:val="clear" w:color="auto" w:fill="FFFFFF"/>
            <w:vAlign w:val="center"/>
          </w:tcPr>
          <w:p w14:paraId="7F30D0E6"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640" w:type="dxa"/>
            <w:tcBorders>
              <w:top w:val="single" w:sz="4" w:space="0" w:color="auto"/>
              <w:left w:val="single" w:sz="4" w:space="0" w:color="auto"/>
            </w:tcBorders>
            <w:shd w:val="clear" w:color="auto" w:fill="FFFFFF"/>
            <w:vAlign w:val="center"/>
          </w:tcPr>
          <w:p w14:paraId="0ECB1193"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w:t>
            </w:r>
            <w:r w:rsidR="005C1B3A" w:rsidRPr="005C1B3A">
              <w:rPr>
                <w:rFonts w:ascii="Sylfaen" w:hAnsi="Sylfaen"/>
                <w:sz w:val="20"/>
                <w:szCs w:val="20"/>
              </w:rPr>
              <w:t xml:space="preserve"> </w:t>
            </w:r>
            <w:r w:rsidRPr="00D83000">
              <w:rPr>
                <w:rFonts w:ascii="Sylfaen" w:hAnsi="Sylfaen"/>
                <w:sz w:val="20"/>
                <w:szCs w:val="20"/>
              </w:rPr>
              <w:t>100 ժ շահագործումից հետո</w:t>
            </w:r>
          </w:p>
        </w:tc>
        <w:tc>
          <w:tcPr>
            <w:tcW w:w="1482" w:type="dxa"/>
            <w:tcBorders>
              <w:top w:val="single" w:sz="4" w:space="0" w:color="auto"/>
              <w:left w:val="single" w:sz="4" w:space="0" w:color="auto"/>
            </w:tcBorders>
            <w:shd w:val="clear" w:color="auto" w:fill="FFFFFF"/>
            <w:vAlign w:val="center"/>
          </w:tcPr>
          <w:p w14:paraId="1F6DFE5C"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638" w:type="dxa"/>
            <w:tcBorders>
              <w:top w:val="single" w:sz="4" w:space="0" w:color="auto"/>
              <w:left w:val="single" w:sz="4" w:space="0" w:color="auto"/>
            </w:tcBorders>
            <w:shd w:val="clear" w:color="auto" w:fill="FFFFFF"/>
            <w:vAlign w:val="center"/>
          </w:tcPr>
          <w:p w14:paraId="59C3CD9C"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w:t>
            </w:r>
            <w:r w:rsidR="005C1B3A" w:rsidRPr="005C1B3A">
              <w:rPr>
                <w:rFonts w:ascii="Sylfaen" w:hAnsi="Sylfaen"/>
                <w:sz w:val="20"/>
                <w:szCs w:val="20"/>
              </w:rPr>
              <w:t xml:space="preserve"> </w:t>
            </w:r>
            <w:r w:rsidRPr="00D83000">
              <w:rPr>
                <w:rFonts w:ascii="Sylfaen" w:hAnsi="Sylfaen"/>
                <w:sz w:val="20"/>
                <w:szCs w:val="20"/>
              </w:rPr>
              <w:t>100 ժ շահագործումից հետո</w:t>
            </w:r>
          </w:p>
        </w:tc>
        <w:tc>
          <w:tcPr>
            <w:tcW w:w="1511" w:type="dxa"/>
            <w:tcBorders>
              <w:top w:val="single" w:sz="4" w:space="0" w:color="auto"/>
              <w:left w:val="single" w:sz="4" w:space="0" w:color="auto"/>
            </w:tcBorders>
            <w:shd w:val="clear" w:color="auto" w:fill="FFFFFF"/>
            <w:vAlign w:val="center"/>
          </w:tcPr>
          <w:p w14:paraId="47B3D0BC"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1638" w:type="dxa"/>
            <w:tcBorders>
              <w:top w:val="single" w:sz="4" w:space="0" w:color="auto"/>
              <w:left w:val="single" w:sz="4" w:space="0" w:color="auto"/>
              <w:right w:val="single" w:sz="4" w:space="0" w:color="auto"/>
            </w:tcBorders>
            <w:shd w:val="clear" w:color="auto" w:fill="FFFFFF"/>
            <w:vAlign w:val="center"/>
          </w:tcPr>
          <w:p w14:paraId="585B87D3"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w:t>
            </w:r>
            <w:r w:rsidR="005C1B3A" w:rsidRPr="005C1B3A">
              <w:rPr>
                <w:rFonts w:ascii="Sylfaen" w:hAnsi="Sylfaen"/>
                <w:sz w:val="20"/>
                <w:szCs w:val="20"/>
              </w:rPr>
              <w:t xml:space="preserve"> </w:t>
            </w:r>
            <w:r w:rsidRPr="00D83000">
              <w:rPr>
                <w:rFonts w:ascii="Sylfaen" w:hAnsi="Sylfaen"/>
                <w:sz w:val="20"/>
                <w:szCs w:val="20"/>
              </w:rPr>
              <w:t>100 ժ շահագործումից հետո</w:t>
            </w:r>
          </w:p>
        </w:tc>
      </w:tr>
      <w:tr w:rsidR="00CA27E3" w:rsidRPr="00D83000" w14:paraId="082D450E" w14:textId="77777777" w:rsidTr="005C1B3A">
        <w:tc>
          <w:tcPr>
            <w:tcW w:w="1480" w:type="dxa"/>
            <w:tcBorders>
              <w:top w:val="single" w:sz="4" w:space="0" w:color="auto"/>
              <w:left w:val="single" w:sz="4" w:space="0" w:color="auto"/>
            </w:tcBorders>
            <w:shd w:val="clear" w:color="auto" w:fill="FFFFFF"/>
          </w:tcPr>
          <w:p w14:paraId="4029443D"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32</w:t>
            </w:r>
          </w:p>
        </w:tc>
        <w:tc>
          <w:tcPr>
            <w:tcW w:w="1640" w:type="dxa"/>
            <w:tcBorders>
              <w:top w:val="single" w:sz="4" w:space="0" w:color="auto"/>
              <w:left w:val="single" w:sz="4" w:space="0" w:color="auto"/>
            </w:tcBorders>
            <w:shd w:val="clear" w:color="auto" w:fill="FFFFFF"/>
          </w:tcPr>
          <w:p w14:paraId="0A2BAB8F"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75</w:t>
            </w:r>
          </w:p>
        </w:tc>
        <w:tc>
          <w:tcPr>
            <w:tcW w:w="1482" w:type="dxa"/>
            <w:tcBorders>
              <w:top w:val="single" w:sz="4" w:space="0" w:color="auto"/>
              <w:left w:val="single" w:sz="4" w:space="0" w:color="auto"/>
            </w:tcBorders>
            <w:shd w:val="clear" w:color="auto" w:fill="FFFFFF"/>
          </w:tcPr>
          <w:p w14:paraId="486146CB"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57</w:t>
            </w:r>
          </w:p>
        </w:tc>
        <w:tc>
          <w:tcPr>
            <w:tcW w:w="1638" w:type="dxa"/>
            <w:tcBorders>
              <w:top w:val="single" w:sz="4" w:space="0" w:color="auto"/>
              <w:left w:val="single" w:sz="4" w:space="0" w:color="auto"/>
            </w:tcBorders>
            <w:shd w:val="clear" w:color="auto" w:fill="FFFFFF"/>
          </w:tcPr>
          <w:p w14:paraId="56E5BC47"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75</w:t>
            </w:r>
          </w:p>
        </w:tc>
        <w:tc>
          <w:tcPr>
            <w:tcW w:w="1511" w:type="dxa"/>
            <w:tcBorders>
              <w:top w:val="single" w:sz="4" w:space="0" w:color="auto"/>
              <w:left w:val="single" w:sz="4" w:space="0" w:color="auto"/>
            </w:tcBorders>
            <w:shd w:val="clear" w:color="auto" w:fill="FFFFFF"/>
          </w:tcPr>
          <w:p w14:paraId="4674C42A"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40</w:t>
            </w:r>
          </w:p>
        </w:tc>
        <w:tc>
          <w:tcPr>
            <w:tcW w:w="1638" w:type="dxa"/>
            <w:tcBorders>
              <w:top w:val="single" w:sz="4" w:space="0" w:color="auto"/>
              <w:left w:val="single" w:sz="4" w:space="0" w:color="auto"/>
              <w:right w:val="single" w:sz="4" w:space="0" w:color="auto"/>
            </w:tcBorders>
            <w:shd w:val="clear" w:color="auto" w:fill="FFFFFF"/>
          </w:tcPr>
          <w:p w14:paraId="089646F8"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83</w:t>
            </w:r>
          </w:p>
        </w:tc>
      </w:tr>
      <w:tr w:rsidR="00CA27E3" w:rsidRPr="00D83000" w14:paraId="2BF1FA47" w14:textId="77777777" w:rsidTr="005C1B3A">
        <w:tc>
          <w:tcPr>
            <w:tcW w:w="1480" w:type="dxa"/>
            <w:tcBorders>
              <w:top w:val="single" w:sz="4" w:space="0" w:color="auto"/>
              <w:left w:val="single" w:sz="4" w:space="0" w:color="auto"/>
            </w:tcBorders>
            <w:shd w:val="clear" w:color="auto" w:fill="FFFFFF"/>
            <w:vAlign w:val="bottom"/>
          </w:tcPr>
          <w:p w14:paraId="4BBEDCF6"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42</w:t>
            </w:r>
          </w:p>
        </w:tc>
        <w:tc>
          <w:tcPr>
            <w:tcW w:w="1640" w:type="dxa"/>
            <w:tcBorders>
              <w:top w:val="single" w:sz="4" w:space="0" w:color="auto"/>
              <w:left w:val="single" w:sz="4" w:space="0" w:color="auto"/>
            </w:tcBorders>
            <w:shd w:val="clear" w:color="auto" w:fill="FFFFFF"/>
            <w:vAlign w:val="bottom"/>
          </w:tcPr>
          <w:p w14:paraId="742FB004"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74</w:t>
            </w:r>
          </w:p>
        </w:tc>
        <w:tc>
          <w:tcPr>
            <w:tcW w:w="1482" w:type="dxa"/>
            <w:tcBorders>
              <w:top w:val="single" w:sz="4" w:space="0" w:color="auto"/>
              <w:left w:val="single" w:sz="4" w:space="0" w:color="auto"/>
            </w:tcBorders>
            <w:shd w:val="clear" w:color="auto" w:fill="FFFFFF"/>
            <w:vAlign w:val="bottom"/>
          </w:tcPr>
          <w:p w14:paraId="648083CF"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70</w:t>
            </w:r>
          </w:p>
        </w:tc>
        <w:tc>
          <w:tcPr>
            <w:tcW w:w="1638" w:type="dxa"/>
            <w:tcBorders>
              <w:top w:val="single" w:sz="4" w:space="0" w:color="auto"/>
              <w:left w:val="single" w:sz="4" w:space="0" w:color="auto"/>
            </w:tcBorders>
            <w:shd w:val="clear" w:color="auto" w:fill="FFFFFF"/>
            <w:vAlign w:val="bottom"/>
          </w:tcPr>
          <w:p w14:paraId="314D8DDE"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74</w:t>
            </w:r>
          </w:p>
        </w:tc>
        <w:tc>
          <w:tcPr>
            <w:tcW w:w="1511" w:type="dxa"/>
            <w:tcBorders>
              <w:top w:val="single" w:sz="4" w:space="0" w:color="auto"/>
              <w:left w:val="single" w:sz="4" w:space="0" w:color="auto"/>
            </w:tcBorders>
            <w:shd w:val="clear" w:color="auto" w:fill="FFFFFF"/>
            <w:vAlign w:val="bottom"/>
          </w:tcPr>
          <w:p w14:paraId="0748462F"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55</w:t>
            </w:r>
          </w:p>
        </w:tc>
        <w:tc>
          <w:tcPr>
            <w:tcW w:w="1638" w:type="dxa"/>
            <w:tcBorders>
              <w:top w:val="single" w:sz="4" w:space="0" w:color="auto"/>
              <w:left w:val="single" w:sz="4" w:space="0" w:color="auto"/>
              <w:right w:val="single" w:sz="4" w:space="0" w:color="auto"/>
            </w:tcBorders>
            <w:shd w:val="clear" w:color="auto" w:fill="FFFFFF"/>
            <w:vAlign w:val="bottom"/>
          </w:tcPr>
          <w:p w14:paraId="7AB925F4"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82</w:t>
            </w:r>
          </w:p>
        </w:tc>
      </w:tr>
      <w:tr w:rsidR="00CA27E3" w:rsidRPr="00D83000" w14:paraId="6A24C5B8" w14:textId="77777777" w:rsidTr="005C1B3A">
        <w:tc>
          <w:tcPr>
            <w:tcW w:w="1480" w:type="dxa"/>
            <w:tcBorders>
              <w:top w:val="single" w:sz="4" w:space="0" w:color="auto"/>
              <w:left w:val="single" w:sz="4" w:space="0" w:color="auto"/>
            </w:tcBorders>
            <w:shd w:val="clear" w:color="auto" w:fill="FFFFFF"/>
            <w:vAlign w:val="bottom"/>
          </w:tcPr>
          <w:p w14:paraId="7D1B3A59"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57</w:t>
            </w:r>
          </w:p>
        </w:tc>
        <w:tc>
          <w:tcPr>
            <w:tcW w:w="1640" w:type="dxa"/>
            <w:tcBorders>
              <w:top w:val="single" w:sz="4" w:space="0" w:color="auto"/>
              <w:left w:val="single" w:sz="4" w:space="0" w:color="auto"/>
            </w:tcBorders>
            <w:shd w:val="clear" w:color="auto" w:fill="FFFFFF"/>
            <w:vAlign w:val="bottom"/>
          </w:tcPr>
          <w:p w14:paraId="189A7041"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75</w:t>
            </w:r>
          </w:p>
        </w:tc>
        <w:tc>
          <w:tcPr>
            <w:tcW w:w="1482" w:type="dxa"/>
            <w:tcBorders>
              <w:top w:val="single" w:sz="4" w:space="0" w:color="auto"/>
              <w:left w:val="single" w:sz="4" w:space="0" w:color="auto"/>
            </w:tcBorders>
            <w:shd w:val="clear" w:color="auto" w:fill="FFFFFF"/>
            <w:vAlign w:val="center"/>
          </w:tcPr>
          <w:p w14:paraId="77D13445"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w:t>
            </w:r>
          </w:p>
        </w:tc>
        <w:tc>
          <w:tcPr>
            <w:tcW w:w="1638" w:type="dxa"/>
            <w:tcBorders>
              <w:top w:val="single" w:sz="4" w:space="0" w:color="auto"/>
              <w:left w:val="single" w:sz="4" w:space="0" w:color="auto"/>
            </w:tcBorders>
            <w:shd w:val="clear" w:color="auto" w:fill="FFFFFF"/>
            <w:vAlign w:val="center"/>
          </w:tcPr>
          <w:p w14:paraId="2FCF1FEC"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w:t>
            </w:r>
          </w:p>
        </w:tc>
        <w:tc>
          <w:tcPr>
            <w:tcW w:w="1511" w:type="dxa"/>
            <w:tcBorders>
              <w:top w:val="single" w:sz="4" w:space="0" w:color="auto"/>
              <w:left w:val="single" w:sz="4" w:space="0" w:color="auto"/>
            </w:tcBorders>
            <w:shd w:val="clear" w:color="auto" w:fill="FFFFFF"/>
            <w:vAlign w:val="bottom"/>
          </w:tcPr>
          <w:p w14:paraId="38086718"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80</w:t>
            </w:r>
          </w:p>
        </w:tc>
        <w:tc>
          <w:tcPr>
            <w:tcW w:w="1638" w:type="dxa"/>
            <w:tcBorders>
              <w:top w:val="single" w:sz="4" w:space="0" w:color="auto"/>
              <w:left w:val="single" w:sz="4" w:space="0" w:color="auto"/>
              <w:right w:val="single" w:sz="4" w:space="0" w:color="auto"/>
            </w:tcBorders>
            <w:shd w:val="clear" w:color="auto" w:fill="FFFFFF"/>
            <w:vAlign w:val="bottom"/>
          </w:tcPr>
          <w:p w14:paraId="3567CCB3"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75</w:t>
            </w:r>
          </w:p>
        </w:tc>
      </w:tr>
      <w:tr w:rsidR="00CA27E3" w:rsidRPr="00D83000" w14:paraId="1BF76B41" w14:textId="77777777" w:rsidTr="005C1B3A">
        <w:tc>
          <w:tcPr>
            <w:tcW w:w="1480" w:type="dxa"/>
            <w:tcBorders>
              <w:top w:val="single" w:sz="4" w:space="0" w:color="auto"/>
              <w:left w:val="single" w:sz="4" w:space="0" w:color="auto"/>
              <w:bottom w:val="single" w:sz="4" w:space="0" w:color="auto"/>
            </w:tcBorders>
            <w:shd w:val="clear" w:color="auto" w:fill="FFFFFF"/>
            <w:vAlign w:val="center"/>
          </w:tcPr>
          <w:p w14:paraId="1FC203C1"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70</w:t>
            </w:r>
          </w:p>
        </w:tc>
        <w:tc>
          <w:tcPr>
            <w:tcW w:w="1640" w:type="dxa"/>
            <w:tcBorders>
              <w:top w:val="single" w:sz="4" w:space="0" w:color="auto"/>
              <w:left w:val="single" w:sz="4" w:space="0" w:color="auto"/>
              <w:bottom w:val="single" w:sz="4" w:space="0" w:color="auto"/>
            </w:tcBorders>
            <w:shd w:val="clear" w:color="auto" w:fill="FFFFFF"/>
            <w:vAlign w:val="center"/>
          </w:tcPr>
          <w:p w14:paraId="7116C9C5"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74</w:t>
            </w:r>
          </w:p>
        </w:tc>
        <w:tc>
          <w:tcPr>
            <w:tcW w:w="1482" w:type="dxa"/>
            <w:tcBorders>
              <w:top w:val="single" w:sz="4" w:space="0" w:color="auto"/>
              <w:left w:val="single" w:sz="4" w:space="0" w:color="auto"/>
              <w:bottom w:val="single" w:sz="4" w:space="0" w:color="auto"/>
            </w:tcBorders>
            <w:shd w:val="clear" w:color="auto" w:fill="FFFFFF"/>
            <w:vAlign w:val="center"/>
          </w:tcPr>
          <w:p w14:paraId="12476F6C"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w:t>
            </w:r>
          </w:p>
        </w:tc>
        <w:tc>
          <w:tcPr>
            <w:tcW w:w="1638" w:type="dxa"/>
            <w:tcBorders>
              <w:top w:val="single" w:sz="4" w:space="0" w:color="auto"/>
              <w:left w:val="single" w:sz="4" w:space="0" w:color="auto"/>
              <w:bottom w:val="single" w:sz="4" w:space="0" w:color="auto"/>
            </w:tcBorders>
            <w:shd w:val="clear" w:color="auto" w:fill="FFFFFF"/>
            <w:vAlign w:val="center"/>
          </w:tcPr>
          <w:p w14:paraId="598A4897"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w:t>
            </w:r>
          </w:p>
        </w:tc>
        <w:tc>
          <w:tcPr>
            <w:tcW w:w="1511" w:type="dxa"/>
            <w:tcBorders>
              <w:top w:val="single" w:sz="4" w:space="0" w:color="auto"/>
              <w:left w:val="single" w:sz="4" w:space="0" w:color="auto"/>
              <w:bottom w:val="single" w:sz="4" w:space="0" w:color="auto"/>
            </w:tcBorders>
            <w:shd w:val="clear" w:color="auto" w:fill="FFFFFF"/>
            <w:vAlign w:val="center"/>
          </w:tcPr>
          <w:p w14:paraId="290FB833"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w:t>
            </w:r>
          </w:p>
        </w:tc>
        <w:tc>
          <w:tcPr>
            <w:tcW w:w="1638" w:type="dxa"/>
            <w:tcBorders>
              <w:top w:val="single" w:sz="4" w:space="0" w:color="auto"/>
              <w:left w:val="single" w:sz="4" w:space="0" w:color="auto"/>
              <w:bottom w:val="single" w:sz="4" w:space="0" w:color="auto"/>
              <w:right w:val="single" w:sz="4" w:space="0" w:color="auto"/>
            </w:tcBorders>
            <w:shd w:val="clear" w:color="auto" w:fill="FFFFFF"/>
            <w:vAlign w:val="center"/>
          </w:tcPr>
          <w:p w14:paraId="5B1A5338" w14:textId="77777777" w:rsidR="00CA27E3" w:rsidRPr="00D83000" w:rsidRDefault="00CA27E3" w:rsidP="005C1B3A">
            <w:pPr>
              <w:pStyle w:val="a4"/>
              <w:shd w:val="clear" w:color="auto" w:fill="auto"/>
              <w:spacing w:after="60" w:line="240" w:lineRule="auto"/>
              <w:ind w:firstLine="0"/>
              <w:jc w:val="center"/>
              <w:rPr>
                <w:rFonts w:ascii="Sylfaen" w:hAnsi="Sylfaen" w:cs="Sylfaen"/>
                <w:sz w:val="20"/>
                <w:szCs w:val="20"/>
              </w:rPr>
            </w:pPr>
            <w:r w:rsidRPr="00D83000">
              <w:rPr>
                <w:rFonts w:ascii="Sylfaen" w:hAnsi="Sylfaen"/>
                <w:sz w:val="20"/>
                <w:szCs w:val="20"/>
              </w:rPr>
              <w:t>-</w:t>
            </w:r>
          </w:p>
        </w:tc>
      </w:tr>
    </w:tbl>
    <w:p w14:paraId="7DDA6344" w14:textId="77777777" w:rsidR="00CA27E3" w:rsidRPr="00CA27E3" w:rsidRDefault="00CA27E3" w:rsidP="005C1B3A">
      <w:pPr>
        <w:spacing w:after="120"/>
        <w:rPr>
          <w:rFonts w:ascii="Sylfaen" w:hAnsi="Sylfaen" w:cs="Sylfaen"/>
        </w:rPr>
      </w:pPr>
    </w:p>
    <w:p w14:paraId="3E1F32EC" w14:textId="77777777" w:rsidR="00CA27E3" w:rsidRPr="00CA27E3" w:rsidRDefault="00CA27E3" w:rsidP="00CA27E3">
      <w:pPr>
        <w:pStyle w:val="a0"/>
        <w:shd w:val="clear" w:color="auto" w:fill="auto"/>
        <w:spacing w:after="160"/>
        <w:ind w:firstLine="720"/>
        <w:jc w:val="both"/>
        <w:rPr>
          <w:rFonts w:ascii="Sylfaen" w:hAnsi="Sylfaen" w:cs="Sylfaen"/>
          <w:sz w:val="24"/>
          <w:szCs w:val="24"/>
        </w:rPr>
      </w:pPr>
      <w:r w:rsidRPr="00CA27E3">
        <w:rPr>
          <w:rFonts w:ascii="Sylfaen" w:hAnsi="Sylfaen"/>
          <w:sz w:val="24"/>
          <w:szCs w:val="24"/>
        </w:rPr>
        <w:t>Լմ/Վտ-ը հաշվարկելիս թույլատրվում է տասնորդական մասերի կլորացում՝ աճման ուղղությամբ։</w:t>
      </w:r>
    </w:p>
    <w:p w14:paraId="4DF14E17" w14:textId="77777777" w:rsidR="00CA27E3" w:rsidRPr="00CA27E3" w:rsidRDefault="00CA27E3" w:rsidP="00CA27E3">
      <w:pPr>
        <w:spacing w:after="160" w:line="360" w:lineRule="auto"/>
        <w:jc w:val="right"/>
        <w:rPr>
          <w:rFonts w:ascii="Sylfaen" w:hAnsi="Sylfaen" w:cs="Sylfaen"/>
        </w:rPr>
      </w:pPr>
      <w:r w:rsidRPr="00CA27E3">
        <w:rPr>
          <w:rFonts w:ascii="Sylfaen" w:hAnsi="Sylfaen"/>
        </w:rPr>
        <w:lastRenderedPageBreak/>
        <w:t>Աղյուսակ 4</w:t>
      </w:r>
    </w:p>
    <w:p w14:paraId="3D4DB7B3"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Ոլորաձ</w:t>
      </w:r>
      <w:r>
        <w:rPr>
          <w:rFonts w:ascii="Sylfaen" w:hAnsi="Sylfaen"/>
          <w:sz w:val="24"/>
          <w:szCs w:val="24"/>
        </w:rPr>
        <w:t>եւ</w:t>
      </w:r>
      <w:r w:rsidRPr="00CA27E3">
        <w:rPr>
          <w:rFonts w:ascii="Sylfaen" w:hAnsi="Sylfaen"/>
          <w:sz w:val="24"/>
          <w:szCs w:val="24"/>
        </w:rPr>
        <w:t xml:space="preserve"> կամ բարձր անվանական հզորության՝ մեկ լամպակոթով լյումինեսցենտային լամպերի լուսատացքի հաշվարկային արժեքները</w:t>
      </w:r>
    </w:p>
    <w:tbl>
      <w:tblPr>
        <w:tblOverlap w:val="never"/>
        <w:tblW w:w="9346" w:type="dxa"/>
        <w:tblLayout w:type="fixed"/>
        <w:tblCellMar>
          <w:left w:w="10" w:type="dxa"/>
          <w:right w:w="10" w:type="dxa"/>
        </w:tblCellMar>
        <w:tblLook w:val="0000" w:firstRow="0" w:lastRow="0" w:firstColumn="0" w:lastColumn="0" w:noHBand="0" w:noVBand="0"/>
      </w:tblPr>
      <w:tblGrid>
        <w:gridCol w:w="2347"/>
        <w:gridCol w:w="2338"/>
        <w:gridCol w:w="2338"/>
        <w:gridCol w:w="2323"/>
      </w:tblGrid>
      <w:tr w:rsidR="00CA27E3" w:rsidRPr="00D83000" w14:paraId="692C60C5" w14:textId="77777777" w:rsidTr="00CA27E3">
        <w:trPr>
          <w:tblHeader/>
        </w:trPr>
        <w:tc>
          <w:tcPr>
            <w:tcW w:w="4685" w:type="dxa"/>
            <w:gridSpan w:val="2"/>
            <w:tcBorders>
              <w:top w:val="single" w:sz="4" w:space="0" w:color="auto"/>
              <w:left w:val="single" w:sz="4" w:space="0" w:color="auto"/>
            </w:tcBorders>
            <w:shd w:val="clear" w:color="auto" w:fill="FFFFFF"/>
          </w:tcPr>
          <w:p w14:paraId="698D24B8" w14:textId="77777777" w:rsidR="00CA27E3" w:rsidRPr="00D83000" w:rsidRDefault="00CA27E3" w:rsidP="005C50BB">
            <w:pPr>
              <w:pStyle w:val="a0"/>
              <w:shd w:val="clear" w:color="auto" w:fill="auto"/>
              <w:spacing w:after="120" w:line="240" w:lineRule="auto"/>
              <w:ind w:right="129" w:firstLine="0"/>
              <w:jc w:val="center"/>
              <w:rPr>
                <w:rFonts w:ascii="Sylfaen" w:hAnsi="Sylfaen"/>
                <w:sz w:val="20"/>
                <w:szCs w:val="20"/>
              </w:rPr>
            </w:pPr>
            <w:r w:rsidRPr="00D83000">
              <w:rPr>
                <w:rFonts w:ascii="Sylfaen" w:hAnsi="Sylfaen"/>
                <w:sz w:val="20"/>
                <w:szCs w:val="20"/>
              </w:rPr>
              <w:t>Մեկ խողովակ՝ քառակուսու տեսքով, GR8 լամպակոթ (2 ցցիկ), GR10q լամպակոթ (4 ցցիկ) եւ GRY10q3 լամպակոթ (4 ցցիկ)</w:t>
            </w:r>
          </w:p>
        </w:tc>
        <w:tc>
          <w:tcPr>
            <w:tcW w:w="4661" w:type="dxa"/>
            <w:gridSpan w:val="2"/>
            <w:tcBorders>
              <w:top w:val="single" w:sz="4" w:space="0" w:color="auto"/>
              <w:left w:val="single" w:sz="4" w:space="0" w:color="auto"/>
              <w:right w:val="single" w:sz="4" w:space="0" w:color="auto"/>
            </w:tcBorders>
            <w:shd w:val="clear" w:color="auto" w:fill="FFFFFF"/>
          </w:tcPr>
          <w:p w14:paraId="66C686C0" w14:textId="77777777" w:rsidR="00CA27E3" w:rsidRPr="00D83000" w:rsidRDefault="00CA27E3" w:rsidP="00D83000">
            <w:pPr>
              <w:pStyle w:val="a0"/>
              <w:shd w:val="clear" w:color="auto" w:fill="auto"/>
              <w:spacing w:after="120" w:line="240" w:lineRule="auto"/>
              <w:ind w:firstLine="0"/>
              <w:jc w:val="center"/>
              <w:rPr>
                <w:rFonts w:ascii="Sylfaen" w:hAnsi="Sylfaen"/>
                <w:sz w:val="20"/>
                <w:szCs w:val="20"/>
              </w:rPr>
            </w:pPr>
            <w:r w:rsidRPr="00D83000">
              <w:rPr>
                <w:rFonts w:ascii="Sylfaen" w:hAnsi="Sylfaen"/>
                <w:sz w:val="20"/>
                <w:szCs w:val="20"/>
              </w:rPr>
              <w:t>Չորս զուգահեռ խողովակ, 2G8 (4 ցցիկ)</w:t>
            </w:r>
          </w:p>
        </w:tc>
      </w:tr>
      <w:tr w:rsidR="00CA27E3" w:rsidRPr="00D83000" w14:paraId="546DEB75" w14:textId="77777777" w:rsidTr="00CA27E3">
        <w:trPr>
          <w:trHeight w:val="634"/>
        </w:trPr>
        <w:tc>
          <w:tcPr>
            <w:tcW w:w="4685" w:type="dxa"/>
            <w:gridSpan w:val="2"/>
            <w:vMerge w:val="restart"/>
            <w:tcBorders>
              <w:top w:val="single" w:sz="4" w:space="0" w:color="auto"/>
              <w:left w:val="single" w:sz="4" w:space="0" w:color="auto"/>
            </w:tcBorders>
            <w:shd w:val="clear" w:color="auto" w:fill="FFFFFF"/>
          </w:tcPr>
          <w:p w14:paraId="66894A6B" w14:textId="77777777" w:rsidR="00CA27E3" w:rsidRPr="005C1B3A" w:rsidRDefault="00CA27E3" w:rsidP="00D83000">
            <w:pPr>
              <w:spacing w:after="120"/>
              <w:jc w:val="center"/>
              <w:rPr>
                <w:rFonts w:ascii="Sylfaen" w:hAnsi="Sylfaen"/>
                <w:sz w:val="20"/>
                <w:szCs w:val="20"/>
                <w:lang w:val="en-US"/>
              </w:rPr>
            </w:pPr>
            <w:r w:rsidRPr="00D83000">
              <w:rPr>
                <w:rFonts w:ascii="Sylfaen" w:hAnsi="Sylfaen"/>
                <w:noProof/>
                <w:sz w:val="20"/>
                <w:szCs w:val="20"/>
                <w:lang w:val="en-US" w:eastAsia="en-US" w:bidi="ar-SA"/>
              </w:rPr>
              <w:drawing>
                <wp:inline distT="0" distB="0" distL="0" distR="0" wp14:anchorId="4B3A5EF7" wp14:editId="195A072B">
                  <wp:extent cx="1057275" cy="933450"/>
                  <wp:effectExtent l="19050" t="0" r="9525" b="0"/>
                  <wp:docPr id="1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srcRect/>
                          <a:stretch>
                            <a:fillRect/>
                          </a:stretch>
                        </pic:blipFill>
                        <pic:spPr bwMode="auto">
                          <a:xfrm>
                            <a:off x="0" y="0"/>
                            <a:ext cx="1057275" cy="933450"/>
                          </a:xfrm>
                          <a:prstGeom prst="rect">
                            <a:avLst/>
                          </a:prstGeom>
                          <a:noFill/>
                          <a:ln w="9525">
                            <a:noFill/>
                            <a:miter lim="800000"/>
                            <a:headEnd/>
                            <a:tailEnd/>
                          </a:ln>
                        </pic:spPr>
                      </pic:pic>
                    </a:graphicData>
                  </a:graphic>
                </wp:inline>
              </w:drawing>
            </w:r>
          </w:p>
        </w:tc>
        <w:tc>
          <w:tcPr>
            <w:tcW w:w="4661" w:type="dxa"/>
            <w:gridSpan w:val="2"/>
            <w:vMerge w:val="restart"/>
            <w:tcBorders>
              <w:top w:val="single" w:sz="4" w:space="0" w:color="auto"/>
              <w:left w:val="single" w:sz="4" w:space="0" w:color="auto"/>
              <w:right w:val="single" w:sz="4" w:space="0" w:color="auto"/>
            </w:tcBorders>
            <w:shd w:val="clear" w:color="auto" w:fill="FFFFFF"/>
          </w:tcPr>
          <w:p w14:paraId="3BF8D771" w14:textId="77777777" w:rsidR="00CA27E3" w:rsidRPr="00D83000" w:rsidRDefault="00CA27E3" w:rsidP="00D83000">
            <w:pPr>
              <w:spacing w:after="120"/>
              <w:jc w:val="center"/>
              <w:rPr>
                <w:rFonts w:ascii="Sylfaen" w:hAnsi="Sylfaen"/>
                <w:sz w:val="20"/>
                <w:szCs w:val="20"/>
              </w:rPr>
            </w:pPr>
            <w:r w:rsidRPr="00D83000">
              <w:rPr>
                <w:rFonts w:ascii="Sylfaen" w:hAnsi="Sylfaen"/>
                <w:noProof/>
                <w:sz w:val="20"/>
                <w:szCs w:val="20"/>
                <w:lang w:val="en-US" w:eastAsia="en-US" w:bidi="ar-SA"/>
              </w:rPr>
              <w:drawing>
                <wp:inline distT="0" distB="0" distL="0" distR="0" wp14:anchorId="2DD1C381" wp14:editId="6345FF42">
                  <wp:extent cx="409575" cy="1019175"/>
                  <wp:effectExtent l="19050" t="0" r="9525" b="0"/>
                  <wp:docPr id="1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srcRect/>
                          <a:stretch>
                            <a:fillRect/>
                          </a:stretch>
                        </pic:blipFill>
                        <pic:spPr bwMode="auto">
                          <a:xfrm>
                            <a:off x="0" y="0"/>
                            <a:ext cx="409575" cy="1019175"/>
                          </a:xfrm>
                          <a:prstGeom prst="rect">
                            <a:avLst/>
                          </a:prstGeom>
                          <a:noFill/>
                          <a:ln w="9525">
                            <a:noFill/>
                            <a:miter lim="800000"/>
                            <a:headEnd/>
                            <a:tailEnd/>
                          </a:ln>
                        </pic:spPr>
                      </pic:pic>
                    </a:graphicData>
                  </a:graphic>
                </wp:inline>
              </w:drawing>
            </w:r>
          </w:p>
        </w:tc>
      </w:tr>
      <w:tr w:rsidR="00CA27E3" w:rsidRPr="00D83000" w14:paraId="28647389" w14:textId="77777777" w:rsidTr="00CA27E3">
        <w:trPr>
          <w:trHeight w:val="634"/>
        </w:trPr>
        <w:tc>
          <w:tcPr>
            <w:tcW w:w="4685" w:type="dxa"/>
            <w:gridSpan w:val="2"/>
            <w:vMerge/>
            <w:tcBorders>
              <w:left w:val="single" w:sz="4" w:space="0" w:color="auto"/>
            </w:tcBorders>
            <w:shd w:val="clear" w:color="auto" w:fill="FFFFFF"/>
          </w:tcPr>
          <w:p w14:paraId="17EEC671" w14:textId="77777777" w:rsidR="00CA27E3" w:rsidRPr="00D83000" w:rsidRDefault="00CA27E3" w:rsidP="00D83000">
            <w:pPr>
              <w:spacing w:after="120"/>
              <w:rPr>
                <w:rFonts w:ascii="Sylfaen" w:hAnsi="Sylfaen"/>
                <w:sz w:val="20"/>
                <w:szCs w:val="20"/>
              </w:rPr>
            </w:pPr>
          </w:p>
        </w:tc>
        <w:tc>
          <w:tcPr>
            <w:tcW w:w="4661" w:type="dxa"/>
            <w:gridSpan w:val="2"/>
            <w:vMerge/>
            <w:tcBorders>
              <w:left w:val="single" w:sz="4" w:space="0" w:color="auto"/>
              <w:right w:val="single" w:sz="4" w:space="0" w:color="auto"/>
            </w:tcBorders>
            <w:shd w:val="clear" w:color="auto" w:fill="FFFFFF"/>
          </w:tcPr>
          <w:p w14:paraId="3E3F95D9" w14:textId="77777777" w:rsidR="00CA27E3" w:rsidRPr="00D83000" w:rsidRDefault="00CA27E3" w:rsidP="00D83000">
            <w:pPr>
              <w:spacing w:after="120"/>
              <w:rPr>
                <w:rFonts w:ascii="Sylfaen" w:hAnsi="Sylfaen"/>
                <w:sz w:val="20"/>
                <w:szCs w:val="20"/>
              </w:rPr>
            </w:pPr>
          </w:p>
        </w:tc>
      </w:tr>
      <w:tr w:rsidR="00CA27E3" w:rsidRPr="00D83000" w14:paraId="585B591C" w14:textId="77777777" w:rsidTr="00CA27E3">
        <w:trPr>
          <w:trHeight w:val="634"/>
        </w:trPr>
        <w:tc>
          <w:tcPr>
            <w:tcW w:w="4685" w:type="dxa"/>
            <w:gridSpan w:val="2"/>
            <w:vMerge/>
            <w:tcBorders>
              <w:left w:val="single" w:sz="4" w:space="0" w:color="auto"/>
            </w:tcBorders>
            <w:shd w:val="clear" w:color="auto" w:fill="FFFFFF"/>
          </w:tcPr>
          <w:p w14:paraId="30B1101C" w14:textId="77777777" w:rsidR="00CA27E3" w:rsidRPr="00D83000" w:rsidRDefault="00CA27E3" w:rsidP="00D83000">
            <w:pPr>
              <w:spacing w:after="120"/>
              <w:rPr>
                <w:rFonts w:ascii="Sylfaen" w:hAnsi="Sylfaen"/>
                <w:sz w:val="20"/>
                <w:szCs w:val="20"/>
              </w:rPr>
            </w:pPr>
          </w:p>
        </w:tc>
        <w:tc>
          <w:tcPr>
            <w:tcW w:w="4661" w:type="dxa"/>
            <w:gridSpan w:val="2"/>
            <w:vMerge/>
            <w:tcBorders>
              <w:left w:val="single" w:sz="4" w:space="0" w:color="auto"/>
              <w:right w:val="single" w:sz="4" w:space="0" w:color="auto"/>
            </w:tcBorders>
            <w:shd w:val="clear" w:color="auto" w:fill="FFFFFF"/>
          </w:tcPr>
          <w:p w14:paraId="13C3C4A3" w14:textId="77777777" w:rsidR="00CA27E3" w:rsidRPr="00D83000" w:rsidRDefault="00CA27E3" w:rsidP="00D83000">
            <w:pPr>
              <w:spacing w:after="120"/>
              <w:rPr>
                <w:rFonts w:ascii="Sylfaen" w:hAnsi="Sylfaen"/>
                <w:sz w:val="20"/>
                <w:szCs w:val="20"/>
              </w:rPr>
            </w:pPr>
          </w:p>
        </w:tc>
      </w:tr>
      <w:tr w:rsidR="00CA27E3" w:rsidRPr="00D83000" w14:paraId="6CFAC458" w14:textId="77777777" w:rsidTr="005C1B3A">
        <w:trPr>
          <w:trHeight w:val="838"/>
        </w:trPr>
        <w:tc>
          <w:tcPr>
            <w:tcW w:w="2347" w:type="dxa"/>
            <w:tcBorders>
              <w:top w:val="single" w:sz="4" w:space="0" w:color="auto"/>
              <w:left w:val="single" w:sz="4" w:space="0" w:color="auto"/>
            </w:tcBorders>
            <w:shd w:val="clear" w:color="auto" w:fill="FFFFFF"/>
            <w:vAlign w:val="center"/>
          </w:tcPr>
          <w:p w14:paraId="43767458" w14:textId="77777777" w:rsidR="00CA27E3" w:rsidRPr="00D83000" w:rsidRDefault="00CA27E3" w:rsidP="005C1B3A">
            <w:pPr>
              <w:pStyle w:val="a0"/>
              <w:shd w:val="clear" w:color="auto" w:fill="auto"/>
              <w:spacing w:after="120" w:line="240" w:lineRule="auto"/>
              <w:ind w:firstLine="0"/>
              <w:jc w:val="center"/>
              <w:rPr>
                <w:rFonts w:ascii="Sylfaen" w:hAnsi="Sylfaen"/>
                <w:sz w:val="20"/>
                <w:szCs w:val="20"/>
              </w:rPr>
            </w:pPr>
            <w:r w:rsidRPr="00D83000">
              <w:rPr>
                <w:rFonts w:ascii="Sylfaen" w:hAnsi="Sylfaen"/>
                <w:sz w:val="20"/>
                <w:szCs w:val="20"/>
              </w:rPr>
              <w:t>Անվանական հզորությունը, Վտ</w:t>
            </w:r>
          </w:p>
        </w:tc>
        <w:tc>
          <w:tcPr>
            <w:tcW w:w="2338" w:type="dxa"/>
            <w:tcBorders>
              <w:top w:val="single" w:sz="4" w:space="0" w:color="auto"/>
              <w:left w:val="single" w:sz="4" w:space="0" w:color="auto"/>
            </w:tcBorders>
            <w:shd w:val="clear" w:color="auto" w:fill="FFFFFF"/>
            <w:vAlign w:val="center"/>
          </w:tcPr>
          <w:p w14:paraId="325A2066" w14:textId="77777777" w:rsidR="00CA27E3" w:rsidRPr="00D83000" w:rsidRDefault="00CA27E3" w:rsidP="005C1B3A">
            <w:pPr>
              <w:pStyle w:val="a0"/>
              <w:shd w:val="clear" w:color="auto" w:fill="auto"/>
              <w:spacing w:after="120" w:line="240" w:lineRule="auto"/>
              <w:ind w:right="129" w:firstLine="0"/>
              <w:jc w:val="center"/>
              <w:rPr>
                <w:rFonts w:ascii="Sylfaen" w:hAnsi="Sylfaen"/>
                <w:sz w:val="20"/>
                <w:szCs w:val="20"/>
              </w:rPr>
            </w:pPr>
            <w:r w:rsidRPr="00D83000">
              <w:rPr>
                <w:rFonts w:ascii="Sylfaen" w:hAnsi="Sylfaen"/>
                <w:sz w:val="20"/>
                <w:szCs w:val="20"/>
              </w:rPr>
              <w:t>Հաշվարկային լուսատացքը (լմ/Վտ), 100 ժ շահագործումից հետո</w:t>
            </w:r>
          </w:p>
        </w:tc>
        <w:tc>
          <w:tcPr>
            <w:tcW w:w="2338" w:type="dxa"/>
            <w:tcBorders>
              <w:top w:val="single" w:sz="4" w:space="0" w:color="auto"/>
              <w:left w:val="single" w:sz="4" w:space="0" w:color="auto"/>
            </w:tcBorders>
            <w:shd w:val="clear" w:color="auto" w:fill="FFFFFF"/>
            <w:vAlign w:val="center"/>
          </w:tcPr>
          <w:p w14:paraId="4699A705" w14:textId="77777777" w:rsidR="00CA27E3" w:rsidRPr="00D83000" w:rsidRDefault="00CA27E3" w:rsidP="005C1B3A">
            <w:pPr>
              <w:pStyle w:val="a0"/>
              <w:shd w:val="clear" w:color="auto" w:fill="auto"/>
              <w:spacing w:after="120" w:line="240" w:lineRule="auto"/>
              <w:ind w:firstLine="0"/>
              <w:jc w:val="center"/>
              <w:rPr>
                <w:rFonts w:ascii="Sylfaen" w:hAnsi="Sylfaen"/>
                <w:sz w:val="20"/>
                <w:szCs w:val="20"/>
              </w:rPr>
            </w:pPr>
            <w:r w:rsidRPr="00D83000">
              <w:rPr>
                <w:rFonts w:ascii="Sylfaen" w:hAnsi="Sylfaen"/>
                <w:sz w:val="20"/>
                <w:szCs w:val="20"/>
              </w:rPr>
              <w:t>Անվանական հզորությունը, Վտ</w:t>
            </w:r>
          </w:p>
        </w:tc>
        <w:tc>
          <w:tcPr>
            <w:tcW w:w="2323" w:type="dxa"/>
            <w:tcBorders>
              <w:top w:val="single" w:sz="4" w:space="0" w:color="auto"/>
              <w:left w:val="single" w:sz="4" w:space="0" w:color="auto"/>
              <w:right w:val="single" w:sz="4" w:space="0" w:color="auto"/>
            </w:tcBorders>
            <w:shd w:val="clear" w:color="auto" w:fill="FFFFFF"/>
            <w:vAlign w:val="center"/>
          </w:tcPr>
          <w:p w14:paraId="0FA94CFA" w14:textId="77777777" w:rsidR="00CA27E3" w:rsidRPr="00D83000" w:rsidRDefault="00CA27E3" w:rsidP="005C1B3A">
            <w:pPr>
              <w:pStyle w:val="a0"/>
              <w:shd w:val="clear" w:color="auto" w:fill="auto"/>
              <w:spacing w:after="120" w:line="240" w:lineRule="auto"/>
              <w:ind w:firstLine="0"/>
              <w:jc w:val="center"/>
              <w:rPr>
                <w:rFonts w:ascii="Sylfaen" w:hAnsi="Sylfaen"/>
                <w:sz w:val="20"/>
                <w:szCs w:val="20"/>
              </w:rPr>
            </w:pPr>
            <w:r w:rsidRPr="00D83000">
              <w:rPr>
                <w:rFonts w:ascii="Sylfaen" w:hAnsi="Sylfaen"/>
                <w:sz w:val="20"/>
                <w:szCs w:val="20"/>
              </w:rPr>
              <w:t>Հաշվարկային լուսատացքը (լմ/Վտ), 100 ժ շահագործումից հետո</w:t>
            </w:r>
          </w:p>
        </w:tc>
      </w:tr>
      <w:tr w:rsidR="00CA27E3" w:rsidRPr="00D83000" w14:paraId="12B0F7B1" w14:textId="77777777" w:rsidTr="00CA27E3">
        <w:tc>
          <w:tcPr>
            <w:tcW w:w="2347" w:type="dxa"/>
            <w:tcBorders>
              <w:top w:val="single" w:sz="4" w:space="0" w:color="auto"/>
              <w:left w:val="single" w:sz="4" w:space="0" w:color="auto"/>
            </w:tcBorders>
            <w:shd w:val="clear" w:color="auto" w:fill="FFFFFF"/>
          </w:tcPr>
          <w:p w14:paraId="6B4B66A4" w14:textId="77777777" w:rsidR="00CA27E3" w:rsidRPr="00D83000" w:rsidRDefault="00CA27E3" w:rsidP="00D83000">
            <w:pPr>
              <w:pStyle w:val="a4"/>
              <w:shd w:val="clear" w:color="auto" w:fill="auto"/>
              <w:spacing w:after="120" w:line="240" w:lineRule="auto"/>
              <w:ind w:left="1040" w:firstLine="0"/>
              <w:jc w:val="both"/>
              <w:rPr>
                <w:rFonts w:ascii="Sylfaen" w:hAnsi="Sylfaen"/>
                <w:sz w:val="20"/>
                <w:szCs w:val="20"/>
              </w:rPr>
            </w:pPr>
            <w:r w:rsidRPr="00D83000">
              <w:rPr>
                <w:rFonts w:ascii="Sylfaen" w:hAnsi="Sylfaen"/>
                <w:sz w:val="20"/>
                <w:szCs w:val="20"/>
              </w:rPr>
              <w:t>10</w:t>
            </w:r>
          </w:p>
        </w:tc>
        <w:tc>
          <w:tcPr>
            <w:tcW w:w="2338" w:type="dxa"/>
            <w:tcBorders>
              <w:top w:val="single" w:sz="4" w:space="0" w:color="auto"/>
              <w:left w:val="single" w:sz="4" w:space="0" w:color="auto"/>
            </w:tcBorders>
            <w:shd w:val="clear" w:color="auto" w:fill="FFFFFF"/>
          </w:tcPr>
          <w:p w14:paraId="46AD9963"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65</w:t>
            </w:r>
          </w:p>
        </w:tc>
        <w:tc>
          <w:tcPr>
            <w:tcW w:w="2338" w:type="dxa"/>
            <w:tcBorders>
              <w:top w:val="single" w:sz="4" w:space="0" w:color="auto"/>
              <w:left w:val="single" w:sz="4" w:space="0" w:color="auto"/>
            </w:tcBorders>
            <w:shd w:val="clear" w:color="auto" w:fill="FFFFFF"/>
          </w:tcPr>
          <w:p w14:paraId="0CE255E4"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60</w:t>
            </w:r>
          </w:p>
        </w:tc>
        <w:tc>
          <w:tcPr>
            <w:tcW w:w="2323" w:type="dxa"/>
            <w:tcBorders>
              <w:top w:val="single" w:sz="4" w:space="0" w:color="auto"/>
              <w:left w:val="single" w:sz="4" w:space="0" w:color="auto"/>
              <w:right w:val="single" w:sz="4" w:space="0" w:color="auto"/>
            </w:tcBorders>
            <w:shd w:val="clear" w:color="auto" w:fill="FFFFFF"/>
          </w:tcPr>
          <w:p w14:paraId="6205C705"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67</w:t>
            </w:r>
          </w:p>
        </w:tc>
      </w:tr>
      <w:tr w:rsidR="00CA27E3" w:rsidRPr="00D83000" w14:paraId="7AB166C5" w14:textId="77777777" w:rsidTr="00CA27E3">
        <w:tc>
          <w:tcPr>
            <w:tcW w:w="2347" w:type="dxa"/>
            <w:tcBorders>
              <w:top w:val="single" w:sz="4" w:space="0" w:color="auto"/>
              <w:left w:val="single" w:sz="4" w:space="0" w:color="auto"/>
            </w:tcBorders>
            <w:shd w:val="clear" w:color="auto" w:fill="FFFFFF"/>
          </w:tcPr>
          <w:p w14:paraId="2A1AF1DB" w14:textId="77777777" w:rsidR="00CA27E3" w:rsidRPr="00D83000" w:rsidRDefault="00CA27E3" w:rsidP="00D83000">
            <w:pPr>
              <w:pStyle w:val="a4"/>
              <w:shd w:val="clear" w:color="auto" w:fill="auto"/>
              <w:spacing w:after="120" w:line="240" w:lineRule="auto"/>
              <w:ind w:left="1040" w:firstLine="0"/>
              <w:jc w:val="both"/>
              <w:rPr>
                <w:rFonts w:ascii="Sylfaen" w:hAnsi="Sylfaen"/>
                <w:sz w:val="20"/>
                <w:szCs w:val="20"/>
              </w:rPr>
            </w:pPr>
            <w:r w:rsidRPr="00D83000">
              <w:rPr>
                <w:rFonts w:ascii="Sylfaen" w:hAnsi="Sylfaen"/>
                <w:sz w:val="20"/>
                <w:szCs w:val="20"/>
              </w:rPr>
              <w:t>16</w:t>
            </w:r>
          </w:p>
        </w:tc>
        <w:tc>
          <w:tcPr>
            <w:tcW w:w="2338" w:type="dxa"/>
            <w:tcBorders>
              <w:top w:val="single" w:sz="4" w:space="0" w:color="auto"/>
              <w:left w:val="single" w:sz="4" w:space="0" w:color="auto"/>
            </w:tcBorders>
            <w:shd w:val="clear" w:color="auto" w:fill="FFFFFF"/>
          </w:tcPr>
          <w:p w14:paraId="66BD2D02"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66</w:t>
            </w:r>
          </w:p>
        </w:tc>
        <w:tc>
          <w:tcPr>
            <w:tcW w:w="2338" w:type="dxa"/>
            <w:tcBorders>
              <w:top w:val="single" w:sz="4" w:space="0" w:color="auto"/>
              <w:left w:val="single" w:sz="4" w:space="0" w:color="auto"/>
            </w:tcBorders>
            <w:shd w:val="clear" w:color="auto" w:fill="FFFFFF"/>
          </w:tcPr>
          <w:p w14:paraId="02748663"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82</w:t>
            </w:r>
          </w:p>
        </w:tc>
        <w:tc>
          <w:tcPr>
            <w:tcW w:w="2323" w:type="dxa"/>
            <w:tcBorders>
              <w:top w:val="single" w:sz="4" w:space="0" w:color="auto"/>
              <w:left w:val="single" w:sz="4" w:space="0" w:color="auto"/>
              <w:right w:val="single" w:sz="4" w:space="0" w:color="auto"/>
            </w:tcBorders>
            <w:shd w:val="clear" w:color="auto" w:fill="FFFFFF"/>
          </w:tcPr>
          <w:p w14:paraId="4B544394"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75</w:t>
            </w:r>
          </w:p>
        </w:tc>
      </w:tr>
      <w:tr w:rsidR="00CA27E3" w:rsidRPr="00D83000" w14:paraId="2DDC3A4A" w14:textId="77777777" w:rsidTr="00CA27E3">
        <w:tc>
          <w:tcPr>
            <w:tcW w:w="2347" w:type="dxa"/>
            <w:tcBorders>
              <w:top w:val="single" w:sz="4" w:space="0" w:color="auto"/>
              <w:left w:val="single" w:sz="4" w:space="0" w:color="auto"/>
            </w:tcBorders>
            <w:shd w:val="clear" w:color="auto" w:fill="FFFFFF"/>
          </w:tcPr>
          <w:p w14:paraId="02C09AE4" w14:textId="77777777" w:rsidR="00CA27E3" w:rsidRPr="00D83000" w:rsidRDefault="00CA27E3" w:rsidP="00D83000">
            <w:pPr>
              <w:pStyle w:val="a4"/>
              <w:shd w:val="clear" w:color="auto" w:fill="auto"/>
              <w:spacing w:after="120" w:line="240" w:lineRule="auto"/>
              <w:ind w:left="1040" w:firstLine="0"/>
              <w:jc w:val="both"/>
              <w:rPr>
                <w:rFonts w:ascii="Sylfaen" w:hAnsi="Sylfaen"/>
                <w:sz w:val="20"/>
                <w:szCs w:val="20"/>
              </w:rPr>
            </w:pPr>
            <w:r w:rsidRPr="00D83000">
              <w:rPr>
                <w:rFonts w:ascii="Sylfaen" w:hAnsi="Sylfaen"/>
                <w:sz w:val="20"/>
                <w:szCs w:val="20"/>
              </w:rPr>
              <w:t>21</w:t>
            </w:r>
          </w:p>
        </w:tc>
        <w:tc>
          <w:tcPr>
            <w:tcW w:w="2338" w:type="dxa"/>
            <w:tcBorders>
              <w:top w:val="single" w:sz="4" w:space="0" w:color="auto"/>
              <w:left w:val="single" w:sz="4" w:space="0" w:color="auto"/>
            </w:tcBorders>
            <w:shd w:val="clear" w:color="auto" w:fill="FFFFFF"/>
          </w:tcPr>
          <w:p w14:paraId="3202D21A"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64</w:t>
            </w:r>
          </w:p>
        </w:tc>
        <w:tc>
          <w:tcPr>
            <w:tcW w:w="2338" w:type="dxa"/>
            <w:tcBorders>
              <w:top w:val="single" w:sz="4" w:space="0" w:color="auto"/>
              <w:left w:val="single" w:sz="4" w:space="0" w:color="auto"/>
            </w:tcBorders>
            <w:shd w:val="clear" w:color="auto" w:fill="FFFFFF"/>
          </w:tcPr>
          <w:p w14:paraId="31430EE8"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85</w:t>
            </w:r>
          </w:p>
        </w:tc>
        <w:tc>
          <w:tcPr>
            <w:tcW w:w="2323" w:type="dxa"/>
            <w:tcBorders>
              <w:top w:val="single" w:sz="4" w:space="0" w:color="auto"/>
              <w:left w:val="single" w:sz="4" w:space="0" w:color="auto"/>
              <w:right w:val="single" w:sz="4" w:space="0" w:color="auto"/>
            </w:tcBorders>
            <w:shd w:val="clear" w:color="auto" w:fill="FFFFFF"/>
          </w:tcPr>
          <w:p w14:paraId="749FB47E"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71</w:t>
            </w:r>
          </w:p>
        </w:tc>
      </w:tr>
      <w:tr w:rsidR="00CA27E3" w:rsidRPr="00D83000" w14:paraId="64753B32" w14:textId="77777777" w:rsidTr="00CA27E3">
        <w:tc>
          <w:tcPr>
            <w:tcW w:w="2347" w:type="dxa"/>
            <w:tcBorders>
              <w:top w:val="single" w:sz="4" w:space="0" w:color="auto"/>
              <w:left w:val="single" w:sz="4" w:space="0" w:color="auto"/>
            </w:tcBorders>
            <w:shd w:val="clear" w:color="auto" w:fill="FFFFFF"/>
          </w:tcPr>
          <w:p w14:paraId="74B4EDBD"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28</w:t>
            </w:r>
          </w:p>
        </w:tc>
        <w:tc>
          <w:tcPr>
            <w:tcW w:w="2338" w:type="dxa"/>
            <w:tcBorders>
              <w:top w:val="single" w:sz="4" w:space="0" w:color="auto"/>
              <w:left w:val="single" w:sz="4" w:space="0" w:color="auto"/>
            </w:tcBorders>
            <w:shd w:val="clear" w:color="auto" w:fill="FFFFFF"/>
          </w:tcPr>
          <w:p w14:paraId="5C116917"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73</w:t>
            </w:r>
          </w:p>
        </w:tc>
        <w:tc>
          <w:tcPr>
            <w:tcW w:w="2338" w:type="dxa"/>
            <w:tcBorders>
              <w:top w:val="single" w:sz="4" w:space="0" w:color="auto"/>
              <w:left w:val="single" w:sz="4" w:space="0" w:color="auto"/>
            </w:tcBorders>
            <w:shd w:val="clear" w:color="auto" w:fill="FFFFFF"/>
          </w:tcPr>
          <w:p w14:paraId="22F973E5"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120</w:t>
            </w:r>
          </w:p>
        </w:tc>
        <w:tc>
          <w:tcPr>
            <w:tcW w:w="2323" w:type="dxa"/>
            <w:tcBorders>
              <w:top w:val="single" w:sz="4" w:space="0" w:color="auto"/>
              <w:left w:val="single" w:sz="4" w:space="0" w:color="auto"/>
              <w:right w:val="single" w:sz="4" w:space="0" w:color="auto"/>
            </w:tcBorders>
            <w:shd w:val="clear" w:color="auto" w:fill="FFFFFF"/>
          </w:tcPr>
          <w:p w14:paraId="56DFD82E"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75</w:t>
            </w:r>
          </w:p>
        </w:tc>
      </w:tr>
      <w:tr w:rsidR="00CA27E3" w:rsidRPr="00D83000" w14:paraId="5D4101F3" w14:textId="77777777" w:rsidTr="00CA27E3">
        <w:tc>
          <w:tcPr>
            <w:tcW w:w="2347" w:type="dxa"/>
            <w:tcBorders>
              <w:top w:val="single" w:sz="4" w:space="0" w:color="auto"/>
              <w:left w:val="single" w:sz="4" w:space="0" w:color="auto"/>
            </w:tcBorders>
            <w:shd w:val="clear" w:color="auto" w:fill="FFFFFF"/>
          </w:tcPr>
          <w:p w14:paraId="006CC8E1"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38</w:t>
            </w:r>
          </w:p>
        </w:tc>
        <w:tc>
          <w:tcPr>
            <w:tcW w:w="2338" w:type="dxa"/>
            <w:tcBorders>
              <w:top w:val="single" w:sz="4" w:space="0" w:color="auto"/>
              <w:left w:val="single" w:sz="4" w:space="0" w:color="auto"/>
            </w:tcBorders>
            <w:shd w:val="clear" w:color="auto" w:fill="FFFFFF"/>
          </w:tcPr>
          <w:p w14:paraId="68631FCD" w14:textId="77777777" w:rsidR="00CA27E3" w:rsidRPr="00D83000" w:rsidRDefault="00CA27E3" w:rsidP="00D83000">
            <w:pPr>
              <w:pStyle w:val="a4"/>
              <w:shd w:val="clear" w:color="auto" w:fill="auto"/>
              <w:spacing w:after="120" w:line="240" w:lineRule="auto"/>
              <w:ind w:left="1020" w:firstLine="0"/>
              <w:jc w:val="both"/>
              <w:rPr>
                <w:rFonts w:ascii="Sylfaen" w:hAnsi="Sylfaen"/>
                <w:sz w:val="20"/>
                <w:szCs w:val="20"/>
              </w:rPr>
            </w:pPr>
            <w:r w:rsidRPr="00D83000">
              <w:rPr>
                <w:rFonts w:ascii="Sylfaen" w:hAnsi="Sylfaen"/>
                <w:sz w:val="20"/>
                <w:szCs w:val="20"/>
              </w:rPr>
              <w:t>71</w:t>
            </w:r>
          </w:p>
        </w:tc>
        <w:tc>
          <w:tcPr>
            <w:tcW w:w="2338" w:type="dxa"/>
            <w:tcBorders>
              <w:top w:val="single" w:sz="4" w:space="0" w:color="auto"/>
              <w:left w:val="single" w:sz="4" w:space="0" w:color="auto"/>
            </w:tcBorders>
            <w:shd w:val="clear" w:color="auto" w:fill="FFFFFF"/>
          </w:tcPr>
          <w:p w14:paraId="3DC7E0ED" w14:textId="77777777" w:rsidR="00CA27E3" w:rsidRPr="00D83000" w:rsidRDefault="00CA27E3" w:rsidP="00D83000">
            <w:pPr>
              <w:spacing w:after="120"/>
              <w:rPr>
                <w:rFonts w:ascii="Sylfaen" w:hAnsi="Sylfaen"/>
                <w:sz w:val="20"/>
                <w:szCs w:val="20"/>
              </w:rPr>
            </w:pPr>
          </w:p>
        </w:tc>
        <w:tc>
          <w:tcPr>
            <w:tcW w:w="2323" w:type="dxa"/>
            <w:tcBorders>
              <w:top w:val="single" w:sz="4" w:space="0" w:color="auto"/>
              <w:right w:val="single" w:sz="4" w:space="0" w:color="auto"/>
            </w:tcBorders>
            <w:shd w:val="clear" w:color="auto" w:fill="FFFFFF"/>
          </w:tcPr>
          <w:p w14:paraId="380CC727" w14:textId="77777777" w:rsidR="00CA27E3" w:rsidRPr="00D83000" w:rsidRDefault="00CA27E3" w:rsidP="00D83000">
            <w:pPr>
              <w:spacing w:after="120"/>
              <w:rPr>
                <w:rFonts w:ascii="Sylfaen" w:hAnsi="Sylfaen"/>
                <w:sz w:val="20"/>
                <w:szCs w:val="20"/>
              </w:rPr>
            </w:pPr>
          </w:p>
        </w:tc>
      </w:tr>
      <w:tr w:rsidR="00CA27E3" w:rsidRPr="00D83000" w14:paraId="100CE7AF" w14:textId="77777777" w:rsidTr="00CA27E3">
        <w:tc>
          <w:tcPr>
            <w:tcW w:w="2347" w:type="dxa"/>
            <w:tcBorders>
              <w:top w:val="single" w:sz="4" w:space="0" w:color="auto"/>
              <w:left w:val="single" w:sz="4" w:space="0" w:color="auto"/>
              <w:bottom w:val="single" w:sz="4" w:space="0" w:color="auto"/>
            </w:tcBorders>
            <w:shd w:val="clear" w:color="auto" w:fill="FFFFFF"/>
          </w:tcPr>
          <w:p w14:paraId="21F4BEDD"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55</w:t>
            </w:r>
          </w:p>
        </w:tc>
        <w:tc>
          <w:tcPr>
            <w:tcW w:w="2338" w:type="dxa"/>
            <w:tcBorders>
              <w:top w:val="single" w:sz="4" w:space="0" w:color="auto"/>
              <w:left w:val="single" w:sz="4" w:space="0" w:color="auto"/>
              <w:bottom w:val="single" w:sz="4" w:space="0" w:color="auto"/>
            </w:tcBorders>
            <w:shd w:val="clear" w:color="auto" w:fill="FFFFFF"/>
          </w:tcPr>
          <w:p w14:paraId="454AFA3A" w14:textId="77777777" w:rsidR="00CA27E3" w:rsidRPr="00D83000" w:rsidRDefault="00CA27E3" w:rsidP="00D83000">
            <w:pPr>
              <w:pStyle w:val="a4"/>
              <w:shd w:val="clear" w:color="auto" w:fill="auto"/>
              <w:spacing w:after="120" w:line="240" w:lineRule="auto"/>
              <w:ind w:left="1020" w:firstLine="0"/>
              <w:jc w:val="both"/>
              <w:rPr>
                <w:rFonts w:ascii="Sylfaen" w:hAnsi="Sylfaen"/>
                <w:sz w:val="20"/>
                <w:szCs w:val="20"/>
              </w:rPr>
            </w:pPr>
            <w:r w:rsidRPr="00D83000">
              <w:rPr>
                <w:rFonts w:ascii="Sylfaen" w:hAnsi="Sylfaen"/>
                <w:sz w:val="20"/>
                <w:szCs w:val="20"/>
              </w:rPr>
              <w:t>71</w:t>
            </w:r>
          </w:p>
        </w:tc>
        <w:tc>
          <w:tcPr>
            <w:tcW w:w="2338" w:type="dxa"/>
            <w:tcBorders>
              <w:left w:val="single" w:sz="4" w:space="0" w:color="auto"/>
              <w:bottom w:val="single" w:sz="4" w:space="0" w:color="auto"/>
            </w:tcBorders>
            <w:shd w:val="clear" w:color="auto" w:fill="FFFFFF"/>
          </w:tcPr>
          <w:p w14:paraId="686E6A05" w14:textId="77777777" w:rsidR="00CA27E3" w:rsidRPr="00D83000" w:rsidRDefault="00CA27E3" w:rsidP="00D83000">
            <w:pPr>
              <w:spacing w:after="120"/>
              <w:rPr>
                <w:rFonts w:ascii="Sylfaen" w:hAnsi="Sylfaen"/>
                <w:sz w:val="20"/>
                <w:szCs w:val="20"/>
              </w:rPr>
            </w:pPr>
          </w:p>
        </w:tc>
        <w:tc>
          <w:tcPr>
            <w:tcW w:w="2323" w:type="dxa"/>
            <w:tcBorders>
              <w:bottom w:val="single" w:sz="4" w:space="0" w:color="auto"/>
              <w:right w:val="single" w:sz="4" w:space="0" w:color="auto"/>
            </w:tcBorders>
            <w:shd w:val="clear" w:color="auto" w:fill="FFFFFF"/>
          </w:tcPr>
          <w:p w14:paraId="6EE631AF" w14:textId="77777777" w:rsidR="00CA27E3" w:rsidRPr="00D83000" w:rsidRDefault="00CA27E3" w:rsidP="00D83000">
            <w:pPr>
              <w:spacing w:after="120"/>
              <w:rPr>
                <w:rFonts w:ascii="Sylfaen" w:hAnsi="Sylfaen"/>
                <w:sz w:val="20"/>
                <w:szCs w:val="20"/>
              </w:rPr>
            </w:pPr>
          </w:p>
        </w:tc>
      </w:tr>
    </w:tbl>
    <w:p w14:paraId="5A20E7A2"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3B63217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Լմ/Վտ հաշվարկելիս թույլատրվում է տասնորդական մասերի կլորացում՝ աճման ուղղությամբ։</w:t>
      </w:r>
    </w:p>
    <w:p w14:paraId="6508D15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p>
    <w:p w14:paraId="1E53C608" w14:textId="77777777" w:rsidR="005C1B3A" w:rsidRDefault="005C1B3A">
      <w:pPr>
        <w:rPr>
          <w:rFonts w:ascii="Sylfaen" w:eastAsia="Times New Roman" w:hAnsi="Sylfaen" w:cs="Times New Roman"/>
          <w:color w:val="auto"/>
        </w:rPr>
      </w:pPr>
      <w:r>
        <w:rPr>
          <w:rFonts w:ascii="Sylfaen" w:hAnsi="Sylfaen"/>
        </w:rPr>
        <w:br w:type="page"/>
      </w:r>
    </w:p>
    <w:p w14:paraId="0EE0E911"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lastRenderedPageBreak/>
        <w:t>Աղյուսակ 5</w:t>
      </w:r>
    </w:p>
    <w:p w14:paraId="6559E194" w14:textId="77777777" w:rsidR="00CA27E3" w:rsidRPr="00CA27E3" w:rsidRDefault="00CA27E3" w:rsidP="005C1B3A">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T9 </w:t>
      </w:r>
      <w:r>
        <w:rPr>
          <w:rFonts w:ascii="Sylfaen" w:hAnsi="Sylfaen"/>
          <w:sz w:val="24"/>
          <w:szCs w:val="24"/>
        </w:rPr>
        <w:t>եւ</w:t>
      </w:r>
      <w:r w:rsidRPr="00CA27E3">
        <w:rPr>
          <w:rFonts w:ascii="Sylfaen" w:hAnsi="Sylfaen"/>
          <w:sz w:val="24"/>
          <w:szCs w:val="24"/>
        </w:rPr>
        <w:t xml:space="preserve"> T5 օղակաձ</w:t>
      </w:r>
      <w:r>
        <w:rPr>
          <w:rFonts w:ascii="Sylfaen" w:hAnsi="Sylfaen"/>
          <w:sz w:val="24"/>
          <w:szCs w:val="24"/>
        </w:rPr>
        <w:t>եւ</w:t>
      </w:r>
      <w:r w:rsidRPr="00CA27E3">
        <w:rPr>
          <w:rFonts w:ascii="Sylfaen" w:hAnsi="Sylfaen"/>
          <w:sz w:val="24"/>
          <w:szCs w:val="24"/>
        </w:rPr>
        <w:t xml:space="preserve"> լամպերի նվազագույն լուսատացքի </w:t>
      </w:r>
      <w:r w:rsidR="003B4610" w:rsidRPr="003B4610">
        <w:rPr>
          <w:rFonts w:ascii="Sylfaen" w:hAnsi="Sylfaen"/>
          <w:sz w:val="24"/>
          <w:szCs w:val="24"/>
        </w:rPr>
        <w:br/>
      </w:r>
      <w:r w:rsidRPr="00CA27E3">
        <w:rPr>
          <w:rFonts w:ascii="Sylfaen" w:hAnsi="Sylfaen"/>
          <w:sz w:val="24"/>
          <w:szCs w:val="24"/>
        </w:rPr>
        <w:t>հաշվարկային արժեքները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47"/>
        <w:gridCol w:w="2338"/>
        <w:gridCol w:w="2342"/>
        <w:gridCol w:w="2352"/>
      </w:tblGrid>
      <w:tr w:rsidR="00CA27E3" w:rsidRPr="00D83000" w14:paraId="4DFD528C" w14:textId="77777777" w:rsidTr="003B4610">
        <w:trPr>
          <w:jc w:val="center"/>
        </w:trPr>
        <w:tc>
          <w:tcPr>
            <w:tcW w:w="4685" w:type="dxa"/>
            <w:gridSpan w:val="2"/>
            <w:tcBorders>
              <w:top w:val="single" w:sz="4" w:space="0" w:color="auto"/>
              <w:left w:val="single" w:sz="4" w:space="0" w:color="auto"/>
            </w:tcBorders>
            <w:shd w:val="clear" w:color="auto" w:fill="FFFFFF"/>
            <w:vAlign w:val="center"/>
          </w:tcPr>
          <w:p w14:paraId="442FD1A4" w14:textId="77777777" w:rsidR="00CA27E3" w:rsidRPr="00D83000" w:rsidRDefault="00CA27E3" w:rsidP="003B4610">
            <w:pPr>
              <w:pStyle w:val="a4"/>
              <w:shd w:val="clear" w:color="auto" w:fill="auto"/>
              <w:spacing w:after="120" w:line="240" w:lineRule="auto"/>
              <w:ind w:right="126" w:firstLine="0"/>
              <w:jc w:val="center"/>
              <w:rPr>
                <w:rFonts w:ascii="Sylfaen" w:hAnsi="Sylfaen" w:cs="Sylfaen"/>
                <w:sz w:val="20"/>
                <w:szCs w:val="20"/>
              </w:rPr>
            </w:pPr>
            <w:r w:rsidRPr="00D83000">
              <w:rPr>
                <w:rFonts w:ascii="Sylfaen" w:hAnsi="Sylfaen"/>
                <w:sz w:val="20"/>
                <w:szCs w:val="20"/>
              </w:rPr>
              <w:t>T9 օղակաձեւ խողովակ՝ 29 մմ տրամագծով, G10q լամպակոթ</w:t>
            </w:r>
          </w:p>
        </w:tc>
        <w:tc>
          <w:tcPr>
            <w:tcW w:w="4694" w:type="dxa"/>
            <w:gridSpan w:val="2"/>
            <w:tcBorders>
              <w:top w:val="single" w:sz="4" w:space="0" w:color="auto"/>
              <w:left w:val="single" w:sz="4" w:space="0" w:color="auto"/>
              <w:right w:val="single" w:sz="4" w:space="0" w:color="auto"/>
            </w:tcBorders>
            <w:shd w:val="clear" w:color="auto" w:fill="FFFFFF"/>
            <w:vAlign w:val="center"/>
          </w:tcPr>
          <w:p w14:paraId="798A6979" w14:textId="77777777" w:rsidR="00CA27E3" w:rsidRPr="00D83000" w:rsidRDefault="00CA27E3" w:rsidP="003B4610">
            <w:pPr>
              <w:pStyle w:val="a4"/>
              <w:shd w:val="clear" w:color="auto" w:fill="auto"/>
              <w:spacing w:after="120" w:line="240" w:lineRule="auto"/>
              <w:ind w:right="126" w:firstLine="0"/>
              <w:jc w:val="center"/>
              <w:rPr>
                <w:rFonts w:ascii="Sylfaen" w:hAnsi="Sylfaen" w:cs="Sylfaen"/>
                <w:sz w:val="20"/>
                <w:szCs w:val="20"/>
              </w:rPr>
            </w:pPr>
            <w:r w:rsidRPr="00D83000">
              <w:rPr>
                <w:rFonts w:ascii="Sylfaen" w:hAnsi="Sylfaen"/>
                <w:sz w:val="20"/>
                <w:szCs w:val="20"/>
              </w:rPr>
              <w:t>T5 օղակաձեւ խողովակ՝ 29 մմ տրամագծով, 2GX13 լամպակոթ</w:t>
            </w:r>
          </w:p>
        </w:tc>
      </w:tr>
      <w:tr w:rsidR="00CA27E3" w:rsidRPr="00D83000" w14:paraId="3218B01D" w14:textId="77777777" w:rsidTr="00CA27E3">
        <w:trPr>
          <w:jc w:val="center"/>
        </w:trPr>
        <w:tc>
          <w:tcPr>
            <w:tcW w:w="4685" w:type="dxa"/>
            <w:gridSpan w:val="2"/>
            <w:tcBorders>
              <w:top w:val="single" w:sz="4" w:space="0" w:color="auto"/>
              <w:left w:val="single" w:sz="4" w:space="0" w:color="auto"/>
            </w:tcBorders>
            <w:shd w:val="clear" w:color="auto" w:fill="FFFFFF"/>
            <w:vAlign w:val="bottom"/>
          </w:tcPr>
          <w:p w14:paraId="0A54ADF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0F5E6730" wp14:editId="33A9589B">
                  <wp:extent cx="714375" cy="714375"/>
                  <wp:effectExtent l="19050" t="0" r="9525" b="0"/>
                  <wp:docPr id="1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srcRect/>
                          <a:stretch>
                            <a:fillRect/>
                          </a:stretch>
                        </pic:blipFill>
                        <pic:spPr bwMode="auto">
                          <a:xfrm>
                            <a:off x="0" y="0"/>
                            <a:ext cx="714375" cy="714375"/>
                          </a:xfrm>
                          <a:prstGeom prst="rect">
                            <a:avLst/>
                          </a:prstGeom>
                          <a:noFill/>
                          <a:ln w="9525">
                            <a:noFill/>
                            <a:miter lim="800000"/>
                            <a:headEnd/>
                            <a:tailEnd/>
                          </a:ln>
                        </pic:spPr>
                      </pic:pic>
                    </a:graphicData>
                  </a:graphic>
                </wp:inline>
              </w:drawing>
            </w:r>
          </w:p>
        </w:tc>
        <w:tc>
          <w:tcPr>
            <w:tcW w:w="4694" w:type="dxa"/>
            <w:gridSpan w:val="2"/>
            <w:tcBorders>
              <w:top w:val="single" w:sz="4" w:space="0" w:color="auto"/>
              <w:left w:val="single" w:sz="4" w:space="0" w:color="auto"/>
              <w:right w:val="single" w:sz="4" w:space="0" w:color="auto"/>
            </w:tcBorders>
            <w:shd w:val="clear" w:color="auto" w:fill="FFFFFF"/>
            <w:vAlign w:val="bottom"/>
          </w:tcPr>
          <w:p w14:paraId="6DA3705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cs="Sylfaen"/>
                <w:noProof/>
                <w:sz w:val="20"/>
                <w:szCs w:val="20"/>
                <w:lang w:val="en-US" w:eastAsia="en-US" w:bidi="ar-SA"/>
              </w:rPr>
              <w:drawing>
                <wp:inline distT="0" distB="0" distL="0" distR="0" wp14:anchorId="02B906AF" wp14:editId="0F4208EC">
                  <wp:extent cx="714375" cy="685800"/>
                  <wp:effectExtent l="19050" t="0" r="9525" b="0"/>
                  <wp:docPr id="2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8" cstate="print"/>
                          <a:srcRect/>
                          <a:stretch>
                            <a:fillRect/>
                          </a:stretch>
                        </pic:blipFill>
                        <pic:spPr bwMode="auto">
                          <a:xfrm>
                            <a:off x="0" y="0"/>
                            <a:ext cx="714375" cy="685800"/>
                          </a:xfrm>
                          <a:prstGeom prst="rect">
                            <a:avLst/>
                          </a:prstGeom>
                          <a:noFill/>
                          <a:ln w="9525">
                            <a:noFill/>
                            <a:miter lim="800000"/>
                            <a:headEnd/>
                            <a:tailEnd/>
                          </a:ln>
                        </pic:spPr>
                      </pic:pic>
                    </a:graphicData>
                  </a:graphic>
                </wp:inline>
              </w:drawing>
            </w:r>
          </w:p>
        </w:tc>
      </w:tr>
      <w:tr w:rsidR="00CA27E3" w:rsidRPr="00D83000" w14:paraId="2B7912C7" w14:textId="77777777" w:rsidTr="003B4610">
        <w:trPr>
          <w:jc w:val="center"/>
        </w:trPr>
        <w:tc>
          <w:tcPr>
            <w:tcW w:w="2347" w:type="dxa"/>
            <w:tcBorders>
              <w:top w:val="single" w:sz="4" w:space="0" w:color="auto"/>
              <w:left w:val="single" w:sz="4" w:space="0" w:color="auto"/>
            </w:tcBorders>
            <w:shd w:val="clear" w:color="auto" w:fill="FFFFFF"/>
            <w:vAlign w:val="center"/>
          </w:tcPr>
          <w:p w14:paraId="78291688" w14:textId="77777777" w:rsidR="00CA27E3" w:rsidRPr="00D83000" w:rsidRDefault="00CA27E3" w:rsidP="003B4610">
            <w:pPr>
              <w:pStyle w:val="a4"/>
              <w:shd w:val="clear" w:color="auto" w:fill="auto"/>
              <w:spacing w:after="120" w:line="240" w:lineRule="auto"/>
              <w:ind w:right="56"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2338" w:type="dxa"/>
            <w:tcBorders>
              <w:top w:val="single" w:sz="4" w:space="0" w:color="auto"/>
              <w:left w:val="single" w:sz="4" w:space="0" w:color="auto"/>
            </w:tcBorders>
            <w:shd w:val="clear" w:color="auto" w:fill="FFFFFF"/>
            <w:vAlign w:val="center"/>
          </w:tcPr>
          <w:p w14:paraId="5B5262FB" w14:textId="77777777" w:rsidR="00CA27E3" w:rsidRPr="00D83000" w:rsidRDefault="00CA27E3" w:rsidP="003B4610">
            <w:pPr>
              <w:pStyle w:val="a4"/>
              <w:shd w:val="clear" w:color="auto" w:fill="auto"/>
              <w:spacing w:after="120" w:line="240" w:lineRule="auto"/>
              <w:ind w:right="56" w:firstLine="160"/>
              <w:jc w:val="center"/>
              <w:rPr>
                <w:rFonts w:ascii="Sylfaen" w:hAnsi="Sylfaen" w:cs="Sylfaen"/>
                <w:sz w:val="20"/>
                <w:szCs w:val="20"/>
              </w:rPr>
            </w:pPr>
            <w:r w:rsidRPr="00D83000">
              <w:rPr>
                <w:rFonts w:ascii="Sylfaen" w:hAnsi="Sylfaen"/>
                <w:sz w:val="20"/>
                <w:szCs w:val="20"/>
              </w:rPr>
              <w:t>Հաշվարկային լուսատացքը (լմ/Վտ), 100 ժ շահագործումից հետո</w:t>
            </w:r>
          </w:p>
        </w:tc>
        <w:tc>
          <w:tcPr>
            <w:tcW w:w="2342" w:type="dxa"/>
            <w:tcBorders>
              <w:top w:val="single" w:sz="4" w:space="0" w:color="auto"/>
              <w:left w:val="single" w:sz="4" w:space="0" w:color="auto"/>
            </w:tcBorders>
            <w:shd w:val="clear" w:color="auto" w:fill="FFFFFF"/>
            <w:vAlign w:val="center"/>
          </w:tcPr>
          <w:p w14:paraId="02AC0F87" w14:textId="77777777" w:rsidR="00CA27E3" w:rsidRPr="00D83000" w:rsidRDefault="00CA27E3" w:rsidP="003B4610">
            <w:pPr>
              <w:pStyle w:val="a4"/>
              <w:shd w:val="clear" w:color="auto" w:fill="auto"/>
              <w:spacing w:after="120" w:line="240" w:lineRule="auto"/>
              <w:ind w:right="56" w:firstLine="0"/>
              <w:jc w:val="center"/>
              <w:rPr>
                <w:rFonts w:ascii="Sylfaen" w:hAnsi="Sylfaen" w:cs="Sylfaen"/>
                <w:sz w:val="20"/>
                <w:szCs w:val="20"/>
              </w:rPr>
            </w:pPr>
            <w:r w:rsidRPr="00D83000">
              <w:rPr>
                <w:rFonts w:ascii="Sylfaen" w:hAnsi="Sylfaen"/>
                <w:sz w:val="20"/>
                <w:szCs w:val="20"/>
              </w:rPr>
              <w:t>Անվանական հզորությունը, Վտ</w:t>
            </w:r>
          </w:p>
        </w:tc>
        <w:tc>
          <w:tcPr>
            <w:tcW w:w="2352" w:type="dxa"/>
            <w:tcBorders>
              <w:top w:val="single" w:sz="4" w:space="0" w:color="auto"/>
              <w:left w:val="single" w:sz="4" w:space="0" w:color="auto"/>
              <w:right w:val="single" w:sz="4" w:space="0" w:color="auto"/>
            </w:tcBorders>
            <w:shd w:val="clear" w:color="auto" w:fill="FFFFFF"/>
            <w:vAlign w:val="center"/>
          </w:tcPr>
          <w:p w14:paraId="1DDC6771" w14:textId="77777777" w:rsidR="00CA27E3" w:rsidRPr="00D83000" w:rsidRDefault="00CA27E3" w:rsidP="003B4610">
            <w:pPr>
              <w:pStyle w:val="a4"/>
              <w:shd w:val="clear" w:color="auto" w:fill="auto"/>
              <w:spacing w:after="120" w:line="240" w:lineRule="auto"/>
              <w:ind w:right="56" w:firstLine="0"/>
              <w:jc w:val="center"/>
              <w:rPr>
                <w:rFonts w:ascii="Sylfaen" w:hAnsi="Sylfaen" w:cs="Sylfaen"/>
                <w:sz w:val="20"/>
                <w:szCs w:val="20"/>
              </w:rPr>
            </w:pPr>
            <w:r w:rsidRPr="00D83000">
              <w:rPr>
                <w:rFonts w:ascii="Sylfaen" w:hAnsi="Sylfaen"/>
                <w:sz w:val="20"/>
                <w:szCs w:val="20"/>
              </w:rPr>
              <w:t>Հաշվարկային լուսատացքը (լմ/Վտ), 100 ժ շահագործումից հետո</w:t>
            </w:r>
          </w:p>
        </w:tc>
      </w:tr>
      <w:tr w:rsidR="00CA27E3" w:rsidRPr="00D83000" w14:paraId="39F730B8" w14:textId="77777777" w:rsidTr="00CA27E3">
        <w:trPr>
          <w:jc w:val="center"/>
        </w:trPr>
        <w:tc>
          <w:tcPr>
            <w:tcW w:w="2347" w:type="dxa"/>
            <w:tcBorders>
              <w:top w:val="single" w:sz="4" w:space="0" w:color="auto"/>
              <w:left w:val="single" w:sz="4" w:space="0" w:color="auto"/>
            </w:tcBorders>
            <w:shd w:val="clear" w:color="auto" w:fill="FFFFFF"/>
            <w:vAlign w:val="bottom"/>
          </w:tcPr>
          <w:p w14:paraId="5ED213AA" w14:textId="77777777" w:rsidR="00CA27E3" w:rsidRPr="00D83000" w:rsidRDefault="00CA27E3" w:rsidP="00D83000">
            <w:pPr>
              <w:pStyle w:val="a4"/>
              <w:shd w:val="clear" w:color="auto" w:fill="auto"/>
              <w:spacing w:after="120" w:line="240" w:lineRule="auto"/>
              <w:ind w:left="1040" w:firstLine="0"/>
              <w:jc w:val="both"/>
              <w:rPr>
                <w:rFonts w:ascii="Sylfaen" w:hAnsi="Sylfaen" w:cs="Sylfaen"/>
                <w:sz w:val="20"/>
                <w:szCs w:val="20"/>
              </w:rPr>
            </w:pPr>
            <w:r w:rsidRPr="00D83000">
              <w:rPr>
                <w:rFonts w:ascii="Sylfaen" w:hAnsi="Sylfaen"/>
                <w:sz w:val="20"/>
                <w:szCs w:val="20"/>
              </w:rPr>
              <w:t>22</w:t>
            </w:r>
          </w:p>
        </w:tc>
        <w:tc>
          <w:tcPr>
            <w:tcW w:w="2338" w:type="dxa"/>
            <w:tcBorders>
              <w:top w:val="single" w:sz="4" w:space="0" w:color="auto"/>
              <w:left w:val="single" w:sz="4" w:space="0" w:color="auto"/>
            </w:tcBorders>
            <w:shd w:val="clear" w:color="auto" w:fill="FFFFFF"/>
            <w:vAlign w:val="bottom"/>
          </w:tcPr>
          <w:p w14:paraId="3C49438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52</w:t>
            </w:r>
          </w:p>
        </w:tc>
        <w:tc>
          <w:tcPr>
            <w:tcW w:w="2342" w:type="dxa"/>
            <w:tcBorders>
              <w:top w:val="single" w:sz="4" w:space="0" w:color="auto"/>
              <w:left w:val="single" w:sz="4" w:space="0" w:color="auto"/>
            </w:tcBorders>
            <w:shd w:val="clear" w:color="auto" w:fill="FFFFFF"/>
            <w:vAlign w:val="bottom"/>
          </w:tcPr>
          <w:p w14:paraId="61AFE1D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22</w:t>
            </w:r>
          </w:p>
        </w:tc>
        <w:tc>
          <w:tcPr>
            <w:tcW w:w="2352" w:type="dxa"/>
            <w:tcBorders>
              <w:top w:val="single" w:sz="4" w:space="0" w:color="auto"/>
              <w:left w:val="single" w:sz="4" w:space="0" w:color="auto"/>
              <w:right w:val="single" w:sz="4" w:space="0" w:color="auto"/>
            </w:tcBorders>
            <w:shd w:val="clear" w:color="auto" w:fill="FFFFFF"/>
            <w:vAlign w:val="bottom"/>
          </w:tcPr>
          <w:p w14:paraId="3378BCF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77</w:t>
            </w:r>
          </w:p>
        </w:tc>
      </w:tr>
      <w:tr w:rsidR="00CA27E3" w:rsidRPr="00D83000" w14:paraId="5AE98896" w14:textId="77777777" w:rsidTr="00CA27E3">
        <w:trPr>
          <w:jc w:val="center"/>
        </w:trPr>
        <w:tc>
          <w:tcPr>
            <w:tcW w:w="2347" w:type="dxa"/>
            <w:tcBorders>
              <w:top w:val="single" w:sz="4" w:space="0" w:color="auto"/>
              <w:left w:val="single" w:sz="4" w:space="0" w:color="auto"/>
            </w:tcBorders>
            <w:shd w:val="clear" w:color="auto" w:fill="FFFFFF"/>
            <w:vAlign w:val="bottom"/>
          </w:tcPr>
          <w:p w14:paraId="5B14D184" w14:textId="77777777" w:rsidR="00CA27E3" w:rsidRPr="00D83000" w:rsidRDefault="00CA27E3" w:rsidP="00D83000">
            <w:pPr>
              <w:pStyle w:val="a4"/>
              <w:shd w:val="clear" w:color="auto" w:fill="auto"/>
              <w:spacing w:after="120" w:line="240" w:lineRule="auto"/>
              <w:ind w:left="1040" w:firstLine="0"/>
              <w:jc w:val="both"/>
              <w:rPr>
                <w:rFonts w:ascii="Sylfaen" w:hAnsi="Sylfaen" w:cs="Sylfaen"/>
                <w:sz w:val="20"/>
                <w:szCs w:val="20"/>
              </w:rPr>
            </w:pPr>
            <w:r w:rsidRPr="00D83000">
              <w:rPr>
                <w:rFonts w:ascii="Sylfaen" w:hAnsi="Sylfaen"/>
                <w:sz w:val="20"/>
                <w:szCs w:val="20"/>
              </w:rPr>
              <w:t>32</w:t>
            </w:r>
          </w:p>
        </w:tc>
        <w:tc>
          <w:tcPr>
            <w:tcW w:w="2338" w:type="dxa"/>
            <w:tcBorders>
              <w:top w:val="single" w:sz="4" w:space="0" w:color="auto"/>
              <w:left w:val="single" w:sz="4" w:space="0" w:color="auto"/>
            </w:tcBorders>
            <w:shd w:val="clear" w:color="auto" w:fill="FFFFFF"/>
            <w:vAlign w:val="bottom"/>
          </w:tcPr>
          <w:p w14:paraId="48B6AA8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64</w:t>
            </w:r>
          </w:p>
        </w:tc>
        <w:tc>
          <w:tcPr>
            <w:tcW w:w="2342" w:type="dxa"/>
            <w:tcBorders>
              <w:top w:val="single" w:sz="4" w:space="0" w:color="auto"/>
              <w:left w:val="single" w:sz="4" w:space="0" w:color="auto"/>
            </w:tcBorders>
            <w:shd w:val="clear" w:color="auto" w:fill="FFFFFF"/>
            <w:vAlign w:val="bottom"/>
          </w:tcPr>
          <w:p w14:paraId="22B8639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w:t>
            </w:r>
          </w:p>
        </w:tc>
        <w:tc>
          <w:tcPr>
            <w:tcW w:w="2352" w:type="dxa"/>
            <w:tcBorders>
              <w:top w:val="single" w:sz="4" w:space="0" w:color="auto"/>
              <w:left w:val="single" w:sz="4" w:space="0" w:color="auto"/>
              <w:right w:val="single" w:sz="4" w:space="0" w:color="auto"/>
            </w:tcBorders>
            <w:shd w:val="clear" w:color="auto" w:fill="FFFFFF"/>
            <w:vAlign w:val="bottom"/>
          </w:tcPr>
          <w:p w14:paraId="16D094C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78</w:t>
            </w:r>
          </w:p>
        </w:tc>
      </w:tr>
      <w:tr w:rsidR="00CA27E3" w:rsidRPr="00D83000" w14:paraId="212FDB3D" w14:textId="77777777" w:rsidTr="00CA27E3">
        <w:trPr>
          <w:jc w:val="center"/>
        </w:trPr>
        <w:tc>
          <w:tcPr>
            <w:tcW w:w="2347" w:type="dxa"/>
            <w:tcBorders>
              <w:top w:val="single" w:sz="4" w:space="0" w:color="auto"/>
              <w:left w:val="single" w:sz="4" w:space="0" w:color="auto"/>
            </w:tcBorders>
            <w:shd w:val="clear" w:color="auto" w:fill="FFFFFF"/>
          </w:tcPr>
          <w:p w14:paraId="4C29D5F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w:t>
            </w:r>
          </w:p>
        </w:tc>
        <w:tc>
          <w:tcPr>
            <w:tcW w:w="2338" w:type="dxa"/>
            <w:tcBorders>
              <w:top w:val="single" w:sz="4" w:space="0" w:color="auto"/>
              <w:left w:val="single" w:sz="4" w:space="0" w:color="auto"/>
            </w:tcBorders>
            <w:shd w:val="clear" w:color="auto" w:fill="FFFFFF"/>
          </w:tcPr>
          <w:p w14:paraId="7C01EE5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70</w:t>
            </w:r>
          </w:p>
        </w:tc>
        <w:tc>
          <w:tcPr>
            <w:tcW w:w="2342" w:type="dxa"/>
            <w:tcBorders>
              <w:top w:val="single" w:sz="4" w:space="0" w:color="auto"/>
              <w:left w:val="single" w:sz="4" w:space="0" w:color="auto"/>
            </w:tcBorders>
            <w:shd w:val="clear" w:color="auto" w:fill="FFFFFF"/>
          </w:tcPr>
          <w:p w14:paraId="7120A33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w:t>
            </w:r>
          </w:p>
        </w:tc>
        <w:tc>
          <w:tcPr>
            <w:tcW w:w="2352" w:type="dxa"/>
            <w:tcBorders>
              <w:top w:val="single" w:sz="4" w:space="0" w:color="auto"/>
              <w:left w:val="single" w:sz="4" w:space="0" w:color="auto"/>
              <w:right w:val="single" w:sz="4" w:space="0" w:color="auto"/>
            </w:tcBorders>
            <w:shd w:val="clear" w:color="auto" w:fill="FFFFFF"/>
          </w:tcPr>
          <w:p w14:paraId="0C2276A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r>
      <w:tr w:rsidR="00CA27E3" w:rsidRPr="00D83000" w14:paraId="15D6EFD5" w14:textId="77777777" w:rsidTr="00CA27E3">
        <w:trPr>
          <w:jc w:val="center"/>
        </w:trPr>
        <w:tc>
          <w:tcPr>
            <w:tcW w:w="2347" w:type="dxa"/>
            <w:tcBorders>
              <w:top w:val="single" w:sz="4" w:space="0" w:color="auto"/>
              <w:left w:val="single" w:sz="4" w:space="0" w:color="auto"/>
              <w:bottom w:val="single" w:sz="4" w:space="0" w:color="auto"/>
            </w:tcBorders>
            <w:shd w:val="clear" w:color="auto" w:fill="FFFFFF"/>
            <w:vAlign w:val="bottom"/>
          </w:tcPr>
          <w:p w14:paraId="43FA6776" w14:textId="77777777" w:rsidR="00CA27E3" w:rsidRPr="00D83000" w:rsidRDefault="00CA27E3" w:rsidP="00D83000">
            <w:pPr>
              <w:pStyle w:val="a4"/>
              <w:shd w:val="clear" w:color="auto" w:fill="auto"/>
              <w:spacing w:after="120" w:line="240" w:lineRule="auto"/>
              <w:ind w:left="1040" w:firstLine="0"/>
              <w:jc w:val="both"/>
              <w:rPr>
                <w:rFonts w:ascii="Sylfaen" w:hAnsi="Sylfaen" w:cs="Sylfaen"/>
                <w:sz w:val="20"/>
                <w:szCs w:val="20"/>
              </w:rPr>
            </w:pPr>
            <w:r w:rsidRPr="00D83000">
              <w:rPr>
                <w:rFonts w:ascii="Sylfaen" w:hAnsi="Sylfaen"/>
                <w:sz w:val="20"/>
                <w:szCs w:val="20"/>
              </w:rPr>
              <w:t>60</w:t>
            </w:r>
          </w:p>
        </w:tc>
        <w:tc>
          <w:tcPr>
            <w:tcW w:w="2338" w:type="dxa"/>
            <w:tcBorders>
              <w:top w:val="single" w:sz="4" w:space="0" w:color="auto"/>
              <w:left w:val="single" w:sz="4" w:space="0" w:color="auto"/>
              <w:bottom w:val="single" w:sz="4" w:space="0" w:color="auto"/>
            </w:tcBorders>
            <w:shd w:val="clear" w:color="auto" w:fill="FFFFFF"/>
            <w:vAlign w:val="bottom"/>
          </w:tcPr>
          <w:p w14:paraId="785FEB7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w:t>
            </w:r>
          </w:p>
        </w:tc>
        <w:tc>
          <w:tcPr>
            <w:tcW w:w="2342" w:type="dxa"/>
            <w:tcBorders>
              <w:top w:val="single" w:sz="4" w:space="0" w:color="auto"/>
              <w:left w:val="single" w:sz="4" w:space="0" w:color="auto"/>
              <w:bottom w:val="single" w:sz="4" w:space="0" w:color="auto"/>
            </w:tcBorders>
            <w:shd w:val="clear" w:color="auto" w:fill="FFFFFF"/>
            <w:vAlign w:val="bottom"/>
          </w:tcPr>
          <w:p w14:paraId="12D906A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w:t>
            </w:r>
          </w:p>
        </w:tc>
        <w:tc>
          <w:tcPr>
            <w:tcW w:w="2352" w:type="dxa"/>
            <w:tcBorders>
              <w:top w:val="single" w:sz="4" w:space="0" w:color="auto"/>
              <w:left w:val="single" w:sz="4" w:space="0" w:color="auto"/>
              <w:bottom w:val="single" w:sz="4" w:space="0" w:color="auto"/>
              <w:right w:val="single" w:sz="4" w:space="0" w:color="auto"/>
            </w:tcBorders>
            <w:shd w:val="clear" w:color="auto" w:fill="FFFFFF"/>
            <w:vAlign w:val="bottom"/>
          </w:tcPr>
          <w:p w14:paraId="2AE1070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80</w:t>
            </w:r>
          </w:p>
        </w:tc>
      </w:tr>
    </w:tbl>
    <w:p w14:paraId="71BB8DE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p>
    <w:p w14:paraId="433EBFD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Լմ/Վտ-ը հաշվարկելիս թույլատրվում է տասնորդական մասերի կլորացում՝ աճման ուղղությամբ։</w:t>
      </w:r>
    </w:p>
    <w:p w14:paraId="595353E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Որոշակի պարամետրերով՝ մեկ </w:t>
      </w:r>
      <w:r>
        <w:rPr>
          <w:rFonts w:ascii="Sylfaen" w:hAnsi="Sylfaen"/>
          <w:sz w:val="24"/>
          <w:szCs w:val="24"/>
        </w:rPr>
        <w:t>եւ</w:t>
      </w:r>
      <w:r w:rsidRPr="00CA27E3">
        <w:rPr>
          <w:rFonts w:ascii="Sylfaen" w:hAnsi="Sylfaen"/>
          <w:sz w:val="24"/>
          <w:szCs w:val="24"/>
        </w:rPr>
        <w:t xml:space="preserve"> երկու լամպակոթով լյումինեսցենտային լամպերի համար թույլատրվում է նվազագույն լուսատացքի հաշվարկային արժեքների նվազեցում։ Լուսատացքը կարող է պակաս լինել 6-րդ աղյուսակում նշված պարամետրերով լամպերի համար։</w:t>
      </w:r>
    </w:p>
    <w:p w14:paraId="6CC7B8B6" w14:textId="77777777" w:rsidR="003B4610" w:rsidRDefault="003B4610">
      <w:pPr>
        <w:rPr>
          <w:rFonts w:ascii="Sylfaen" w:eastAsia="Times New Roman" w:hAnsi="Sylfaen" w:cs="Sylfaen"/>
          <w:color w:val="auto"/>
        </w:rPr>
      </w:pPr>
      <w:r>
        <w:rPr>
          <w:rFonts w:ascii="Sylfaen" w:hAnsi="Sylfaen" w:cs="Sylfaen"/>
        </w:rPr>
        <w:br w:type="page"/>
      </w:r>
    </w:p>
    <w:p w14:paraId="4506037F" w14:textId="77777777" w:rsidR="00CA27E3" w:rsidRPr="00CA27E3" w:rsidRDefault="00CA27E3" w:rsidP="00CA27E3">
      <w:pPr>
        <w:pStyle w:val="a2"/>
        <w:shd w:val="clear" w:color="auto" w:fill="auto"/>
        <w:spacing w:after="160" w:line="360" w:lineRule="auto"/>
        <w:ind w:left="77"/>
        <w:jc w:val="right"/>
        <w:rPr>
          <w:rFonts w:ascii="Sylfaen" w:hAnsi="Sylfaen" w:cs="Sylfaen"/>
          <w:sz w:val="24"/>
          <w:szCs w:val="24"/>
        </w:rPr>
      </w:pPr>
      <w:r w:rsidRPr="00CA27E3">
        <w:rPr>
          <w:rFonts w:ascii="Sylfaen" w:hAnsi="Sylfaen"/>
          <w:sz w:val="24"/>
          <w:szCs w:val="24"/>
        </w:rPr>
        <w:lastRenderedPageBreak/>
        <w:t>Աղյուսակ 6</w:t>
      </w:r>
    </w:p>
    <w:p w14:paraId="12C0EFD6" w14:textId="77777777" w:rsidR="00CA27E3" w:rsidRPr="00CA27E3" w:rsidRDefault="00CA27E3" w:rsidP="00CA27E3">
      <w:pPr>
        <w:pStyle w:val="a2"/>
        <w:shd w:val="clear" w:color="auto" w:fill="auto"/>
        <w:spacing w:after="160" w:line="360" w:lineRule="auto"/>
        <w:ind w:left="77"/>
        <w:jc w:val="center"/>
        <w:rPr>
          <w:rFonts w:ascii="Sylfaen" w:hAnsi="Sylfaen" w:cs="Sylfaen"/>
          <w:sz w:val="24"/>
          <w:szCs w:val="24"/>
        </w:rPr>
      </w:pPr>
      <w:r w:rsidRPr="00CA27E3">
        <w:rPr>
          <w:rFonts w:ascii="Sylfaen" w:hAnsi="Sylfaen"/>
          <w:sz w:val="24"/>
          <w:szCs w:val="24"/>
        </w:rPr>
        <w:t xml:space="preserve">Բարձր գունային ջերմաստիճանով, գունահաղորդման բարձր ցուցիչով, </w:t>
      </w:r>
      <w:r w:rsidR="003B4610" w:rsidRPr="003B4610">
        <w:rPr>
          <w:rFonts w:ascii="Sylfaen" w:hAnsi="Sylfaen"/>
          <w:sz w:val="24"/>
          <w:szCs w:val="24"/>
        </w:rPr>
        <w:br/>
      </w:r>
      <w:r w:rsidRPr="00CA27E3">
        <w:rPr>
          <w:rFonts w:ascii="Sylfaen" w:hAnsi="Sylfaen"/>
          <w:sz w:val="24"/>
          <w:szCs w:val="24"/>
        </w:rPr>
        <w:t xml:space="preserve">երկրորդ թաղանթով կամ առավել երկար ծառայության ժամկետով լյումինեսցենտային լամպերի լուսատացքի նվազագույն արժեքների </w:t>
      </w:r>
      <w:r w:rsidR="003B4610" w:rsidRPr="003B4610">
        <w:rPr>
          <w:rFonts w:ascii="Sylfaen" w:hAnsi="Sylfaen"/>
          <w:sz w:val="24"/>
          <w:szCs w:val="24"/>
        </w:rPr>
        <w:br/>
      </w:r>
      <w:r w:rsidRPr="00CA27E3">
        <w:rPr>
          <w:rFonts w:ascii="Sylfaen" w:hAnsi="Sylfaen"/>
          <w:sz w:val="24"/>
          <w:szCs w:val="24"/>
        </w:rPr>
        <w:t>թույլատրելի նվազեցումը</w:t>
      </w:r>
    </w:p>
    <w:tbl>
      <w:tblPr>
        <w:tblOverlap w:val="never"/>
        <w:tblW w:w="9379" w:type="dxa"/>
        <w:jc w:val="center"/>
        <w:tblLayout w:type="fixed"/>
        <w:tblCellMar>
          <w:left w:w="10" w:type="dxa"/>
          <w:right w:w="10" w:type="dxa"/>
        </w:tblCellMar>
        <w:tblLook w:val="0000" w:firstRow="0" w:lastRow="0" w:firstColumn="0" w:lastColumn="0" w:noHBand="0" w:noVBand="0"/>
      </w:tblPr>
      <w:tblGrid>
        <w:gridCol w:w="4397"/>
        <w:gridCol w:w="4982"/>
      </w:tblGrid>
      <w:tr w:rsidR="00CA27E3" w:rsidRPr="00D83000" w14:paraId="52252FBF" w14:textId="77777777" w:rsidTr="00CA27E3">
        <w:trPr>
          <w:jc w:val="center"/>
        </w:trPr>
        <w:tc>
          <w:tcPr>
            <w:tcW w:w="4397" w:type="dxa"/>
            <w:tcBorders>
              <w:top w:val="single" w:sz="4" w:space="0" w:color="auto"/>
              <w:left w:val="single" w:sz="4" w:space="0" w:color="auto"/>
            </w:tcBorders>
            <w:shd w:val="clear" w:color="auto" w:fill="FFFFFF"/>
            <w:vAlign w:val="center"/>
          </w:tcPr>
          <w:p w14:paraId="0EBDB04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պարամետրերը</w:t>
            </w:r>
          </w:p>
        </w:tc>
        <w:tc>
          <w:tcPr>
            <w:tcW w:w="4982" w:type="dxa"/>
            <w:tcBorders>
              <w:top w:val="single" w:sz="4" w:space="0" w:color="auto"/>
              <w:left w:val="single" w:sz="4" w:space="0" w:color="auto"/>
              <w:right w:val="single" w:sz="4" w:space="0" w:color="auto"/>
            </w:tcBorders>
            <w:shd w:val="clear" w:color="auto" w:fill="FFFFFF"/>
            <w:vAlign w:val="bottom"/>
          </w:tcPr>
          <w:p w14:paraId="1E20248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Լուսատացքի թույլատրված նվազեցումը 25 °C ջերմաստիճանում</w:t>
            </w:r>
          </w:p>
        </w:tc>
      </w:tr>
      <w:tr w:rsidR="00CA27E3" w:rsidRPr="00D83000" w14:paraId="34F4E5D1" w14:textId="77777777" w:rsidTr="00CA27E3">
        <w:trPr>
          <w:jc w:val="center"/>
        </w:trPr>
        <w:tc>
          <w:tcPr>
            <w:tcW w:w="4397" w:type="dxa"/>
            <w:tcBorders>
              <w:top w:val="single" w:sz="4" w:space="0" w:color="auto"/>
              <w:left w:val="single" w:sz="4" w:space="0" w:color="auto"/>
            </w:tcBorders>
            <w:shd w:val="clear" w:color="auto" w:fill="FFFFFF"/>
            <w:vAlign w:val="bottom"/>
          </w:tcPr>
          <w:p w14:paraId="77A585C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mallCaps/>
                <w:sz w:val="20"/>
                <w:szCs w:val="20"/>
              </w:rPr>
              <w:t>Т</w:t>
            </w:r>
            <w:r w:rsidRPr="00D83000">
              <w:rPr>
                <w:rFonts w:ascii="Sylfaen" w:hAnsi="Sylfaen"/>
                <w:smallCaps/>
                <w:sz w:val="20"/>
                <w:szCs w:val="20"/>
                <w:vertAlign w:val="subscript"/>
              </w:rPr>
              <w:t>c</w:t>
            </w:r>
            <w:r w:rsidRPr="00D83000">
              <w:rPr>
                <w:rFonts w:ascii="Sylfaen" w:hAnsi="Sylfaen"/>
                <w:sz w:val="20"/>
                <w:szCs w:val="20"/>
              </w:rPr>
              <w:t xml:space="preserve"> ≥ 5 000 K</w:t>
            </w:r>
          </w:p>
        </w:tc>
        <w:tc>
          <w:tcPr>
            <w:tcW w:w="4982" w:type="dxa"/>
            <w:tcBorders>
              <w:top w:val="single" w:sz="4" w:space="0" w:color="auto"/>
              <w:left w:val="single" w:sz="4" w:space="0" w:color="auto"/>
              <w:right w:val="single" w:sz="4" w:space="0" w:color="auto"/>
            </w:tcBorders>
            <w:shd w:val="clear" w:color="auto" w:fill="FFFFFF"/>
            <w:vAlign w:val="bottom"/>
          </w:tcPr>
          <w:p w14:paraId="240A29D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- 10 %</w:t>
            </w:r>
          </w:p>
        </w:tc>
      </w:tr>
      <w:tr w:rsidR="00CA27E3" w:rsidRPr="00D83000" w14:paraId="6BAAE4BE" w14:textId="77777777" w:rsidTr="00CA27E3">
        <w:trPr>
          <w:jc w:val="center"/>
        </w:trPr>
        <w:tc>
          <w:tcPr>
            <w:tcW w:w="4397" w:type="dxa"/>
            <w:tcBorders>
              <w:top w:val="single" w:sz="4" w:space="0" w:color="auto"/>
              <w:left w:val="single" w:sz="4" w:space="0" w:color="auto"/>
            </w:tcBorders>
            <w:shd w:val="clear" w:color="auto" w:fill="FFFFFF"/>
            <w:vAlign w:val="center"/>
          </w:tcPr>
          <w:p w14:paraId="3221574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95 ≥ Ra &gt; 90</w:t>
            </w:r>
          </w:p>
        </w:tc>
        <w:tc>
          <w:tcPr>
            <w:tcW w:w="4982" w:type="dxa"/>
            <w:tcBorders>
              <w:top w:val="single" w:sz="4" w:space="0" w:color="auto"/>
              <w:left w:val="single" w:sz="4" w:space="0" w:color="auto"/>
              <w:right w:val="single" w:sz="4" w:space="0" w:color="auto"/>
            </w:tcBorders>
            <w:shd w:val="clear" w:color="auto" w:fill="FFFFFF"/>
            <w:vAlign w:val="center"/>
          </w:tcPr>
          <w:p w14:paraId="441EC65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- 20 %</w:t>
            </w:r>
          </w:p>
        </w:tc>
      </w:tr>
      <w:tr w:rsidR="00CA27E3" w:rsidRPr="00D83000" w14:paraId="72709228" w14:textId="77777777" w:rsidTr="00CA27E3">
        <w:trPr>
          <w:jc w:val="center"/>
        </w:trPr>
        <w:tc>
          <w:tcPr>
            <w:tcW w:w="4397" w:type="dxa"/>
            <w:tcBorders>
              <w:top w:val="single" w:sz="4" w:space="0" w:color="auto"/>
              <w:left w:val="single" w:sz="4" w:space="0" w:color="auto"/>
            </w:tcBorders>
            <w:shd w:val="clear" w:color="auto" w:fill="FFFFFF"/>
          </w:tcPr>
          <w:p w14:paraId="16164CA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Ra &gt; 95</w:t>
            </w:r>
          </w:p>
        </w:tc>
        <w:tc>
          <w:tcPr>
            <w:tcW w:w="4982" w:type="dxa"/>
            <w:tcBorders>
              <w:top w:val="single" w:sz="4" w:space="0" w:color="auto"/>
              <w:left w:val="single" w:sz="4" w:space="0" w:color="auto"/>
              <w:right w:val="single" w:sz="4" w:space="0" w:color="auto"/>
            </w:tcBorders>
            <w:shd w:val="clear" w:color="auto" w:fill="FFFFFF"/>
          </w:tcPr>
          <w:p w14:paraId="70867CD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- 30 %</w:t>
            </w:r>
          </w:p>
        </w:tc>
      </w:tr>
      <w:tr w:rsidR="00CA27E3" w:rsidRPr="00D83000" w14:paraId="08227F79" w14:textId="77777777" w:rsidTr="003B4610">
        <w:trPr>
          <w:jc w:val="center"/>
        </w:trPr>
        <w:tc>
          <w:tcPr>
            <w:tcW w:w="4397" w:type="dxa"/>
            <w:tcBorders>
              <w:top w:val="single" w:sz="4" w:space="0" w:color="auto"/>
              <w:left w:val="single" w:sz="4" w:space="0" w:color="auto"/>
              <w:bottom w:val="single" w:sz="4" w:space="0" w:color="auto"/>
            </w:tcBorders>
            <w:shd w:val="clear" w:color="auto" w:fill="FFFFFF"/>
            <w:vAlign w:val="center"/>
          </w:tcPr>
          <w:p w14:paraId="63A3F626" w14:textId="77777777" w:rsidR="00CA27E3" w:rsidRPr="00D83000" w:rsidRDefault="00CA27E3" w:rsidP="003B4610">
            <w:pPr>
              <w:pStyle w:val="a4"/>
              <w:spacing w:after="120"/>
              <w:ind w:firstLine="0"/>
              <w:jc w:val="center"/>
              <w:rPr>
                <w:rFonts w:ascii="Sylfaen" w:hAnsi="Sylfaen" w:cs="Sylfaen"/>
                <w:sz w:val="20"/>
                <w:szCs w:val="20"/>
              </w:rPr>
            </w:pPr>
            <w:r w:rsidRPr="00D83000">
              <w:rPr>
                <w:rFonts w:ascii="Sylfaen" w:hAnsi="Sylfaen"/>
                <w:sz w:val="20"/>
                <w:szCs w:val="20"/>
              </w:rPr>
              <w:t>Երկրորդ թաղանթի առկայության դեպքում</w:t>
            </w:r>
          </w:p>
        </w:tc>
        <w:tc>
          <w:tcPr>
            <w:tcW w:w="4982" w:type="dxa"/>
            <w:tcBorders>
              <w:top w:val="single" w:sz="4" w:space="0" w:color="auto"/>
              <w:left w:val="single" w:sz="4" w:space="0" w:color="auto"/>
              <w:right w:val="single" w:sz="4" w:space="0" w:color="auto"/>
            </w:tcBorders>
            <w:shd w:val="clear" w:color="auto" w:fill="FFFFFF"/>
            <w:vAlign w:val="center"/>
          </w:tcPr>
          <w:p w14:paraId="2427061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- 10 %</w:t>
            </w:r>
          </w:p>
        </w:tc>
      </w:tr>
      <w:tr w:rsidR="00CA27E3" w:rsidRPr="00D83000" w14:paraId="21FA21A0" w14:textId="77777777" w:rsidTr="003B4610">
        <w:trPr>
          <w:trHeight w:val="882"/>
          <w:jc w:val="center"/>
        </w:trPr>
        <w:tc>
          <w:tcPr>
            <w:tcW w:w="4397" w:type="dxa"/>
            <w:tcBorders>
              <w:top w:val="single" w:sz="4" w:space="0" w:color="auto"/>
              <w:left w:val="single" w:sz="4" w:space="0" w:color="auto"/>
            </w:tcBorders>
            <w:shd w:val="clear" w:color="auto" w:fill="FFFFFF"/>
            <w:vAlign w:val="center"/>
          </w:tcPr>
          <w:p w14:paraId="2E80FEE1" w14:textId="77777777" w:rsidR="00CA27E3" w:rsidRPr="00D83000" w:rsidRDefault="003B4610" w:rsidP="003B4610">
            <w:pPr>
              <w:pStyle w:val="a4"/>
              <w:spacing w:after="120"/>
              <w:ind w:right="122" w:firstLine="2"/>
              <w:jc w:val="center"/>
              <w:rPr>
                <w:rFonts w:ascii="Sylfaen" w:hAnsi="Sylfaen" w:cs="Sylfaen"/>
                <w:sz w:val="20"/>
                <w:szCs w:val="20"/>
              </w:rPr>
            </w:pPr>
            <w:r w:rsidRPr="00D83000">
              <w:rPr>
                <w:rFonts w:ascii="Sylfaen" w:hAnsi="Sylfaen"/>
                <w:sz w:val="20"/>
                <w:szCs w:val="20"/>
              </w:rPr>
              <w:t>Լամպի ծառայության ժամկետի գործակիցը ≥</w:t>
            </w:r>
            <w:r w:rsidRPr="003B4610">
              <w:rPr>
                <w:rFonts w:ascii="Sylfaen" w:hAnsi="Sylfaen"/>
                <w:sz w:val="20"/>
                <w:szCs w:val="20"/>
              </w:rPr>
              <w:t> </w:t>
            </w:r>
            <w:r w:rsidRPr="00D83000">
              <w:rPr>
                <w:rFonts w:ascii="Sylfaen" w:hAnsi="Sylfaen"/>
                <w:sz w:val="20"/>
                <w:szCs w:val="20"/>
              </w:rPr>
              <w:t>0,50՝ 40 000 ժամ շահագործումից հետո</w:t>
            </w:r>
          </w:p>
        </w:tc>
        <w:tc>
          <w:tcPr>
            <w:tcW w:w="4982" w:type="dxa"/>
            <w:tcBorders>
              <w:top w:val="single" w:sz="4" w:space="0" w:color="auto"/>
              <w:left w:val="single" w:sz="4" w:space="0" w:color="auto"/>
              <w:right w:val="single" w:sz="4" w:space="0" w:color="auto"/>
            </w:tcBorders>
            <w:shd w:val="clear" w:color="auto" w:fill="FFFFFF"/>
            <w:vAlign w:val="center"/>
          </w:tcPr>
          <w:p w14:paraId="25BEC0E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- 5 %</w:t>
            </w:r>
          </w:p>
        </w:tc>
      </w:tr>
    </w:tbl>
    <w:p w14:paraId="13E8BF36" w14:textId="77777777" w:rsidR="00CA27E3" w:rsidRPr="00CA27E3" w:rsidRDefault="00CA27E3" w:rsidP="00CA27E3">
      <w:pPr>
        <w:spacing w:after="160" w:line="360" w:lineRule="auto"/>
        <w:rPr>
          <w:rFonts w:ascii="Sylfaen" w:hAnsi="Sylfaen" w:cs="Sylfaen"/>
        </w:rPr>
      </w:pPr>
    </w:p>
    <w:p w14:paraId="62FC240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Նշված թույլատրելի նվազեցումները (</w:t>
      </w:r>
      <w:r w:rsidRPr="003B4610">
        <w:rPr>
          <w:rFonts w:ascii="Sylfaen" w:hAnsi="Sylfaen"/>
          <w:i/>
          <w:sz w:val="24"/>
          <w:szCs w:val="24"/>
        </w:rPr>
        <w:t>%</w:t>
      </w:r>
      <w:r w:rsidRPr="00CA27E3">
        <w:rPr>
          <w:rFonts w:ascii="Sylfaen" w:hAnsi="Sylfaen"/>
          <w:sz w:val="24"/>
          <w:szCs w:val="24"/>
        </w:rPr>
        <w:t>-ով) գումարվում են։</w:t>
      </w:r>
    </w:p>
    <w:p w14:paraId="7DFFF1B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Մեկ </w:t>
      </w:r>
      <w:r>
        <w:rPr>
          <w:rFonts w:ascii="Sylfaen" w:hAnsi="Sylfaen"/>
          <w:sz w:val="24"/>
          <w:szCs w:val="24"/>
        </w:rPr>
        <w:t>եւ</w:t>
      </w:r>
      <w:r w:rsidRPr="00CA27E3">
        <w:rPr>
          <w:rFonts w:ascii="Sylfaen" w:hAnsi="Sylfaen"/>
          <w:sz w:val="24"/>
          <w:szCs w:val="24"/>
        </w:rPr>
        <w:t xml:space="preserve"> երկու լամպակոթով լյումինեսցենտային լամպերը, որոնց օպտիմալ ջերմաստիճանը աշխատանքի համար տարբեր է 25° C-ից, պետք է համապատասխանեն 1-6-րդ աղյուսակներին համապատասխան լուսատացքին ներկայացվող պահանջներին նա</w:t>
      </w:r>
      <w:r>
        <w:rPr>
          <w:rFonts w:ascii="Sylfaen" w:hAnsi="Sylfaen"/>
          <w:sz w:val="24"/>
          <w:szCs w:val="24"/>
        </w:rPr>
        <w:t>եւ</w:t>
      </w:r>
      <w:r w:rsidRPr="00CA27E3">
        <w:rPr>
          <w:rFonts w:ascii="Sylfaen" w:hAnsi="Sylfaen"/>
          <w:sz w:val="24"/>
          <w:szCs w:val="24"/>
        </w:rPr>
        <w:t xml:space="preserve"> աշխատանքի համար դրանց օպտիմալ ջերմաստիճանում։</w:t>
      </w:r>
    </w:p>
    <w:p w14:paraId="5EE9085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Тc ≥ 5 000 K-ով կամ երկրորդ թաղանթով բարձր ճնշման գազապարպումային լամպերը պետք է համապատասխանեն 7-9-րդ աղյուսակներում բերված՝ լուսատացքին ներկայացվող պահանջներին՝ առնվազն 90 %-ով։</w:t>
      </w:r>
    </w:p>
    <w:p w14:paraId="2CF2E6F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Ra ≤ 60-ով բարձր ճնշման նատրիումական լամպերը պետք է ունենան 7-րդ աղյուսակում բերված՝ լուսատացքի հաշվարկային արժեքներից ոչ պակաս արժեքներ։</w:t>
      </w:r>
    </w:p>
    <w:p w14:paraId="7D93BCB7" w14:textId="77777777" w:rsidR="00CA27E3" w:rsidRPr="003D2C38" w:rsidRDefault="00CA27E3" w:rsidP="00CA27E3">
      <w:pPr>
        <w:pStyle w:val="a2"/>
        <w:shd w:val="clear" w:color="auto" w:fill="auto"/>
        <w:spacing w:after="160" w:line="360" w:lineRule="auto"/>
        <w:jc w:val="right"/>
        <w:rPr>
          <w:rFonts w:ascii="Sylfaen" w:hAnsi="Sylfaen" w:cs="Sylfaen"/>
          <w:sz w:val="24"/>
          <w:szCs w:val="24"/>
        </w:rPr>
      </w:pPr>
    </w:p>
    <w:p w14:paraId="27BBA5A7" w14:textId="77777777" w:rsidR="003B4610" w:rsidRPr="003D2C38" w:rsidRDefault="003B4610" w:rsidP="00CA27E3">
      <w:pPr>
        <w:pStyle w:val="a2"/>
        <w:shd w:val="clear" w:color="auto" w:fill="auto"/>
        <w:spacing w:after="160" w:line="360" w:lineRule="auto"/>
        <w:jc w:val="right"/>
        <w:rPr>
          <w:rFonts w:ascii="Sylfaen" w:hAnsi="Sylfaen" w:cs="Sylfaen"/>
          <w:sz w:val="24"/>
          <w:szCs w:val="24"/>
        </w:rPr>
      </w:pPr>
    </w:p>
    <w:p w14:paraId="64CEC42B"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lastRenderedPageBreak/>
        <w:t>Աղյուսակ 7</w:t>
      </w:r>
    </w:p>
    <w:p w14:paraId="6B4890EB" w14:textId="77777777" w:rsidR="00CA27E3" w:rsidRPr="00CA27E3" w:rsidRDefault="00CA27E3" w:rsidP="00CA27E3">
      <w:pPr>
        <w:pStyle w:val="a0"/>
        <w:shd w:val="clear" w:color="auto" w:fill="auto"/>
        <w:spacing w:after="160"/>
        <w:ind w:firstLine="0"/>
        <w:jc w:val="center"/>
        <w:rPr>
          <w:rFonts w:ascii="Sylfaen" w:hAnsi="Sylfaen"/>
          <w:sz w:val="24"/>
          <w:szCs w:val="24"/>
        </w:rPr>
      </w:pPr>
      <w:r w:rsidRPr="00CA27E3">
        <w:rPr>
          <w:rFonts w:ascii="Sylfaen" w:hAnsi="Sylfaen"/>
          <w:sz w:val="24"/>
          <w:szCs w:val="24"/>
        </w:rPr>
        <w:t>Ra ≤ 60-ով</w:t>
      </w:r>
      <w:r>
        <w:rPr>
          <w:rFonts w:ascii="Sylfaen" w:hAnsi="Sylfaen"/>
          <w:sz w:val="24"/>
          <w:szCs w:val="24"/>
        </w:rPr>
        <w:t xml:space="preserve"> </w:t>
      </w:r>
      <w:r w:rsidRPr="00CA27E3">
        <w:rPr>
          <w:rFonts w:ascii="Sylfaen" w:hAnsi="Sylfaen"/>
          <w:sz w:val="24"/>
          <w:szCs w:val="24"/>
        </w:rPr>
        <w:t xml:space="preserve">բարձր ճնշման նատրիումական լամպերի լուսատացքի </w:t>
      </w:r>
      <w:r w:rsidR="003B4610" w:rsidRPr="003B4610">
        <w:rPr>
          <w:rFonts w:ascii="Sylfaen" w:hAnsi="Sylfaen"/>
          <w:sz w:val="24"/>
          <w:szCs w:val="24"/>
        </w:rPr>
        <w:br/>
      </w:r>
      <w:r w:rsidRPr="00CA27E3">
        <w:rPr>
          <w:rFonts w:ascii="Sylfaen" w:hAnsi="Sylfaen"/>
          <w:sz w:val="24"/>
          <w:szCs w:val="24"/>
        </w:rPr>
        <w:t>հաշվարկային արժեքները</w:t>
      </w:r>
    </w:p>
    <w:tbl>
      <w:tblPr>
        <w:tblOverlap w:val="never"/>
        <w:tblW w:w="9375" w:type="dxa"/>
        <w:tblLayout w:type="fixed"/>
        <w:tblCellMar>
          <w:left w:w="10" w:type="dxa"/>
          <w:right w:w="10" w:type="dxa"/>
        </w:tblCellMar>
        <w:tblLook w:val="0020" w:firstRow="1" w:lastRow="0" w:firstColumn="0" w:lastColumn="0" w:noHBand="0" w:noVBand="0"/>
      </w:tblPr>
      <w:tblGrid>
        <w:gridCol w:w="2218"/>
        <w:gridCol w:w="3595"/>
        <w:gridCol w:w="3562"/>
      </w:tblGrid>
      <w:tr w:rsidR="00CA27E3" w:rsidRPr="00D83000" w14:paraId="123746E7" w14:textId="77777777" w:rsidTr="00CA27E3">
        <w:trPr>
          <w:trHeight w:val="1356"/>
          <w:tblHeader/>
        </w:trPr>
        <w:tc>
          <w:tcPr>
            <w:tcW w:w="2218" w:type="dxa"/>
            <w:tcBorders>
              <w:top w:val="single" w:sz="4" w:space="0" w:color="auto"/>
              <w:left w:val="single" w:sz="4" w:space="0" w:color="auto"/>
            </w:tcBorders>
            <w:shd w:val="clear" w:color="auto" w:fill="FFFFFF"/>
            <w:vAlign w:val="center"/>
          </w:tcPr>
          <w:p w14:paraId="59EC6568" w14:textId="77777777" w:rsidR="00CA27E3" w:rsidRPr="00D83000" w:rsidRDefault="00CA27E3" w:rsidP="003B4610">
            <w:pPr>
              <w:pStyle w:val="a4"/>
              <w:shd w:val="clear" w:color="auto" w:fill="auto"/>
              <w:spacing w:after="120" w:line="240" w:lineRule="auto"/>
              <w:ind w:right="71" w:firstLine="0"/>
              <w:jc w:val="center"/>
              <w:rPr>
                <w:rFonts w:ascii="Sylfaen" w:hAnsi="Sylfaen" w:cs="Sylfaen"/>
                <w:sz w:val="20"/>
                <w:szCs w:val="20"/>
              </w:rPr>
            </w:pPr>
            <w:r w:rsidRPr="00D83000">
              <w:rPr>
                <w:rFonts w:ascii="Sylfaen" w:hAnsi="Sylfaen"/>
                <w:sz w:val="20"/>
                <w:szCs w:val="20"/>
              </w:rPr>
              <w:t>Լամպի անվանական հզորությունը, W, Վտ</w:t>
            </w:r>
          </w:p>
        </w:tc>
        <w:tc>
          <w:tcPr>
            <w:tcW w:w="3595" w:type="dxa"/>
            <w:tcBorders>
              <w:top w:val="single" w:sz="4" w:space="0" w:color="auto"/>
              <w:left w:val="single" w:sz="4" w:space="0" w:color="auto"/>
            </w:tcBorders>
            <w:shd w:val="clear" w:color="auto" w:fill="FFFFFF"/>
            <w:vAlign w:val="center"/>
          </w:tcPr>
          <w:p w14:paraId="5CFB1F1F" w14:textId="77777777" w:rsidR="00CA27E3" w:rsidRPr="00D83000" w:rsidRDefault="00CA27E3" w:rsidP="003B4610">
            <w:pPr>
              <w:pStyle w:val="a4"/>
              <w:shd w:val="clear" w:color="auto" w:fill="auto"/>
              <w:spacing w:after="120" w:line="240" w:lineRule="auto"/>
              <w:ind w:right="71" w:firstLine="0"/>
              <w:jc w:val="center"/>
              <w:rPr>
                <w:rFonts w:ascii="Sylfaen" w:hAnsi="Sylfaen" w:cs="Sylfaen"/>
                <w:sz w:val="20"/>
                <w:szCs w:val="20"/>
              </w:rPr>
            </w:pPr>
            <w:r w:rsidRPr="00D83000">
              <w:rPr>
                <w:rFonts w:ascii="Sylfaen" w:hAnsi="Sylfaen"/>
                <w:sz w:val="20"/>
                <w:szCs w:val="20"/>
              </w:rPr>
              <w:t xml:space="preserve">Թափանցիկ լամպանոթով լամպի հաշվարկային լուսատացքը, լմ/Վտ </w:t>
            </w:r>
          </w:p>
        </w:tc>
        <w:tc>
          <w:tcPr>
            <w:tcW w:w="3562" w:type="dxa"/>
            <w:tcBorders>
              <w:top w:val="single" w:sz="4" w:space="0" w:color="auto"/>
              <w:left w:val="single" w:sz="4" w:space="0" w:color="auto"/>
              <w:right w:val="single" w:sz="4" w:space="0" w:color="auto"/>
            </w:tcBorders>
            <w:shd w:val="clear" w:color="auto" w:fill="FFFFFF"/>
            <w:vAlign w:val="center"/>
          </w:tcPr>
          <w:p w14:paraId="28E5C806" w14:textId="77777777" w:rsidR="00CA27E3" w:rsidRPr="00D83000" w:rsidRDefault="00CA27E3" w:rsidP="003B4610">
            <w:pPr>
              <w:pStyle w:val="a4"/>
              <w:shd w:val="clear" w:color="auto" w:fill="auto"/>
              <w:spacing w:after="120" w:line="240" w:lineRule="auto"/>
              <w:ind w:right="71" w:firstLine="0"/>
              <w:jc w:val="center"/>
              <w:rPr>
                <w:rFonts w:ascii="Sylfaen" w:hAnsi="Sylfaen" w:cs="Sylfaen"/>
                <w:sz w:val="20"/>
                <w:szCs w:val="20"/>
              </w:rPr>
            </w:pPr>
            <w:r w:rsidRPr="00D83000">
              <w:rPr>
                <w:rFonts w:ascii="Sylfaen" w:hAnsi="Sylfaen"/>
                <w:sz w:val="20"/>
                <w:szCs w:val="20"/>
              </w:rPr>
              <w:t>Անփայլ լամպանոթով լամպի հաշվարկային լուսատացքը, լմ/Վտ</w:t>
            </w:r>
          </w:p>
        </w:tc>
      </w:tr>
      <w:tr w:rsidR="00CA27E3" w:rsidRPr="00D83000" w14:paraId="53D9448E" w14:textId="77777777" w:rsidTr="00CA27E3">
        <w:tc>
          <w:tcPr>
            <w:tcW w:w="2218" w:type="dxa"/>
            <w:tcBorders>
              <w:top w:val="single" w:sz="4" w:space="0" w:color="auto"/>
              <w:left w:val="single" w:sz="4" w:space="0" w:color="auto"/>
            </w:tcBorders>
            <w:shd w:val="clear" w:color="auto" w:fill="FFFFFF"/>
            <w:vAlign w:val="center"/>
          </w:tcPr>
          <w:p w14:paraId="6DA7D2A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 ≤ 45</w:t>
            </w:r>
          </w:p>
        </w:tc>
        <w:tc>
          <w:tcPr>
            <w:tcW w:w="3595" w:type="dxa"/>
            <w:tcBorders>
              <w:top w:val="single" w:sz="4" w:space="0" w:color="auto"/>
              <w:left w:val="single" w:sz="4" w:space="0" w:color="auto"/>
            </w:tcBorders>
            <w:shd w:val="clear" w:color="auto" w:fill="FFFFFF"/>
            <w:vAlign w:val="center"/>
          </w:tcPr>
          <w:p w14:paraId="5A49162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60</w:t>
            </w:r>
          </w:p>
        </w:tc>
        <w:tc>
          <w:tcPr>
            <w:tcW w:w="3562" w:type="dxa"/>
            <w:tcBorders>
              <w:top w:val="single" w:sz="4" w:space="0" w:color="auto"/>
              <w:left w:val="single" w:sz="4" w:space="0" w:color="auto"/>
              <w:right w:val="single" w:sz="4" w:space="0" w:color="auto"/>
            </w:tcBorders>
            <w:shd w:val="clear" w:color="auto" w:fill="FFFFFF"/>
            <w:vAlign w:val="center"/>
          </w:tcPr>
          <w:p w14:paraId="40E2B22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60</w:t>
            </w:r>
          </w:p>
        </w:tc>
      </w:tr>
      <w:tr w:rsidR="00CA27E3" w:rsidRPr="00D83000" w14:paraId="1F65E7EA" w14:textId="77777777" w:rsidTr="00CA27E3">
        <w:tc>
          <w:tcPr>
            <w:tcW w:w="2218" w:type="dxa"/>
            <w:tcBorders>
              <w:top w:val="single" w:sz="4" w:space="0" w:color="auto"/>
              <w:left w:val="single" w:sz="4" w:space="0" w:color="auto"/>
            </w:tcBorders>
            <w:shd w:val="clear" w:color="auto" w:fill="FFFFFF"/>
            <w:vAlign w:val="bottom"/>
          </w:tcPr>
          <w:p w14:paraId="5127D2E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45 &lt; W ≤ 55</w:t>
            </w:r>
          </w:p>
        </w:tc>
        <w:tc>
          <w:tcPr>
            <w:tcW w:w="3595" w:type="dxa"/>
            <w:tcBorders>
              <w:top w:val="single" w:sz="4" w:space="0" w:color="auto"/>
              <w:left w:val="single" w:sz="4" w:space="0" w:color="auto"/>
            </w:tcBorders>
            <w:shd w:val="clear" w:color="auto" w:fill="FFFFFF"/>
            <w:vAlign w:val="bottom"/>
          </w:tcPr>
          <w:p w14:paraId="7FD1CCA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c>
          <w:tcPr>
            <w:tcW w:w="3562" w:type="dxa"/>
            <w:tcBorders>
              <w:top w:val="single" w:sz="4" w:space="0" w:color="auto"/>
              <w:left w:val="single" w:sz="4" w:space="0" w:color="auto"/>
              <w:right w:val="single" w:sz="4" w:space="0" w:color="auto"/>
            </w:tcBorders>
            <w:shd w:val="clear" w:color="auto" w:fill="FFFFFF"/>
            <w:vAlign w:val="bottom"/>
          </w:tcPr>
          <w:p w14:paraId="2EA5882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70</w:t>
            </w:r>
          </w:p>
        </w:tc>
      </w:tr>
      <w:tr w:rsidR="00CA27E3" w:rsidRPr="00D83000" w14:paraId="071D3256" w14:textId="77777777" w:rsidTr="00CA27E3">
        <w:tc>
          <w:tcPr>
            <w:tcW w:w="2218" w:type="dxa"/>
            <w:tcBorders>
              <w:top w:val="single" w:sz="4" w:space="0" w:color="auto"/>
              <w:left w:val="single" w:sz="4" w:space="0" w:color="auto"/>
            </w:tcBorders>
            <w:shd w:val="clear" w:color="auto" w:fill="FFFFFF"/>
            <w:vAlign w:val="bottom"/>
          </w:tcPr>
          <w:p w14:paraId="237EAD0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 &lt; W ≤ 75</w:t>
            </w:r>
          </w:p>
        </w:tc>
        <w:tc>
          <w:tcPr>
            <w:tcW w:w="3595" w:type="dxa"/>
            <w:tcBorders>
              <w:top w:val="single" w:sz="4" w:space="0" w:color="auto"/>
              <w:left w:val="single" w:sz="4" w:space="0" w:color="auto"/>
            </w:tcBorders>
            <w:shd w:val="clear" w:color="auto" w:fill="FFFFFF"/>
            <w:vAlign w:val="bottom"/>
          </w:tcPr>
          <w:p w14:paraId="4DC01DF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90</w:t>
            </w:r>
          </w:p>
        </w:tc>
        <w:tc>
          <w:tcPr>
            <w:tcW w:w="3562" w:type="dxa"/>
            <w:tcBorders>
              <w:top w:val="single" w:sz="4" w:space="0" w:color="auto"/>
              <w:left w:val="single" w:sz="4" w:space="0" w:color="auto"/>
              <w:right w:val="single" w:sz="4" w:space="0" w:color="auto"/>
            </w:tcBorders>
            <w:shd w:val="clear" w:color="auto" w:fill="FFFFFF"/>
            <w:vAlign w:val="bottom"/>
          </w:tcPr>
          <w:p w14:paraId="5E4B3AD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r>
      <w:tr w:rsidR="00CA27E3" w:rsidRPr="00D83000" w14:paraId="48768C1D" w14:textId="77777777" w:rsidTr="00CA27E3">
        <w:tc>
          <w:tcPr>
            <w:tcW w:w="2218" w:type="dxa"/>
            <w:tcBorders>
              <w:top w:val="single" w:sz="4" w:space="0" w:color="auto"/>
              <w:left w:val="single" w:sz="4" w:space="0" w:color="auto"/>
            </w:tcBorders>
            <w:shd w:val="clear" w:color="auto" w:fill="FFFFFF"/>
            <w:vAlign w:val="bottom"/>
          </w:tcPr>
          <w:p w14:paraId="0620B3C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 &lt; W ≤ 105</w:t>
            </w:r>
          </w:p>
        </w:tc>
        <w:tc>
          <w:tcPr>
            <w:tcW w:w="3595" w:type="dxa"/>
            <w:tcBorders>
              <w:top w:val="single" w:sz="4" w:space="0" w:color="auto"/>
              <w:left w:val="single" w:sz="4" w:space="0" w:color="auto"/>
            </w:tcBorders>
            <w:shd w:val="clear" w:color="auto" w:fill="FFFFFF"/>
            <w:vAlign w:val="bottom"/>
          </w:tcPr>
          <w:p w14:paraId="2F9CDAE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100</w:t>
            </w:r>
          </w:p>
        </w:tc>
        <w:tc>
          <w:tcPr>
            <w:tcW w:w="3562" w:type="dxa"/>
            <w:tcBorders>
              <w:top w:val="single" w:sz="4" w:space="0" w:color="auto"/>
              <w:left w:val="single" w:sz="4" w:space="0" w:color="auto"/>
              <w:right w:val="single" w:sz="4" w:space="0" w:color="auto"/>
            </w:tcBorders>
            <w:shd w:val="clear" w:color="auto" w:fill="FFFFFF"/>
            <w:vAlign w:val="bottom"/>
          </w:tcPr>
          <w:p w14:paraId="2F86264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95</w:t>
            </w:r>
          </w:p>
        </w:tc>
      </w:tr>
      <w:tr w:rsidR="00CA27E3" w:rsidRPr="00D83000" w14:paraId="1080E8CE" w14:textId="77777777" w:rsidTr="00CA27E3">
        <w:tc>
          <w:tcPr>
            <w:tcW w:w="2218" w:type="dxa"/>
            <w:tcBorders>
              <w:top w:val="single" w:sz="4" w:space="0" w:color="auto"/>
              <w:left w:val="single" w:sz="4" w:space="0" w:color="auto"/>
            </w:tcBorders>
            <w:shd w:val="clear" w:color="auto" w:fill="FFFFFF"/>
            <w:vAlign w:val="bottom"/>
          </w:tcPr>
          <w:p w14:paraId="06EA2216" w14:textId="77777777" w:rsidR="00CA27E3" w:rsidRPr="00D83000" w:rsidRDefault="00CA27E3" w:rsidP="00D83000">
            <w:pPr>
              <w:pStyle w:val="a4"/>
              <w:shd w:val="clear" w:color="auto" w:fill="auto"/>
              <w:spacing w:after="120" w:line="240" w:lineRule="auto"/>
              <w:ind w:firstLine="300"/>
              <w:rPr>
                <w:rFonts w:ascii="Sylfaen" w:hAnsi="Sylfaen" w:cs="Sylfaen"/>
                <w:sz w:val="20"/>
                <w:szCs w:val="20"/>
              </w:rPr>
            </w:pPr>
            <w:r w:rsidRPr="00D83000">
              <w:rPr>
                <w:rFonts w:ascii="Sylfaen" w:hAnsi="Sylfaen"/>
                <w:sz w:val="20"/>
                <w:szCs w:val="20"/>
              </w:rPr>
              <w:t>105 &lt; W ≤ 155</w:t>
            </w:r>
          </w:p>
        </w:tc>
        <w:tc>
          <w:tcPr>
            <w:tcW w:w="3595" w:type="dxa"/>
            <w:tcBorders>
              <w:top w:val="single" w:sz="4" w:space="0" w:color="auto"/>
              <w:left w:val="single" w:sz="4" w:space="0" w:color="auto"/>
            </w:tcBorders>
            <w:shd w:val="clear" w:color="auto" w:fill="FFFFFF"/>
            <w:vAlign w:val="bottom"/>
          </w:tcPr>
          <w:p w14:paraId="5F2A488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110</w:t>
            </w:r>
          </w:p>
        </w:tc>
        <w:tc>
          <w:tcPr>
            <w:tcW w:w="3562" w:type="dxa"/>
            <w:tcBorders>
              <w:top w:val="single" w:sz="4" w:space="0" w:color="auto"/>
              <w:left w:val="single" w:sz="4" w:space="0" w:color="auto"/>
              <w:right w:val="single" w:sz="4" w:space="0" w:color="auto"/>
            </w:tcBorders>
            <w:shd w:val="clear" w:color="auto" w:fill="FFFFFF"/>
            <w:vAlign w:val="bottom"/>
          </w:tcPr>
          <w:p w14:paraId="742D7F7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105</w:t>
            </w:r>
          </w:p>
        </w:tc>
      </w:tr>
      <w:tr w:rsidR="00CA27E3" w:rsidRPr="00D83000" w14:paraId="55F9F242" w14:textId="77777777" w:rsidTr="00CA27E3">
        <w:tc>
          <w:tcPr>
            <w:tcW w:w="2218" w:type="dxa"/>
            <w:tcBorders>
              <w:top w:val="single" w:sz="4" w:space="0" w:color="auto"/>
              <w:left w:val="single" w:sz="4" w:space="0" w:color="auto"/>
              <w:bottom w:val="single" w:sz="4" w:space="0" w:color="auto"/>
            </w:tcBorders>
            <w:shd w:val="clear" w:color="auto" w:fill="FFFFFF"/>
            <w:vAlign w:val="bottom"/>
          </w:tcPr>
          <w:p w14:paraId="3C6FED32" w14:textId="77777777" w:rsidR="00CA27E3" w:rsidRPr="00D83000" w:rsidRDefault="00CA27E3" w:rsidP="00D83000">
            <w:pPr>
              <w:pStyle w:val="a4"/>
              <w:shd w:val="clear" w:color="auto" w:fill="auto"/>
              <w:spacing w:after="120" w:line="240" w:lineRule="auto"/>
              <w:ind w:firstLine="300"/>
              <w:rPr>
                <w:rFonts w:ascii="Sylfaen" w:hAnsi="Sylfaen" w:cs="Sylfaen"/>
                <w:sz w:val="20"/>
                <w:szCs w:val="20"/>
              </w:rPr>
            </w:pPr>
            <w:r w:rsidRPr="00D83000">
              <w:rPr>
                <w:rFonts w:ascii="Sylfaen" w:hAnsi="Sylfaen"/>
                <w:sz w:val="20"/>
                <w:szCs w:val="20"/>
              </w:rPr>
              <w:t>155 &lt; W ≤ 255</w:t>
            </w:r>
          </w:p>
        </w:tc>
        <w:tc>
          <w:tcPr>
            <w:tcW w:w="3595" w:type="dxa"/>
            <w:tcBorders>
              <w:top w:val="single" w:sz="4" w:space="0" w:color="auto"/>
              <w:left w:val="single" w:sz="4" w:space="0" w:color="auto"/>
              <w:bottom w:val="single" w:sz="4" w:space="0" w:color="auto"/>
            </w:tcBorders>
            <w:shd w:val="clear" w:color="auto" w:fill="FFFFFF"/>
            <w:vAlign w:val="bottom"/>
          </w:tcPr>
          <w:p w14:paraId="2CEB602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125</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bottom"/>
          </w:tcPr>
          <w:p w14:paraId="5CD4422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115</w:t>
            </w:r>
          </w:p>
        </w:tc>
      </w:tr>
      <w:tr w:rsidR="00CA27E3" w:rsidRPr="00D83000" w14:paraId="2EEFBE68" w14:textId="77777777" w:rsidTr="00CA27E3">
        <w:tc>
          <w:tcPr>
            <w:tcW w:w="2218" w:type="dxa"/>
            <w:tcBorders>
              <w:top w:val="single" w:sz="4" w:space="0" w:color="auto"/>
              <w:left w:val="single" w:sz="4" w:space="0" w:color="auto"/>
              <w:bottom w:val="single" w:sz="4" w:space="0" w:color="auto"/>
            </w:tcBorders>
            <w:shd w:val="clear" w:color="auto" w:fill="FFFFFF"/>
            <w:vAlign w:val="bottom"/>
          </w:tcPr>
          <w:p w14:paraId="70CFBAF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255 &lt; W ≤ 605</w:t>
            </w:r>
          </w:p>
        </w:tc>
        <w:tc>
          <w:tcPr>
            <w:tcW w:w="3595" w:type="dxa"/>
            <w:tcBorders>
              <w:top w:val="single" w:sz="4" w:space="0" w:color="auto"/>
              <w:left w:val="single" w:sz="4" w:space="0" w:color="auto"/>
              <w:bottom w:val="single" w:sz="4" w:space="0" w:color="auto"/>
            </w:tcBorders>
            <w:shd w:val="clear" w:color="auto" w:fill="FFFFFF"/>
            <w:vAlign w:val="bottom"/>
          </w:tcPr>
          <w:p w14:paraId="6C45AD7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135</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bottom"/>
          </w:tcPr>
          <w:p w14:paraId="481D812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130</w:t>
            </w:r>
          </w:p>
        </w:tc>
      </w:tr>
    </w:tbl>
    <w:p w14:paraId="3E687971" w14:textId="77777777" w:rsidR="00CA27E3" w:rsidRPr="00CA27E3" w:rsidRDefault="00CA27E3" w:rsidP="00CA27E3">
      <w:pPr>
        <w:spacing w:after="160" w:line="360" w:lineRule="auto"/>
        <w:rPr>
          <w:rFonts w:ascii="Sylfaen" w:hAnsi="Sylfaen" w:cs="Sylfaen"/>
        </w:rPr>
      </w:pPr>
    </w:p>
    <w:p w14:paraId="4907BFD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Բարձր ճնշման նատրիումական լամպերի համար գործում են 7-րդ աղյուսակում բերված պահանջները։</w:t>
      </w:r>
    </w:p>
    <w:p w14:paraId="4957622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Սնդիկային լամպերի ուղղակի փոխարինման համար նատրիումական լամպերի համար (սնդիկային լամպերի համար ԳԿԱ-ով աշխատող) տվյալ պահանջները պետք է կիրառվեն 2025 թվականի սեպտեմբերի 1-ից։</w:t>
      </w:r>
    </w:p>
    <w:p w14:paraId="385CBA0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Ra ≤ 80-ով մետաղահալոգենային լամպերը </w:t>
      </w:r>
      <w:r>
        <w:rPr>
          <w:rFonts w:ascii="Sylfaen" w:hAnsi="Sylfaen"/>
          <w:sz w:val="24"/>
          <w:szCs w:val="24"/>
        </w:rPr>
        <w:t>եւ</w:t>
      </w:r>
      <w:r w:rsidRPr="00CA27E3">
        <w:rPr>
          <w:rFonts w:ascii="Sylfaen" w:hAnsi="Sylfaen"/>
          <w:sz w:val="24"/>
          <w:szCs w:val="24"/>
        </w:rPr>
        <w:t xml:space="preserve"> Ra &gt; 60-ով բարձր ճնշման նատրիումական լամպերը պետք է ունենան 8-րդ աղյուսակում բերված` լուսատացքի հաշվարկային արժեքներից ոչ պակաս արժեքներ։</w:t>
      </w:r>
    </w:p>
    <w:p w14:paraId="585A3653" w14:textId="77777777" w:rsidR="003B4610" w:rsidRDefault="003B4610">
      <w:pPr>
        <w:rPr>
          <w:rFonts w:ascii="Sylfaen" w:eastAsia="Times New Roman" w:hAnsi="Sylfaen" w:cs="Sylfaen"/>
          <w:color w:val="auto"/>
        </w:rPr>
      </w:pPr>
      <w:r>
        <w:rPr>
          <w:rFonts w:ascii="Sylfaen" w:hAnsi="Sylfaen" w:cs="Sylfaen"/>
        </w:rPr>
        <w:br w:type="page"/>
      </w:r>
    </w:p>
    <w:p w14:paraId="17E2F16F" w14:textId="77777777" w:rsidR="00CA27E3" w:rsidRPr="00CA27E3" w:rsidRDefault="00CA27E3" w:rsidP="00CA27E3">
      <w:pPr>
        <w:pStyle w:val="a0"/>
        <w:shd w:val="clear" w:color="auto" w:fill="auto"/>
        <w:spacing w:after="160"/>
        <w:ind w:left="1800" w:firstLine="0"/>
        <w:jc w:val="right"/>
        <w:rPr>
          <w:rFonts w:ascii="Sylfaen" w:hAnsi="Sylfaen" w:cs="Sylfaen"/>
          <w:sz w:val="24"/>
          <w:szCs w:val="24"/>
        </w:rPr>
      </w:pPr>
      <w:r w:rsidRPr="00CA27E3">
        <w:rPr>
          <w:rFonts w:ascii="Sylfaen" w:hAnsi="Sylfaen"/>
          <w:sz w:val="24"/>
          <w:szCs w:val="24"/>
        </w:rPr>
        <w:lastRenderedPageBreak/>
        <w:t xml:space="preserve">Աղյուսակ 8 </w:t>
      </w:r>
    </w:p>
    <w:p w14:paraId="7854FCA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Ra ≤ 80-ով մետաղահալոգենային լամպերի </w:t>
      </w:r>
      <w:r>
        <w:rPr>
          <w:rFonts w:ascii="Sylfaen" w:hAnsi="Sylfaen"/>
          <w:sz w:val="24"/>
          <w:szCs w:val="24"/>
        </w:rPr>
        <w:t>եւ</w:t>
      </w:r>
      <w:r w:rsidRPr="00CA27E3">
        <w:rPr>
          <w:rFonts w:ascii="Sylfaen" w:hAnsi="Sylfaen"/>
          <w:sz w:val="24"/>
          <w:szCs w:val="24"/>
        </w:rPr>
        <w:t xml:space="preserve"> Ra &gt; 60-ով բարձր ճնշման նատրիումական լամպերի նվազագույն լուսատացքի հաշվարկային արժեքները</w:t>
      </w:r>
    </w:p>
    <w:tbl>
      <w:tblPr>
        <w:tblOverlap w:val="never"/>
        <w:tblW w:w="9426" w:type="dxa"/>
        <w:jc w:val="center"/>
        <w:tblLayout w:type="fixed"/>
        <w:tblCellMar>
          <w:left w:w="10" w:type="dxa"/>
          <w:right w:w="10" w:type="dxa"/>
        </w:tblCellMar>
        <w:tblLook w:val="0000" w:firstRow="0" w:lastRow="0" w:firstColumn="0" w:lastColumn="0" w:noHBand="0" w:noVBand="0"/>
      </w:tblPr>
      <w:tblGrid>
        <w:gridCol w:w="2179"/>
        <w:gridCol w:w="3610"/>
        <w:gridCol w:w="3637"/>
      </w:tblGrid>
      <w:tr w:rsidR="00CA27E3" w:rsidRPr="00D83000" w14:paraId="5A0D7B20" w14:textId="77777777" w:rsidTr="003B4610">
        <w:trPr>
          <w:jc w:val="center"/>
        </w:trPr>
        <w:tc>
          <w:tcPr>
            <w:tcW w:w="2179" w:type="dxa"/>
            <w:tcBorders>
              <w:top w:val="single" w:sz="4" w:space="0" w:color="auto"/>
              <w:left w:val="single" w:sz="4" w:space="0" w:color="auto"/>
            </w:tcBorders>
            <w:shd w:val="clear" w:color="auto" w:fill="FFFFFF"/>
            <w:vAlign w:val="center"/>
          </w:tcPr>
          <w:p w14:paraId="6F6D5786"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անվանական հզորությունը, W, Վտ</w:t>
            </w:r>
          </w:p>
        </w:tc>
        <w:tc>
          <w:tcPr>
            <w:tcW w:w="3610" w:type="dxa"/>
            <w:tcBorders>
              <w:top w:val="single" w:sz="4" w:space="0" w:color="auto"/>
              <w:left w:val="single" w:sz="4" w:space="0" w:color="auto"/>
            </w:tcBorders>
            <w:shd w:val="clear" w:color="auto" w:fill="FFFFFF"/>
            <w:vAlign w:val="center"/>
          </w:tcPr>
          <w:p w14:paraId="50C3AD2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Թափանցիկ լամպանոթով լամպի հաշվարկային լուսատացքը, լմ/Վտ</w:t>
            </w:r>
          </w:p>
        </w:tc>
        <w:tc>
          <w:tcPr>
            <w:tcW w:w="3637" w:type="dxa"/>
            <w:tcBorders>
              <w:top w:val="single" w:sz="4" w:space="0" w:color="auto"/>
              <w:left w:val="single" w:sz="4" w:space="0" w:color="auto"/>
              <w:right w:val="single" w:sz="4" w:space="0" w:color="auto"/>
            </w:tcBorders>
            <w:shd w:val="clear" w:color="auto" w:fill="FFFFFF"/>
            <w:vAlign w:val="center"/>
          </w:tcPr>
          <w:p w14:paraId="7DD7C78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Անփայլ լամպանոթով լամպի հաշվարկային լուսատացքը, լմ/Վտ</w:t>
            </w:r>
          </w:p>
        </w:tc>
      </w:tr>
      <w:tr w:rsidR="00CA27E3" w:rsidRPr="00D83000" w14:paraId="0654B325" w14:textId="77777777" w:rsidTr="003B4610">
        <w:trPr>
          <w:jc w:val="center"/>
        </w:trPr>
        <w:tc>
          <w:tcPr>
            <w:tcW w:w="2179" w:type="dxa"/>
            <w:tcBorders>
              <w:top w:val="single" w:sz="4" w:space="0" w:color="auto"/>
              <w:left w:val="single" w:sz="4" w:space="0" w:color="auto"/>
            </w:tcBorders>
            <w:shd w:val="clear" w:color="auto" w:fill="FFFFFF"/>
            <w:vAlign w:val="center"/>
          </w:tcPr>
          <w:p w14:paraId="52395DC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 ≤ 55</w:t>
            </w:r>
          </w:p>
        </w:tc>
        <w:tc>
          <w:tcPr>
            <w:tcW w:w="3610" w:type="dxa"/>
            <w:tcBorders>
              <w:top w:val="single" w:sz="4" w:space="0" w:color="auto"/>
              <w:left w:val="single" w:sz="4" w:space="0" w:color="auto"/>
            </w:tcBorders>
            <w:shd w:val="clear" w:color="auto" w:fill="FFFFFF"/>
            <w:vAlign w:val="center"/>
          </w:tcPr>
          <w:p w14:paraId="7DCE9AD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60</w:t>
            </w:r>
          </w:p>
        </w:tc>
        <w:tc>
          <w:tcPr>
            <w:tcW w:w="3637" w:type="dxa"/>
            <w:tcBorders>
              <w:top w:val="single" w:sz="4" w:space="0" w:color="auto"/>
              <w:left w:val="single" w:sz="4" w:space="0" w:color="auto"/>
              <w:right w:val="single" w:sz="4" w:space="0" w:color="auto"/>
            </w:tcBorders>
            <w:shd w:val="clear" w:color="auto" w:fill="FFFFFF"/>
            <w:vAlign w:val="center"/>
          </w:tcPr>
          <w:p w14:paraId="7A1803B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60</w:t>
            </w:r>
          </w:p>
        </w:tc>
      </w:tr>
      <w:tr w:rsidR="00CA27E3" w:rsidRPr="00D83000" w14:paraId="79B9BE33" w14:textId="77777777" w:rsidTr="003B4610">
        <w:trPr>
          <w:jc w:val="center"/>
        </w:trPr>
        <w:tc>
          <w:tcPr>
            <w:tcW w:w="2179" w:type="dxa"/>
            <w:tcBorders>
              <w:top w:val="single" w:sz="4" w:space="0" w:color="auto"/>
              <w:left w:val="single" w:sz="4" w:space="0" w:color="auto"/>
            </w:tcBorders>
            <w:shd w:val="clear" w:color="auto" w:fill="FFFFFF"/>
            <w:vAlign w:val="center"/>
          </w:tcPr>
          <w:p w14:paraId="7A69568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 &lt; W ≤ 75</w:t>
            </w:r>
          </w:p>
        </w:tc>
        <w:tc>
          <w:tcPr>
            <w:tcW w:w="3610" w:type="dxa"/>
            <w:tcBorders>
              <w:top w:val="single" w:sz="4" w:space="0" w:color="auto"/>
              <w:left w:val="single" w:sz="4" w:space="0" w:color="auto"/>
            </w:tcBorders>
            <w:shd w:val="clear" w:color="auto" w:fill="FFFFFF"/>
            <w:vAlign w:val="center"/>
          </w:tcPr>
          <w:p w14:paraId="362A3D5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75</w:t>
            </w:r>
          </w:p>
        </w:tc>
        <w:tc>
          <w:tcPr>
            <w:tcW w:w="3637" w:type="dxa"/>
            <w:tcBorders>
              <w:top w:val="single" w:sz="4" w:space="0" w:color="auto"/>
              <w:left w:val="single" w:sz="4" w:space="0" w:color="auto"/>
              <w:right w:val="single" w:sz="4" w:space="0" w:color="auto"/>
            </w:tcBorders>
            <w:shd w:val="clear" w:color="auto" w:fill="FFFFFF"/>
            <w:vAlign w:val="center"/>
          </w:tcPr>
          <w:p w14:paraId="0D7FC51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70</w:t>
            </w:r>
          </w:p>
        </w:tc>
      </w:tr>
      <w:tr w:rsidR="00CA27E3" w:rsidRPr="00D83000" w14:paraId="7F84CD80" w14:textId="77777777" w:rsidTr="003B4610">
        <w:trPr>
          <w:jc w:val="center"/>
        </w:trPr>
        <w:tc>
          <w:tcPr>
            <w:tcW w:w="2179" w:type="dxa"/>
            <w:tcBorders>
              <w:top w:val="single" w:sz="4" w:space="0" w:color="auto"/>
              <w:left w:val="single" w:sz="4" w:space="0" w:color="auto"/>
            </w:tcBorders>
            <w:shd w:val="clear" w:color="auto" w:fill="FFFFFF"/>
            <w:vAlign w:val="center"/>
          </w:tcPr>
          <w:p w14:paraId="65C2B478" w14:textId="77777777" w:rsidR="00CA27E3" w:rsidRPr="00D83000" w:rsidRDefault="00CA27E3" w:rsidP="003B4610">
            <w:pPr>
              <w:pStyle w:val="a4"/>
              <w:shd w:val="clear" w:color="auto" w:fill="auto"/>
              <w:spacing w:after="120" w:line="240" w:lineRule="auto"/>
              <w:ind w:firstLine="220"/>
              <w:jc w:val="center"/>
              <w:rPr>
                <w:rFonts w:ascii="Sylfaen" w:hAnsi="Sylfaen" w:cs="Sylfaen"/>
                <w:sz w:val="20"/>
                <w:szCs w:val="20"/>
              </w:rPr>
            </w:pPr>
            <w:r w:rsidRPr="00D83000">
              <w:rPr>
                <w:rFonts w:ascii="Sylfaen" w:hAnsi="Sylfaen"/>
                <w:sz w:val="20"/>
                <w:szCs w:val="20"/>
              </w:rPr>
              <w:t>75 &lt; W ≤ 105</w:t>
            </w:r>
          </w:p>
        </w:tc>
        <w:tc>
          <w:tcPr>
            <w:tcW w:w="3610" w:type="dxa"/>
            <w:tcBorders>
              <w:top w:val="single" w:sz="4" w:space="0" w:color="auto"/>
              <w:left w:val="single" w:sz="4" w:space="0" w:color="auto"/>
            </w:tcBorders>
            <w:shd w:val="clear" w:color="auto" w:fill="FFFFFF"/>
            <w:vAlign w:val="center"/>
          </w:tcPr>
          <w:p w14:paraId="799248D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c>
          <w:tcPr>
            <w:tcW w:w="3637" w:type="dxa"/>
            <w:tcBorders>
              <w:top w:val="single" w:sz="4" w:space="0" w:color="auto"/>
              <w:left w:val="single" w:sz="4" w:space="0" w:color="auto"/>
              <w:right w:val="single" w:sz="4" w:space="0" w:color="auto"/>
            </w:tcBorders>
            <w:shd w:val="clear" w:color="auto" w:fill="FFFFFF"/>
            <w:vAlign w:val="center"/>
          </w:tcPr>
          <w:p w14:paraId="7C024E5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75</w:t>
            </w:r>
          </w:p>
        </w:tc>
      </w:tr>
      <w:tr w:rsidR="00CA27E3" w:rsidRPr="00D83000" w14:paraId="20B52E00" w14:textId="77777777" w:rsidTr="003B4610">
        <w:trPr>
          <w:jc w:val="center"/>
        </w:trPr>
        <w:tc>
          <w:tcPr>
            <w:tcW w:w="2179" w:type="dxa"/>
            <w:tcBorders>
              <w:top w:val="single" w:sz="4" w:space="0" w:color="auto"/>
              <w:left w:val="single" w:sz="4" w:space="0" w:color="auto"/>
            </w:tcBorders>
            <w:shd w:val="clear" w:color="auto" w:fill="FFFFFF"/>
            <w:vAlign w:val="center"/>
          </w:tcPr>
          <w:p w14:paraId="24CC9C9D" w14:textId="77777777" w:rsidR="00CA27E3" w:rsidRPr="00D83000" w:rsidRDefault="00CA27E3" w:rsidP="003B4610">
            <w:pPr>
              <w:pStyle w:val="a4"/>
              <w:shd w:val="clear" w:color="auto" w:fill="auto"/>
              <w:spacing w:after="120" w:line="240" w:lineRule="auto"/>
              <w:ind w:firstLine="220"/>
              <w:jc w:val="center"/>
              <w:rPr>
                <w:rFonts w:ascii="Sylfaen" w:hAnsi="Sylfaen" w:cs="Sylfaen"/>
                <w:sz w:val="20"/>
                <w:szCs w:val="20"/>
              </w:rPr>
            </w:pPr>
            <w:r w:rsidRPr="00D83000">
              <w:rPr>
                <w:rFonts w:ascii="Sylfaen" w:hAnsi="Sylfaen"/>
                <w:sz w:val="20"/>
                <w:szCs w:val="20"/>
              </w:rPr>
              <w:t>105 &lt; W ≤ 155</w:t>
            </w:r>
          </w:p>
        </w:tc>
        <w:tc>
          <w:tcPr>
            <w:tcW w:w="3610" w:type="dxa"/>
            <w:tcBorders>
              <w:top w:val="single" w:sz="4" w:space="0" w:color="auto"/>
              <w:left w:val="single" w:sz="4" w:space="0" w:color="auto"/>
            </w:tcBorders>
            <w:shd w:val="clear" w:color="auto" w:fill="FFFFFF"/>
            <w:vAlign w:val="center"/>
          </w:tcPr>
          <w:p w14:paraId="58A1094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c>
          <w:tcPr>
            <w:tcW w:w="3637" w:type="dxa"/>
            <w:tcBorders>
              <w:top w:val="single" w:sz="4" w:space="0" w:color="auto"/>
              <w:left w:val="single" w:sz="4" w:space="0" w:color="auto"/>
              <w:right w:val="single" w:sz="4" w:space="0" w:color="auto"/>
            </w:tcBorders>
            <w:shd w:val="clear" w:color="auto" w:fill="FFFFFF"/>
            <w:vAlign w:val="center"/>
          </w:tcPr>
          <w:p w14:paraId="34EDC54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75</w:t>
            </w:r>
          </w:p>
        </w:tc>
      </w:tr>
      <w:tr w:rsidR="00CA27E3" w:rsidRPr="00D83000" w14:paraId="4A7F42B5" w14:textId="77777777" w:rsidTr="003B4610">
        <w:trPr>
          <w:jc w:val="center"/>
        </w:trPr>
        <w:tc>
          <w:tcPr>
            <w:tcW w:w="2179" w:type="dxa"/>
            <w:tcBorders>
              <w:top w:val="single" w:sz="4" w:space="0" w:color="auto"/>
              <w:left w:val="single" w:sz="4" w:space="0" w:color="auto"/>
            </w:tcBorders>
            <w:shd w:val="clear" w:color="auto" w:fill="FFFFFF"/>
            <w:vAlign w:val="center"/>
          </w:tcPr>
          <w:p w14:paraId="61B2723E" w14:textId="77777777" w:rsidR="00CA27E3" w:rsidRPr="00D83000" w:rsidRDefault="00CA27E3" w:rsidP="003B4610">
            <w:pPr>
              <w:pStyle w:val="a4"/>
              <w:shd w:val="clear" w:color="auto" w:fill="auto"/>
              <w:spacing w:after="120" w:line="240" w:lineRule="auto"/>
              <w:ind w:firstLine="220"/>
              <w:jc w:val="center"/>
              <w:rPr>
                <w:rFonts w:ascii="Sylfaen" w:hAnsi="Sylfaen" w:cs="Sylfaen"/>
                <w:sz w:val="20"/>
                <w:szCs w:val="20"/>
              </w:rPr>
            </w:pPr>
            <w:r w:rsidRPr="00D83000">
              <w:rPr>
                <w:rFonts w:ascii="Sylfaen" w:hAnsi="Sylfaen"/>
                <w:sz w:val="20"/>
                <w:szCs w:val="20"/>
              </w:rPr>
              <w:t>155 &lt; W ≤ 255</w:t>
            </w:r>
          </w:p>
        </w:tc>
        <w:tc>
          <w:tcPr>
            <w:tcW w:w="3610" w:type="dxa"/>
            <w:tcBorders>
              <w:top w:val="single" w:sz="4" w:space="0" w:color="auto"/>
              <w:left w:val="single" w:sz="4" w:space="0" w:color="auto"/>
            </w:tcBorders>
            <w:shd w:val="clear" w:color="auto" w:fill="FFFFFF"/>
            <w:vAlign w:val="center"/>
          </w:tcPr>
          <w:p w14:paraId="15D58FD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c>
          <w:tcPr>
            <w:tcW w:w="3637" w:type="dxa"/>
            <w:tcBorders>
              <w:top w:val="single" w:sz="4" w:space="0" w:color="auto"/>
              <w:left w:val="single" w:sz="4" w:space="0" w:color="auto"/>
              <w:right w:val="single" w:sz="4" w:space="0" w:color="auto"/>
            </w:tcBorders>
            <w:shd w:val="clear" w:color="auto" w:fill="FFFFFF"/>
            <w:vAlign w:val="center"/>
          </w:tcPr>
          <w:p w14:paraId="3CFCD4D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75</w:t>
            </w:r>
          </w:p>
        </w:tc>
      </w:tr>
      <w:tr w:rsidR="00CA27E3" w:rsidRPr="00D83000" w14:paraId="0149826C" w14:textId="77777777" w:rsidTr="003B4610">
        <w:trPr>
          <w:jc w:val="center"/>
        </w:trPr>
        <w:tc>
          <w:tcPr>
            <w:tcW w:w="2179" w:type="dxa"/>
            <w:tcBorders>
              <w:top w:val="single" w:sz="4" w:space="0" w:color="auto"/>
              <w:left w:val="single" w:sz="4" w:space="0" w:color="auto"/>
              <w:bottom w:val="single" w:sz="4" w:space="0" w:color="auto"/>
            </w:tcBorders>
            <w:shd w:val="clear" w:color="auto" w:fill="FFFFFF"/>
            <w:vAlign w:val="center"/>
          </w:tcPr>
          <w:p w14:paraId="0F2EEF7A" w14:textId="77777777" w:rsidR="00CA27E3" w:rsidRPr="00D83000" w:rsidRDefault="00CA27E3" w:rsidP="003B4610">
            <w:pPr>
              <w:pStyle w:val="a4"/>
              <w:shd w:val="clear" w:color="auto" w:fill="auto"/>
              <w:spacing w:after="120" w:line="240" w:lineRule="auto"/>
              <w:ind w:firstLine="220"/>
              <w:jc w:val="center"/>
              <w:rPr>
                <w:rFonts w:ascii="Sylfaen" w:hAnsi="Sylfaen" w:cs="Sylfaen"/>
                <w:sz w:val="20"/>
                <w:szCs w:val="20"/>
              </w:rPr>
            </w:pPr>
            <w:r w:rsidRPr="00D83000">
              <w:rPr>
                <w:rFonts w:ascii="Sylfaen" w:hAnsi="Sylfaen"/>
                <w:sz w:val="20"/>
                <w:szCs w:val="20"/>
              </w:rPr>
              <w:t>255 &lt; W ≤ 405</w:t>
            </w:r>
          </w:p>
        </w:tc>
        <w:tc>
          <w:tcPr>
            <w:tcW w:w="3610" w:type="dxa"/>
            <w:tcBorders>
              <w:top w:val="single" w:sz="4" w:space="0" w:color="auto"/>
              <w:left w:val="single" w:sz="4" w:space="0" w:color="auto"/>
              <w:bottom w:val="single" w:sz="4" w:space="0" w:color="auto"/>
            </w:tcBorders>
            <w:shd w:val="clear" w:color="auto" w:fill="FFFFFF"/>
            <w:vAlign w:val="center"/>
          </w:tcPr>
          <w:p w14:paraId="16A5C70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85</w:t>
            </w:r>
          </w:p>
        </w:tc>
        <w:tc>
          <w:tcPr>
            <w:tcW w:w="3637" w:type="dxa"/>
            <w:tcBorders>
              <w:top w:val="single" w:sz="4" w:space="0" w:color="auto"/>
              <w:left w:val="single" w:sz="4" w:space="0" w:color="auto"/>
              <w:bottom w:val="single" w:sz="4" w:space="0" w:color="auto"/>
              <w:right w:val="single" w:sz="4" w:space="0" w:color="auto"/>
            </w:tcBorders>
            <w:shd w:val="clear" w:color="auto" w:fill="FFFFFF"/>
            <w:vAlign w:val="center"/>
          </w:tcPr>
          <w:p w14:paraId="70D0473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75</w:t>
            </w:r>
          </w:p>
        </w:tc>
      </w:tr>
    </w:tbl>
    <w:p w14:paraId="7C1D109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p>
    <w:p w14:paraId="021198B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Բարձր ճնշման այլ գազապարպումային լամպեր պետք է ունենան 9-րդ աղյուսակում բերված` լուսատացքի հաշվարկային արժեքներից ոչ պակաս արժեքներ։</w:t>
      </w:r>
    </w:p>
    <w:p w14:paraId="781D7F05" w14:textId="77777777" w:rsidR="00CA27E3" w:rsidRPr="003D2C38"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Տվյալ պահանջները պետք է կիրառվեն 2025 թվականի սեպտեմբերի 1-ից։</w:t>
      </w:r>
    </w:p>
    <w:p w14:paraId="1E9EE665" w14:textId="77777777" w:rsidR="003B4610" w:rsidRPr="003D2C38" w:rsidRDefault="003B4610" w:rsidP="00CA27E3">
      <w:pPr>
        <w:pStyle w:val="a0"/>
        <w:shd w:val="clear" w:color="auto" w:fill="auto"/>
        <w:spacing w:after="160"/>
        <w:ind w:firstLine="567"/>
        <w:jc w:val="both"/>
        <w:rPr>
          <w:rFonts w:ascii="Sylfaen" w:hAnsi="Sylfaen" w:cs="Sylfaen"/>
          <w:sz w:val="24"/>
          <w:szCs w:val="24"/>
        </w:rPr>
      </w:pPr>
    </w:p>
    <w:p w14:paraId="50F979BF"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9</w:t>
      </w:r>
    </w:p>
    <w:p w14:paraId="0DC0720D" w14:textId="77777777" w:rsidR="00CA27E3" w:rsidRPr="00CA27E3" w:rsidRDefault="00CA27E3" w:rsidP="00CA27E3">
      <w:pPr>
        <w:pStyle w:val="a2"/>
        <w:shd w:val="clear" w:color="auto" w:fill="auto"/>
        <w:spacing w:after="160" w:line="360" w:lineRule="auto"/>
        <w:ind w:left="567" w:right="559"/>
        <w:jc w:val="center"/>
        <w:rPr>
          <w:rFonts w:ascii="Sylfaen" w:hAnsi="Sylfaen" w:cs="Sylfaen"/>
          <w:sz w:val="24"/>
          <w:szCs w:val="24"/>
        </w:rPr>
      </w:pPr>
      <w:r w:rsidRPr="00CA27E3">
        <w:rPr>
          <w:rFonts w:ascii="Sylfaen" w:hAnsi="Sylfaen"/>
          <w:sz w:val="24"/>
          <w:szCs w:val="24"/>
        </w:rPr>
        <w:t xml:space="preserve">Բարձր ճնշման այլ գազապարպումային լամպերի </w:t>
      </w:r>
      <w:r w:rsidR="003B4610" w:rsidRPr="003B4610">
        <w:rPr>
          <w:rFonts w:ascii="Sylfaen" w:hAnsi="Sylfaen"/>
          <w:sz w:val="24"/>
          <w:szCs w:val="24"/>
        </w:rPr>
        <w:br/>
      </w:r>
      <w:r w:rsidRPr="00CA27E3">
        <w:rPr>
          <w:rFonts w:ascii="Sylfaen" w:hAnsi="Sylfaen"/>
          <w:sz w:val="24"/>
          <w:szCs w:val="24"/>
        </w:rPr>
        <w:t>նվազագույն լուսատացքի հաշվարկային արժեքները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469"/>
        <w:gridCol w:w="4925"/>
      </w:tblGrid>
      <w:tr w:rsidR="00CA27E3" w:rsidRPr="00D83000" w14:paraId="2B0EAD13" w14:textId="77777777" w:rsidTr="00CA27E3">
        <w:trPr>
          <w:trHeight w:val="634"/>
          <w:jc w:val="center"/>
        </w:trPr>
        <w:tc>
          <w:tcPr>
            <w:tcW w:w="4469" w:type="dxa"/>
            <w:vMerge w:val="restart"/>
            <w:tcBorders>
              <w:top w:val="single" w:sz="4" w:space="0" w:color="auto"/>
              <w:left w:val="single" w:sz="4" w:space="0" w:color="auto"/>
            </w:tcBorders>
            <w:shd w:val="clear" w:color="auto" w:fill="FFFFFF"/>
            <w:vAlign w:val="center"/>
          </w:tcPr>
          <w:p w14:paraId="2AE4122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անվանական հզորությունը, W, Վտ</w:t>
            </w:r>
          </w:p>
        </w:tc>
        <w:tc>
          <w:tcPr>
            <w:tcW w:w="4925" w:type="dxa"/>
            <w:vMerge w:val="restart"/>
            <w:tcBorders>
              <w:top w:val="single" w:sz="4" w:space="0" w:color="auto"/>
              <w:left w:val="single" w:sz="4" w:space="0" w:color="auto"/>
              <w:right w:val="single" w:sz="4" w:space="0" w:color="auto"/>
            </w:tcBorders>
            <w:shd w:val="clear" w:color="auto" w:fill="FFFFFF"/>
            <w:vAlign w:val="center"/>
          </w:tcPr>
          <w:p w14:paraId="0A9902D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Հաշվարկային լուսատացքը, լմ/Վտ</w:t>
            </w:r>
          </w:p>
        </w:tc>
      </w:tr>
      <w:tr w:rsidR="00CA27E3" w:rsidRPr="00D83000" w14:paraId="5E7133DC" w14:textId="77777777" w:rsidTr="00CA27E3">
        <w:trPr>
          <w:trHeight w:val="634"/>
          <w:jc w:val="center"/>
        </w:trPr>
        <w:tc>
          <w:tcPr>
            <w:tcW w:w="4469" w:type="dxa"/>
            <w:vMerge/>
            <w:tcBorders>
              <w:left w:val="single" w:sz="4" w:space="0" w:color="auto"/>
            </w:tcBorders>
            <w:shd w:val="clear" w:color="auto" w:fill="FFFFFF"/>
            <w:vAlign w:val="bottom"/>
          </w:tcPr>
          <w:p w14:paraId="6D1289DE" w14:textId="77777777" w:rsidR="00CA27E3" w:rsidRPr="00D83000" w:rsidRDefault="00CA27E3" w:rsidP="00D83000">
            <w:pPr>
              <w:spacing w:after="120"/>
              <w:rPr>
                <w:rFonts w:ascii="Sylfaen" w:hAnsi="Sylfaen" w:cs="Sylfaen"/>
                <w:sz w:val="20"/>
                <w:szCs w:val="20"/>
              </w:rPr>
            </w:pPr>
          </w:p>
        </w:tc>
        <w:tc>
          <w:tcPr>
            <w:tcW w:w="4925" w:type="dxa"/>
            <w:vMerge/>
            <w:tcBorders>
              <w:left w:val="single" w:sz="4" w:space="0" w:color="auto"/>
              <w:right w:val="single" w:sz="4" w:space="0" w:color="auto"/>
            </w:tcBorders>
            <w:shd w:val="clear" w:color="auto" w:fill="FFFFFF"/>
            <w:vAlign w:val="center"/>
          </w:tcPr>
          <w:p w14:paraId="7B3FECED" w14:textId="77777777" w:rsidR="00CA27E3" w:rsidRPr="00D83000" w:rsidRDefault="00CA27E3" w:rsidP="00D83000">
            <w:pPr>
              <w:spacing w:after="120"/>
              <w:rPr>
                <w:rFonts w:ascii="Sylfaen" w:hAnsi="Sylfaen" w:cs="Sylfaen"/>
                <w:sz w:val="20"/>
                <w:szCs w:val="20"/>
              </w:rPr>
            </w:pPr>
          </w:p>
        </w:tc>
      </w:tr>
      <w:tr w:rsidR="00CA27E3" w:rsidRPr="00D83000" w14:paraId="0EE10D57" w14:textId="77777777" w:rsidTr="00CA27E3">
        <w:trPr>
          <w:jc w:val="center"/>
        </w:trPr>
        <w:tc>
          <w:tcPr>
            <w:tcW w:w="4469" w:type="dxa"/>
            <w:tcBorders>
              <w:top w:val="single" w:sz="4" w:space="0" w:color="auto"/>
              <w:left w:val="single" w:sz="4" w:space="0" w:color="auto"/>
            </w:tcBorders>
            <w:shd w:val="clear" w:color="auto" w:fill="FFFFFF"/>
            <w:vAlign w:val="bottom"/>
          </w:tcPr>
          <w:p w14:paraId="37DF713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 ≤ 40</w:t>
            </w:r>
          </w:p>
        </w:tc>
        <w:tc>
          <w:tcPr>
            <w:tcW w:w="4925" w:type="dxa"/>
            <w:tcBorders>
              <w:top w:val="single" w:sz="4" w:space="0" w:color="auto"/>
              <w:left w:val="single" w:sz="4" w:space="0" w:color="auto"/>
              <w:right w:val="single" w:sz="4" w:space="0" w:color="auto"/>
            </w:tcBorders>
            <w:shd w:val="clear" w:color="auto" w:fill="FFFFFF"/>
            <w:vAlign w:val="bottom"/>
          </w:tcPr>
          <w:p w14:paraId="1206185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r>
      <w:tr w:rsidR="00CA27E3" w:rsidRPr="00D83000" w14:paraId="2613891C" w14:textId="77777777" w:rsidTr="00CA27E3">
        <w:trPr>
          <w:jc w:val="center"/>
        </w:trPr>
        <w:tc>
          <w:tcPr>
            <w:tcW w:w="4469" w:type="dxa"/>
            <w:tcBorders>
              <w:top w:val="single" w:sz="4" w:space="0" w:color="auto"/>
              <w:left w:val="single" w:sz="4" w:space="0" w:color="auto"/>
            </w:tcBorders>
            <w:shd w:val="clear" w:color="auto" w:fill="FFFFFF"/>
            <w:vAlign w:val="bottom"/>
          </w:tcPr>
          <w:p w14:paraId="6AC9718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 &lt; W ≤ 50</w:t>
            </w:r>
          </w:p>
        </w:tc>
        <w:tc>
          <w:tcPr>
            <w:tcW w:w="4925" w:type="dxa"/>
            <w:tcBorders>
              <w:top w:val="single" w:sz="4" w:space="0" w:color="auto"/>
              <w:left w:val="single" w:sz="4" w:space="0" w:color="auto"/>
              <w:right w:val="single" w:sz="4" w:space="0" w:color="auto"/>
            </w:tcBorders>
            <w:shd w:val="clear" w:color="auto" w:fill="FFFFFF"/>
            <w:vAlign w:val="bottom"/>
          </w:tcPr>
          <w:p w14:paraId="4D147D3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w:t>
            </w:r>
          </w:p>
        </w:tc>
      </w:tr>
      <w:tr w:rsidR="00CA27E3" w:rsidRPr="00D83000" w14:paraId="06CA115C" w14:textId="77777777" w:rsidTr="00CA27E3">
        <w:trPr>
          <w:jc w:val="center"/>
        </w:trPr>
        <w:tc>
          <w:tcPr>
            <w:tcW w:w="4469" w:type="dxa"/>
            <w:tcBorders>
              <w:top w:val="single" w:sz="4" w:space="0" w:color="auto"/>
              <w:left w:val="single" w:sz="4" w:space="0" w:color="auto"/>
            </w:tcBorders>
            <w:shd w:val="clear" w:color="auto" w:fill="FFFFFF"/>
            <w:vAlign w:val="bottom"/>
          </w:tcPr>
          <w:p w14:paraId="567FB58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 &lt; W ≤ 70</w:t>
            </w:r>
          </w:p>
        </w:tc>
        <w:tc>
          <w:tcPr>
            <w:tcW w:w="4925" w:type="dxa"/>
            <w:tcBorders>
              <w:top w:val="single" w:sz="4" w:space="0" w:color="auto"/>
              <w:left w:val="single" w:sz="4" w:space="0" w:color="auto"/>
              <w:right w:val="single" w:sz="4" w:space="0" w:color="auto"/>
            </w:tcBorders>
            <w:shd w:val="clear" w:color="auto" w:fill="FFFFFF"/>
            <w:vAlign w:val="bottom"/>
          </w:tcPr>
          <w:p w14:paraId="7C63413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65</w:t>
            </w:r>
          </w:p>
        </w:tc>
      </w:tr>
      <w:tr w:rsidR="00CA27E3" w:rsidRPr="00D83000" w14:paraId="342B91E7" w14:textId="77777777" w:rsidTr="00CA27E3">
        <w:trPr>
          <w:jc w:val="center"/>
        </w:trPr>
        <w:tc>
          <w:tcPr>
            <w:tcW w:w="4469" w:type="dxa"/>
            <w:tcBorders>
              <w:top w:val="single" w:sz="4" w:space="0" w:color="auto"/>
              <w:left w:val="single" w:sz="4" w:space="0" w:color="auto"/>
            </w:tcBorders>
            <w:shd w:val="clear" w:color="auto" w:fill="FFFFFF"/>
            <w:vAlign w:val="bottom"/>
          </w:tcPr>
          <w:p w14:paraId="1108AE6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70 &lt; W ≤ 125</w:t>
            </w:r>
          </w:p>
        </w:tc>
        <w:tc>
          <w:tcPr>
            <w:tcW w:w="4925" w:type="dxa"/>
            <w:tcBorders>
              <w:top w:val="single" w:sz="4" w:space="0" w:color="auto"/>
              <w:left w:val="single" w:sz="4" w:space="0" w:color="auto"/>
              <w:right w:val="single" w:sz="4" w:space="0" w:color="auto"/>
            </w:tcBorders>
            <w:shd w:val="clear" w:color="auto" w:fill="FFFFFF"/>
            <w:vAlign w:val="bottom"/>
          </w:tcPr>
          <w:p w14:paraId="1517267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70</w:t>
            </w:r>
          </w:p>
        </w:tc>
      </w:tr>
      <w:tr w:rsidR="00CA27E3" w:rsidRPr="00D83000" w14:paraId="5771D552" w14:textId="77777777" w:rsidTr="00CA27E3">
        <w:trPr>
          <w:jc w:val="center"/>
        </w:trPr>
        <w:tc>
          <w:tcPr>
            <w:tcW w:w="4469" w:type="dxa"/>
            <w:tcBorders>
              <w:top w:val="single" w:sz="4" w:space="0" w:color="auto"/>
              <w:left w:val="single" w:sz="4" w:space="0" w:color="auto"/>
              <w:bottom w:val="single" w:sz="4" w:space="0" w:color="auto"/>
            </w:tcBorders>
            <w:shd w:val="clear" w:color="auto" w:fill="FFFFFF"/>
          </w:tcPr>
          <w:p w14:paraId="0689094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125 &lt; W</w:t>
            </w:r>
          </w:p>
        </w:tc>
        <w:tc>
          <w:tcPr>
            <w:tcW w:w="4925" w:type="dxa"/>
            <w:tcBorders>
              <w:top w:val="single" w:sz="4" w:space="0" w:color="auto"/>
              <w:left w:val="single" w:sz="4" w:space="0" w:color="auto"/>
              <w:bottom w:val="single" w:sz="4" w:space="0" w:color="auto"/>
              <w:right w:val="single" w:sz="4" w:space="0" w:color="auto"/>
            </w:tcBorders>
            <w:shd w:val="clear" w:color="auto" w:fill="FFFFFF"/>
          </w:tcPr>
          <w:p w14:paraId="5235079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r>
    </w:tbl>
    <w:p w14:paraId="451188F9" w14:textId="77777777" w:rsidR="00CA27E3" w:rsidRPr="00CA27E3" w:rsidRDefault="00CA27E3" w:rsidP="00CA27E3">
      <w:pPr>
        <w:spacing w:after="160" w:line="360" w:lineRule="auto"/>
        <w:rPr>
          <w:rFonts w:ascii="Sylfaen" w:hAnsi="Sylfaen" w:cs="Sylfaen"/>
        </w:rPr>
      </w:pPr>
    </w:p>
    <w:p w14:paraId="4CC09EA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2025 թվականի սեպտեմբերի 1-ից՝</w:t>
      </w:r>
    </w:p>
    <w:p w14:paraId="149389F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պետք է նախատեսվի A2 էներգետիկ արդյունավետության դասի՝ գործարկումը կարգավորող ապարատներով կամ առավել արդյունավետ՝ գործարկումը կարգավորող ապարատներով առանց ներկառուցված՝ գործարկումը կարգավորող ապարատի լյումինեսցենտային լամպերի շահագործումը։ Պետք է նախատեսված լինի նա</w:t>
      </w:r>
      <w:r>
        <w:rPr>
          <w:rFonts w:ascii="Sylfaen" w:hAnsi="Sylfaen"/>
          <w:sz w:val="24"/>
          <w:szCs w:val="24"/>
        </w:rPr>
        <w:t>եւ</w:t>
      </w:r>
      <w:r w:rsidRPr="00CA27E3">
        <w:rPr>
          <w:rFonts w:ascii="Sylfaen" w:hAnsi="Sylfaen"/>
          <w:sz w:val="24"/>
          <w:szCs w:val="24"/>
        </w:rPr>
        <w:t xml:space="preserve"> դրանց շահագործումը՝ գործարկումը կարգավորող ապարատներով, որոնք ընկնում են А2-ից ցածր էներգետիկ արդյունավետության դասի ներքո.</w:t>
      </w:r>
    </w:p>
    <w:p w14:paraId="7B1FC68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Tc ≥ 5 000 K գունային ջերմաստիճանով կամ երկրորդ թաղանթով լամպերը պետք է համապատասխանեն լուսատացքին ներկայացվող գործող պահանջներին՝ առնվազն 90 %-ով.</w:t>
      </w:r>
    </w:p>
    <w:p w14:paraId="0D0F288B" w14:textId="77777777" w:rsidR="00CA27E3" w:rsidRPr="00D95D5E"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մետաղահալոգենային լամպերի լուսատացքի հաշվարկային արժեքները պետք է լինեն 10-րդ աղյուսակում բերված արժեքներից ոչ ցածր։</w:t>
      </w:r>
    </w:p>
    <w:p w14:paraId="199322B5" w14:textId="77777777" w:rsidR="005C50BB" w:rsidRPr="00D95D5E" w:rsidRDefault="005C50BB" w:rsidP="00CA27E3">
      <w:pPr>
        <w:pStyle w:val="a0"/>
        <w:shd w:val="clear" w:color="auto" w:fill="auto"/>
        <w:spacing w:after="160"/>
        <w:ind w:firstLine="567"/>
        <w:jc w:val="both"/>
        <w:rPr>
          <w:rFonts w:ascii="Sylfaen" w:hAnsi="Sylfaen" w:cs="Sylfaen"/>
          <w:sz w:val="24"/>
          <w:szCs w:val="24"/>
        </w:rPr>
      </w:pPr>
    </w:p>
    <w:p w14:paraId="3CA734CC"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10</w:t>
      </w:r>
    </w:p>
    <w:p w14:paraId="75A1550A" w14:textId="77777777" w:rsidR="00CA27E3" w:rsidRPr="00CA27E3" w:rsidRDefault="00CA27E3" w:rsidP="003B4610">
      <w:pPr>
        <w:pStyle w:val="a2"/>
        <w:shd w:val="clear" w:color="auto" w:fill="auto"/>
        <w:spacing w:after="160" w:line="360" w:lineRule="auto"/>
        <w:ind w:left="567" w:right="566"/>
        <w:jc w:val="center"/>
        <w:rPr>
          <w:rFonts w:ascii="Sylfaen" w:hAnsi="Sylfaen" w:cs="Sylfaen"/>
          <w:sz w:val="24"/>
          <w:szCs w:val="24"/>
        </w:rPr>
      </w:pPr>
      <w:r w:rsidRPr="00CA27E3">
        <w:rPr>
          <w:rFonts w:ascii="Sylfaen" w:hAnsi="Sylfaen"/>
          <w:sz w:val="24"/>
          <w:szCs w:val="24"/>
        </w:rPr>
        <w:t xml:space="preserve">Մետաղահալոգենային լամպերի լուսատացքի </w:t>
      </w:r>
      <w:r w:rsidR="003B4610" w:rsidRPr="003B4610">
        <w:rPr>
          <w:rFonts w:ascii="Sylfaen" w:hAnsi="Sylfaen"/>
          <w:sz w:val="24"/>
          <w:szCs w:val="24"/>
        </w:rPr>
        <w:br/>
      </w:r>
      <w:r w:rsidRPr="00CA27E3">
        <w:rPr>
          <w:rFonts w:ascii="Sylfaen" w:hAnsi="Sylfaen"/>
          <w:sz w:val="24"/>
          <w:szCs w:val="24"/>
        </w:rPr>
        <w:t>հաշվարկային արժեքները</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2420"/>
        <w:gridCol w:w="3544"/>
        <w:gridCol w:w="3410"/>
      </w:tblGrid>
      <w:tr w:rsidR="00CA27E3" w:rsidRPr="00D83000" w14:paraId="6F57621B" w14:textId="77777777" w:rsidTr="003B4610">
        <w:trPr>
          <w:trHeight w:val="1198"/>
          <w:jc w:val="center"/>
        </w:trPr>
        <w:tc>
          <w:tcPr>
            <w:tcW w:w="2420" w:type="dxa"/>
            <w:tcBorders>
              <w:top w:val="single" w:sz="4" w:space="0" w:color="auto"/>
              <w:left w:val="single" w:sz="4" w:space="0" w:color="auto"/>
            </w:tcBorders>
            <w:shd w:val="clear" w:color="auto" w:fill="FFFFFF"/>
            <w:vAlign w:val="center"/>
          </w:tcPr>
          <w:p w14:paraId="49486628" w14:textId="77777777" w:rsidR="00CA27E3" w:rsidRPr="00D83000" w:rsidRDefault="00CA27E3" w:rsidP="003B4610">
            <w:pPr>
              <w:pStyle w:val="a4"/>
              <w:shd w:val="clear" w:color="auto" w:fill="auto"/>
              <w:spacing w:after="120" w:line="240" w:lineRule="auto"/>
              <w:ind w:firstLine="300"/>
              <w:jc w:val="center"/>
              <w:rPr>
                <w:rFonts w:ascii="Sylfaen" w:hAnsi="Sylfaen" w:cs="Sylfaen"/>
                <w:sz w:val="20"/>
                <w:szCs w:val="20"/>
              </w:rPr>
            </w:pPr>
            <w:r w:rsidRPr="00D83000">
              <w:rPr>
                <w:rFonts w:ascii="Sylfaen" w:hAnsi="Sylfaen"/>
                <w:sz w:val="20"/>
                <w:szCs w:val="20"/>
              </w:rPr>
              <w:t>Լամպի անվանական հզորությունը, W, Վտ</w:t>
            </w:r>
          </w:p>
        </w:tc>
        <w:tc>
          <w:tcPr>
            <w:tcW w:w="3544" w:type="dxa"/>
            <w:tcBorders>
              <w:top w:val="single" w:sz="4" w:space="0" w:color="auto"/>
              <w:left w:val="single" w:sz="4" w:space="0" w:color="auto"/>
            </w:tcBorders>
            <w:shd w:val="clear" w:color="auto" w:fill="FFFFFF"/>
            <w:vAlign w:val="center"/>
          </w:tcPr>
          <w:p w14:paraId="7983DA6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Թափանցիկ լամպանոթով լամպի հաշվարկային լուսատացքը, լմ/Վտ</w:t>
            </w:r>
          </w:p>
        </w:tc>
        <w:tc>
          <w:tcPr>
            <w:tcW w:w="3410" w:type="dxa"/>
            <w:tcBorders>
              <w:top w:val="single" w:sz="4" w:space="0" w:color="auto"/>
              <w:left w:val="single" w:sz="4" w:space="0" w:color="auto"/>
              <w:right w:val="single" w:sz="4" w:space="0" w:color="auto"/>
            </w:tcBorders>
            <w:shd w:val="clear" w:color="auto" w:fill="FFFFFF"/>
            <w:vAlign w:val="center"/>
          </w:tcPr>
          <w:p w14:paraId="525DB0E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Անփայլ լամպանոթով լամպի հաշվարկային լուսատացքը, լմ/Վտ</w:t>
            </w:r>
          </w:p>
        </w:tc>
      </w:tr>
      <w:tr w:rsidR="00CA27E3" w:rsidRPr="00D83000" w14:paraId="15132156" w14:textId="77777777" w:rsidTr="003B4610">
        <w:trPr>
          <w:jc w:val="center"/>
        </w:trPr>
        <w:tc>
          <w:tcPr>
            <w:tcW w:w="2420" w:type="dxa"/>
            <w:tcBorders>
              <w:top w:val="single" w:sz="4" w:space="0" w:color="auto"/>
              <w:left w:val="single" w:sz="4" w:space="0" w:color="auto"/>
            </w:tcBorders>
            <w:shd w:val="clear" w:color="auto" w:fill="FFFFFF"/>
            <w:vAlign w:val="center"/>
          </w:tcPr>
          <w:p w14:paraId="065B92C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 ≤ 55</w:t>
            </w:r>
          </w:p>
        </w:tc>
        <w:tc>
          <w:tcPr>
            <w:tcW w:w="3544" w:type="dxa"/>
            <w:tcBorders>
              <w:top w:val="single" w:sz="4" w:space="0" w:color="auto"/>
              <w:left w:val="single" w:sz="4" w:space="0" w:color="auto"/>
            </w:tcBorders>
            <w:shd w:val="clear" w:color="auto" w:fill="FFFFFF"/>
            <w:vAlign w:val="center"/>
          </w:tcPr>
          <w:p w14:paraId="0219D42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70</w:t>
            </w:r>
          </w:p>
        </w:tc>
        <w:tc>
          <w:tcPr>
            <w:tcW w:w="3410" w:type="dxa"/>
            <w:tcBorders>
              <w:top w:val="single" w:sz="4" w:space="0" w:color="auto"/>
              <w:left w:val="single" w:sz="4" w:space="0" w:color="auto"/>
              <w:right w:val="single" w:sz="4" w:space="0" w:color="auto"/>
            </w:tcBorders>
            <w:shd w:val="clear" w:color="auto" w:fill="FFFFFF"/>
            <w:vAlign w:val="center"/>
          </w:tcPr>
          <w:p w14:paraId="33EC8E1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65</w:t>
            </w:r>
          </w:p>
        </w:tc>
      </w:tr>
      <w:tr w:rsidR="00CA27E3" w:rsidRPr="00D83000" w14:paraId="3420CDF9" w14:textId="77777777" w:rsidTr="003B4610">
        <w:trPr>
          <w:jc w:val="center"/>
        </w:trPr>
        <w:tc>
          <w:tcPr>
            <w:tcW w:w="2420" w:type="dxa"/>
            <w:tcBorders>
              <w:top w:val="single" w:sz="4" w:space="0" w:color="auto"/>
              <w:left w:val="single" w:sz="4" w:space="0" w:color="auto"/>
            </w:tcBorders>
            <w:shd w:val="clear" w:color="auto" w:fill="FFFFFF"/>
            <w:vAlign w:val="center"/>
          </w:tcPr>
          <w:p w14:paraId="19F28DB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 &lt; W ≤ 75</w:t>
            </w:r>
          </w:p>
        </w:tc>
        <w:tc>
          <w:tcPr>
            <w:tcW w:w="3544" w:type="dxa"/>
            <w:tcBorders>
              <w:top w:val="single" w:sz="4" w:space="0" w:color="auto"/>
              <w:left w:val="single" w:sz="4" w:space="0" w:color="auto"/>
            </w:tcBorders>
            <w:shd w:val="clear" w:color="auto" w:fill="FFFFFF"/>
            <w:vAlign w:val="center"/>
          </w:tcPr>
          <w:p w14:paraId="0933D5D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c>
          <w:tcPr>
            <w:tcW w:w="3410" w:type="dxa"/>
            <w:tcBorders>
              <w:top w:val="single" w:sz="4" w:space="0" w:color="auto"/>
              <w:left w:val="single" w:sz="4" w:space="0" w:color="auto"/>
              <w:right w:val="single" w:sz="4" w:space="0" w:color="auto"/>
            </w:tcBorders>
            <w:shd w:val="clear" w:color="auto" w:fill="FFFFFF"/>
            <w:vAlign w:val="center"/>
          </w:tcPr>
          <w:p w14:paraId="24A0491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75</w:t>
            </w:r>
          </w:p>
        </w:tc>
      </w:tr>
      <w:tr w:rsidR="00CA27E3" w:rsidRPr="00D83000" w14:paraId="358609A7" w14:textId="77777777" w:rsidTr="003B4610">
        <w:trPr>
          <w:jc w:val="center"/>
        </w:trPr>
        <w:tc>
          <w:tcPr>
            <w:tcW w:w="2420" w:type="dxa"/>
            <w:tcBorders>
              <w:top w:val="single" w:sz="4" w:space="0" w:color="auto"/>
              <w:left w:val="single" w:sz="4" w:space="0" w:color="auto"/>
            </w:tcBorders>
            <w:shd w:val="clear" w:color="auto" w:fill="FFFFFF"/>
            <w:vAlign w:val="center"/>
          </w:tcPr>
          <w:p w14:paraId="698AA26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 &lt; W ≤ 105</w:t>
            </w:r>
          </w:p>
        </w:tc>
        <w:tc>
          <w:tcPr>
            <w:tcW w:w="3544" w:type="dxa"/>
            <w:tcBorders>
              <w:top w:val="single" w:sz="4" w:space="0" w:color="auto"/>
              <w:left w:val="single" w:sz="4" w:space="0" w:color="auto"/>
            </w:tcBorders>
            <w:shd w:val="clear" w:color="auto" w:fill="FFFFFF"/>
            <w:vAlign w:val="center"/>
          </w:tcPr>
          <w:p w14:paraId="0684EDD6"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85</w:t>
            </w:r>
          </w:p>
        </w:tc>
        <w:tc>
          <w:tcPr>
            <w:tcW w:w="3410" w:type="dxa"/>
            <w:tcBorders>
              <w:top w:val="single" w:sz="4" w:space="0" w:color="auto"/>
              <w:left w:val="single" w:sz="4" w:space="0" w:color="auto"/>
              <w:right w:val="single" w:sz="4" w:space="0" w:color="auto"/>
            </w:tcBorders>
            <w:shd w:val="clear" w:color="auto" w:fill="FFFFFF"/>
            <w:vAlign w:val="center"/>
          </w:tcPr>
          <w:p w14:paraId="34A4E8D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r>
      <w:tr w:rsidR="00CA27E3" w:rsidRPr="00D83000" w14:paraId="17FDAB4F" w14:textId="77777777" w:rsidTr="003B4610">
        <w:trPr>
          <w:jc w:val="center"/>
        </w:trPr>
        <w:tc>
          <w:tcPr>
            <w:tcW w:w="2420" w:type="dxa"/>
            <w:tcBorders>
              <w:top w:val="single" w:sz="4" w:space="0" w:color="auto"/>
              <w:left w:val="single" w:sz="4" w:space="0" w:color="auto"/>
            </w:tcBorders>
            <w:shd w:val="clear" w:color="auto" w:fill="FFFFFF"/>
            <w:vAlign w:val="center"/>
          </w:tcPr>
          <w:p w14:paraId="722D1B5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105 &lt; W ≤ 155</w:t>
            </w:r>
          </w:p>
        </w:tc>
        <w:tc>
          <w:tcPr>
            <w:tcW w:w="3544" w:type="dxa"/>
            <w:tcBorders>
              <w:top w:val="single" w:sz="4" w:space="0" w:color="auto"/>
              <w:left w:val="single" w:sz="4" w:space="0" w:color="auto"/>
            </w:tcBorders>
            <w:shd w:val="clear" w:color="auto" w:fill="FFFFFF"/>
            <w:vAlign w:val="center"/>
          </w:tcPr>
          <w:p w14:paraId="477DCF7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85</w:t>
            </w:r>
          </w:p>
        </w:tc>
        <w:tc>
          <w:tcPr>
            <w:tcW w:w="3410" w:type="dxa"/>
            <w:tcBorders>
              <w:top w:val="single" w:sz="4" w:space="0" w:color="auto"/>
              <w:left w:val="single" w:sz="4" w:space="0" w:color="auto"/>
              <w:right w:val="single" w:sz="4" w:space="0" w:color="auto"/>
            </w:tcBorders>
            <w:shd w:val="clear" w:color="auto" w:fill="FFFFFF"/>
            <w:vAlign w:val="center"/>
          </w:tcPr>
          <w:p w14:paraId="408DB8F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r>
      <w:tr w:rsidR="00CA27E3" w:rsidRPr="00D83000" w14:paraId="69B00757" w14:textId="77777777" w:rsidTr="003B4610">
        <w:trPr>
          <w:jc w:val="center"/>
        </w:trPr>
        <w:tc>
          <w:tcPr>
            <w:tcW w:w="2420" w:type="dxa"/>
            <w:tcBorders>
              <w:top w:val="single" w:sz="4" w:space="0" w:color="auto"/>
              <w:left w:val="single" w:sz="4" w:space="0" w:color="auto"/>
            </w:tcBorders>
            <w:shd w:val="clear" w:color="auto" w:fill="FFFFFF"/>
            <w:vAlign w:val="center"/>
          </w:tcPr>
          <w:p w14:paraId="79A1A56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155 &lt; W ≤ 255</w:t>
            </w:r>
          </w:p>
        </w:tc>
        <w:tc>
          <w:tcPr>
            <w:tcW w:w="3544" w:type="dxa"/>
            <w:tcBorders>
              <w:top w:val="single" w:sz="4" w:space="0" w:color="auto"/>
              <w:left w:val="single" w:sz="4" w:space="0" w:color="auto"/>
            </w:tcBorders>
            <w:shd w:val="clear" w:color="auto" w:fill="FFFFFF"/>
            <w:vAlign w:val="center"/>
          </w:tcPr>
          <w:p w14:paraId="49543B7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85</w:t>
            </w:r>
          </w:p>
        </w:tc>
        <w:tc>
          <w:tcPr>
            <w:tcW w:w="3410" w:type="dxa"/>
            <w:tcBorders>
              <w:top w:val="single" w:sz="4" w:space="0" w:color="auto"/>
              <w:left w:val="single" w:sz="4" w:space="0" w:color="auto"/>
              <w:right w:val="single" w:sz="4" w:space="0" w:color="auto"/>
            </w:tcBorders>
            <w:shd w:val="clear" w:color="auto" w:fill="FFFFFF"/>
            <w:vAlign w:val="center"/>
          </w:tcPr>
          <w:p w14:paraId="3F7AEBA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r>
      <w:tr w:rsidR="00CA27E3" w:rsidRPr="00D83000" w14:paraId="59D82B04" w14:textId="77777777" w:rsidTr="003B4610">
        <w:trPr>
          <w:jc w:val="center"/>
        </w:trPr>
        <w:tc>
          <w:tcPr>
            <w:tcW w:w="2420" w:type="dxa"/>
            <w:tcBorders>
              <w:top w:val="single" w:sz="4" w:space="0" w:color="auto"/>
              <w:left w:val="single" w:sz="4" w:space="0" w:color="auto"/>
            </w:tcBorders>
            <w:shd w:val="clear" w:color="auto" w:fill="FFFFFF"/>
            <w:vAlign w:val="center"/>
          </w:tcPr>
          <w:p w14:paraId="211676F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255 &lt; W ≤ 405</w:t>
            </w:r>
          </w:p>
        </w:tc>
        <w:tc>
          <w:tcPr>
            <w:tcW w:w="3544" w:type="dxa"/>
            <w:tcBorders>
              <w:top w:val="single" w:sz="4" w:space="0" w:color="auto"/>
              <w:left w:val="single" w:sz="4" w:space="0" w:color="auto"/>
            </w:tcBorders>
            <w:shd w:val="clear" w:color="auto" w:fill="FFFFFF"/>
            <w:vAlign w:val="center"/>
          </w:tcPr>
          <w:p w14:paraId="75DF8E5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90</w:t>
            </w:r>
          </w:p>
        </w:tc>
        <w:tc>
          <w:tcPr>
            <w:tcW w:w="3410" w:type="dxa"/>
            <w:tcBorders>
              <w:top w:val="single" w:sz="4" w:space="0" w:color="auto"/>
              <w:left w:val="single" w:sz="4" w:space="0" w:color="auto"/>
              <w:right w:val="single" w:sz="4" w:space="0" w:color="auto"/>
            </w:tcBorders>
            <w:shd w:val="clear" w:color="auto" w:fill="FFFFFF"/>
            <w:vAlign w:val="center"/>
          </w:tcPr>
          <w:p w14:paraId="1C6495EB"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85</w:t>
            </w:r>
          </w:p>
        </w:tc>
      </w:tr>
    </w:tbl>
    <w:p w14:paraId="54F71FB4" w14:textId="77777777" w:rsidR="00CA27E3" w:rsidRDefault="00CA27E3" w:rsidP="00CA27E3">
      <w:pPr>
        <w:spacing w:after="160" w:line="360" w:lineRule="auto"/>
        <w:rPr>
          <w:rFonts w:ascii="Sylfaen" w:hAnsi="Sylfaen" w:cs="Sylfaen"/>
          <w:lang w:val="en-US"/>
        </w:rPr>
      </w:pPr>
    </w:p>
    <w:p w14:paraId="278821C5" w14:textId="77777777" w:rsidR="003B4610" w:rsidRPr="003B4610" w:rsidRDefault="003B4610" w:rsidP="00CA27E3">
      <w:pPr>
        <w:spacing w:after="160" w:line="360" w:lineRule="auto"/>
        <w:rPr>
          <w:rFonts w:ascii="Sylfaen" w:hAnsi="Sylfaen" w:cs="Sylfaen"/>
          <w:lang w:val="en-US"/>
        </w:rPr>
      </w:pPr>
    </w:p>
    <w:p w14:paraId="2C84533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lastRenderedPageBreak/>
        <w:t xml:space="preserve">2. Լամպերի շահագործման բնութագրերին </w:t>
      </w:r>
      <w:r w:rsidR="003B4610">
        <w:rPr>
          <w:rFonts w:ascii="Sylfaen" w:hAnsi="Sylfaen"/>
          <w:sz w:val="24"/>
          <w:szCs w:val="24"/>
          <w:lang w:val="en-US"/>
        </w:rPr>
        <w:br/>
      </w:r>
      <w:r w:rsidRPr="00CA27E3">
        <w:rPr>
          <w:rFonts w:ascii="Sylfaen" w:hAnsi="Sylfaen"/>
          <w:sz w:val="24"/>
          <w:szCs w:val="24"/>
        </w:rPr>
        <w:t>ներկայացվող պահանջները</w:t>
      </w:r>
    </w:p>
    <w:p w14:paraId="6B78435C"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4.</w:t>
      </w:r>
      <w:r w:rsidR="005C50BB" w:rsidRPr="005C50BB">
        <w:rPr>
          <w:rFonts w:ascii="Sylfaen" w:hAnsi="Sylfaen"/>
          <w:sz w:val="24"/>
          <w:szCs w:val="24"/>
        </w:rPr>
        <w:tab/>
      </w:r>
      <w:r w:rsidRPr="00CA27E3">
        <w:rPr>
          <w:rFonts w:ascii="Sylfaen" w:hAnsi="Sylfaen"/>
          <w:sz w:val="24"/>
          <w:szCs w:val="24"/>
        </w:rPr>
        <w:t>Առանց ներկառուցված՝ գործարկումը կարգավորող ապարատի՝ լյումինեսցենտային լամպերը պետք է ունենան</w:t>
      </w:r>
      <w:r>
        <w:rPr>
          <w:rFonts w:ascii="Sylfaen" w:hAnsi="Sylfaen"/>
          <w:sz w:val="24"/>
          <w:szCs w:val="24"/>
        </w:rPr>
        <w:t xml:space="preserve"> </w:t>
      </w:r>
      <w:r w:rsidRPr="00CA27E3">
        <w:rPr>
          <w:rFonts w:ascii="Sylfaen" w:hAnsi="Sylfaen"/>
          <w:sz w:val="24"/>
          <w:szCs w:val="24"/>
        </w:rPr>
        <w:t xml:space="preserve">80-ից ոչ պակաս գունահաղորդման ցուցիչ (Ra) </w:t>
      </w:r>
      <w:r>
        <w:rPr>
          <w:rFonts w:ascii="Sylfaen" w:hAnsi="Sylfaen"/>
          <w:sz w:val="24"/>
          <w:szCs w:val="24"/>
        </w:rPr>
        <w:t>եւ</w:t>
      </w:r>
      <w:r w:rsidRPr="00CA27E3">
        <w:rPr>
          <w:rFonts w:ascii="Sylfaen" w:hAnsi="Sylfaen"/>
          <w:sz w:val="24"/>
          <w:szCs w:val="24"/>
        </w:rPr>
        <w:t xml:space="preserve"> լամպի լուսային հոսքի պահպանման գործակցի՝ 11-րդ աղյուսակում բերված արժեքից ոչ պակաս արժեքներ։ Նշված պահանջները պետք է կիրառվեն 2023 թվականի սեպտեմբերի 1-ից։</w:t>
      </w:r>
    </w:p>
    <w:p w14:paraId="7FBD01FA"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1101C0D8"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11</w:t>
      </w:r>
    </w:p>
    <w:p w14:paraId="0B4FDD0A" w14:textId="77777777" w:rsidR="00CA27E3" w:rsidRPr="00CA27E3" w:rsidRDefault="00CA27E3" w:rsidP="00CA27E3">
      <w:pPr>
        <w:pStyle w:val="a2"/>
        <w:shd w:val="clear" w:color="auto" w:fill="auto"/>
        <w:spacing w:after="160" w:line="360" w:lineRule="auto"/>
        <w:jc w:val="center"/>
        <w:rPr>
          <w:rFonts w:ascii="Sylfaen" w:hAnsi="Sylfaen" w:cs="Sylfaen"/>
          <w:sz w:val="24"/>
          <w:szCs w:val="24"/>
        </w:rPr>
      </w:pPr>
      <w:r w:rsidRPr="00CA27E3">
        <w:rPr>
          <w:rFonts w:ascii="Sylfaen" w:hAnsi="Sylfaen"/>
          <w:sz w:val="24"/>
          <w:szCs w:val="24"/>
        </w:rPr>
        <w:t xml:space="preserve">Մեկ </w:t>
      </w:r>
      <w:r>
        <w:rPr>
          <w:rFonts w:ascii="Sylfaen" w:hAnsi="Sylfaen"/>
          <w:sz w:val="24"/>
          <w:szCs w:val="24"/>
        </w:rPr>
        <w:t>եւ</w:t>
      </w:r>
      <w:r w:rsidRPr="00CA27E3">
        <w:rPr>
          <w:rFonts w:ascii="Sylfaen" w:hAnsi="Sylfaen"/>
          <w:sz w:val="24"/>
          <w:szCs w:val="24"/>
        </w:rPr>
        <w:t xml:space="preserve"> երկու լամպակոթով լյումինեսցենտային լամպերի համար </w:t>
      </w:r>
      <w:r w:rsidR="003B4610" w:rsidRPr="003B4610">
        <w:rPr>
          <w:rFonts w:ascii="Sylfaen" w:hAnsi="Sylfaen"/>
          <w:sz w:val="24"/>
          <w:szCs w:val="24"/>
        </w:rPr>
        <w:br/>
      </w:r>
      <w:r w:rsidRPr="00CA27E3">
        <w:rPr>
          <w:rFonts w:ascii="Sylfaen" w:hAnsi="Sylfaen"/>
          <w:sz w:val="24"/>
          <w:szCs w:val="24"/>
        </w:rPr>
        <w:t xml:space="preserve">լուսային հոսքի պահպանման գործակցի արժեքները </w:t>
      </w:r>
    </w:p>
    <w:tbl>
      <w:tblPr>
        <w:tblOverlap w:val="never"/>
        <w:tblW w:w="9638" w:type="dxa"/>
        <w:jc w:val="center"/>
        <w:tblLayout w:type="fixed"/>
        <w:tblCellMar>
          <w:left w:w="10" w:type="dxa"/>
          <w:right w:w="10" w:type="dxa"/>
        </w:tblCellMar>
        <w:tblLook w:val="0020" w:firstRow="1" w:lastRow="0" w:firstColumn="0" w:lastColumn="0" w:noHBand="0" w:noVBand="0"/>
      </w:tblPr>
      <w:tblGrid>
        <w:gridCol w:w="5838"/>
        <w:gridCol w:w="829"/>
        <w:gridCol w:w="896"/>
        <w:gridCol w:w="882"/>
        <w:gridCol w:w="1193"/>
      </w:tblGrid>
      <w:tr w:rsidR="00CA27E3" w:rsidRPr="00D83000" w14:paraId="3555C356" w14:textId="77777777" w:rsidTr="003B4610">
        <w:trPr>
          <w:tblHeader/>
          <w:jc w:val="center"/>
        </w:trPr>
        <w:tc>
          <w:tcPr>
            <w:tcW w:w="5838" w:type="dxa"/>
            <w:vMerge w:val="restart"/>
            <w:tcBorders>
              <w:top w:val="single" w:sz="4" w:space="0" w:color="auto"/>
              <w:left w:val="single" w:sz="4" w:space="0" w:color="auto"/>
            </w:tcBorders>
            <w:shd w:val="clear" w:color="auto" w:fill="FFFFFF"/>
            <w:vAlign w:val="center"/>
          </w:tcPr>
          <w:p w14:paraId="11DF6F7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տիպը</w:t>
            </w:r>
          </w:p>
        </w:tc>
        <w:tc>
          <w:tcPr>
            <w:tcW w:w="3800" w:type="dxa"/>
            <w:gridSpan w:val="4"/>
            <w:tcBorders>
              <w:top w:val="single" w:sz="4" w:space="0" w:color="auto"/>
              <w:left w:val="single" w:sz="4" w:space="0" w:color="auto"/>
              <w:right w:val="single" w:sz="4" w:space="0" w:color="auto"/>
            </w:tcBorders>
            <w:shd w:val="clear" w:color="auto" w:fill="FFFFFF"/>
            <w:vAlign w:val="center"/>
          </w:tcPr>
          <w:p w14:paraId="43C345B3"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Շահագործման ժամանակը, ժ</w:t>
            </w:r>
          </w:p>
        </w:tc>
      </w:tr>
      <w:tr w:rsidR="00CA27E3" w:rsidRPr="00D83000" w14:paraId="1EFE2818" w14:textId="77777777" w:rsidTr="003B4610">
        <w:trPr>
          <w:tblHeader/>
          <w:jc w:val="center"/>
        </w:trPr>
        <w:tc>
          <w:tcPr>
            <w:tcW w:w="5838" w:type="dxa"/>
            <w:vMerge/>
            <w:tcBorders>
              <w:left w:val="single" w:sz="4" w:space="0" w:color="auto"/>
            </w:tcBorders>
            <w:shd w:val="clear" w:color="auto" w:fill="FFFFFF"/>
            <w:vAlign w:val="center"/>
          </w:tcPr>
          <w:p w14:paraId="363395E1" w14:textId="77777777" w:rsidR="00CA27E3" w:rsidRPr="00D83000" w:rsidRDefault="00CA27E3" w:rsidP="00D83000">
            <w:pPr>
              <w:spacing w:after="120"/>
              <w:jc w:val="center"/>
              <w:rPr>
                <w:rFonts w:ascii="Sylfaen" w:hAnsi="Sylfaen" w:cs="Sylfaen"/>
                <w:sz w:val="20"/>
                <w:szCs w:val="20"/>
              </w:rPr>
            </w:pPr>
          </w:p>
        </w:tc>
        <w:tc>
          <w:tcPr>
            <w:tcW w:w="829" w:type="dxa"/>
            <w:tcBorders>
              <w:top w:val="single" w:sz="4" w:space="0" w:color="auto"/>
              <w:left w:val="single" w:sz="4" w:space="0" w:color="auto"/>
            </w:tcBorders>
            <w:shd w:val="clear" w:color="auto" w:fill="FFFFFF"/>
            <w:vAlign w:val="center"/>
          </w:tcPr>
          <w:p w14:paraId="7409B83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2 000</w:t>
            </w:r>
          </w:p>
        </w:tc>
        <w:tc>
          <w:tcPr>
            <w:tcW w:w="896" w:type="dxa"/>
            <w:tcBorders>
              <w:top w:val="single" w:sz="4" w:space="0" w:color="auto"/>
              <w:left w:val="single" w:sz="4" w:space="0" w:color="auto"/>
            </w:tcBorders>
            <w:shd w:val="clear" w:color="auto" w:fill="FFFFFF"/>
            <w:vAlign w:val="center"/>
          </w:tcPr>
          <w:p w14:paraId="33EC3FB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4 000</w:t>
            </w:r>
          </w:p>
        </w:tc>
        <w:tc>
          <w:tcPr>
            <w:tcW w:w="882" w:type="dxa"/>
            <w:tcBorders>
              <w:top w:val="single" w:sz="4" w:space="0" w:color="auto"/>
              <w:left w:val="single" w:sz="4" w:space="0" w:color="auto"/>
            </w:tcBorders>
            <w:shd w:val="clear" w:color="auto" w:fill="FFFFFF"/>
            <w:vAlign w:val="center"/>
          </w:tcPr>
          <w:p w14:paraId="09560CF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8 000</w:t>
            </w:r>
          </w:p>
        </w:tc>
        <w:tc>
          <w:tcPr>
            <w:tcW w:w="1193" w:type="dxa"/>
            <w:tcBorders>
              <w:top w:val="single" w:sz="4" w:space="0" w:color="auto"/>
              <w:left w:val="single" w:sz="4" w:space="0" w:color="auto"/>
              <w:right w:val="single" w:sz="4" w:space="0" w:color="auto"/>
            </w:tcBorders>
            <w:shd w:val="clear" w:color="auto" w:fill="FFFFFF"/>
            <w:vAlign w:val="center"/>
          </w:tcPr>
          <w:p w14:paraId="453BB79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16 000</w:t>
            </w:r>
          </w:p>
        </w:tc>
      </w:tr>
      <w:tr w:rsidR="00CA27E3" w:rsidRPr="00D83000" w14:paraId="20D56BB0" w14:textId="77777777" w:rsidTr="003B4610">
        <w:trPr>
          <w:tblHeader/>
          <w:jc w:val="center"/>
        </w:trPr>
        <w:tc>
          <w:tcPr>
            <w:tcW w:w="5838" w:type="dxa"/>
            <w:vMerge/>
            <w:tcBorders>
              <w:left w:val="single" w:sz="4" w:space="0" w:color="auto"/>
            </w:tcBorders>
            <w:shd w:val="clear" w:color="auto" w:fill="FFFFFF"/>
            <w:vAlign w:val="center"/>
          </w:tcPr>
          <w:p w14:paraId="1754E235" w14:textId="77777777" w:rsidR="00CA27E3" w:rsidRPr="00D83000" w:rsidRDefault="00CA27E3" w:rsidP="00D83000">
            <w:pPr>
              <w:spacing w:after="120"/>
              <w:jc w:val="center"/>
              <w:rPr>
                <w:rFonts w:ascii="Sylfaen" w:hAnsi="Sylfaen" w:cs="Sylfaen"/>
                <w:sz w:val="20"/>
                <w:szCs w:val="20"/>
              </w:rPr>
            </w:pPr>
          </w:p>
        </w:tc>
        <w:tc>
          <w:tcPr>
            <w:tcW w:w="3800" w:type="dxa"/>
            <w:gridSpan w:val="4"/>
            <w:tcBorders>
              <w:top w:val="single" w:sz="4" w:space="0" w:color="auto"/>
              <w:left w:val="single" w:sz="4" w:space="0" w:color="auto"/>
              <w:right w:val="single" w:sz="4" w:space="0" w:color="auto"/>
            </w:tcBorders>
            <w:shd w:val="clear" w:color="auto" w:fill="FFFFFF"/>
            <w:vAlign w:val="center"/>
          </w:tcPr>
          <w:p w14:paraId="2E76DBA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լուսային հոսքի պահպանման գործակիցը</w:t>
            </w:r>
          </w:p>
        </w:tc>
      </w:tr>
      <w:tr w:rsidR="00CA27E3" w:rsidRPr="00D83000" w14:paraId="3AF2ADF4" w14:textId="77777777" w:rsidTr="003B4610">
        <w:trPr>
          <w:jc w:val="center"/>
        </w:trPr>
        <w:tc>
          <w:tcPr>
            <w:tcW w:w="5838" w:type="dxa"/>
            <w:tcBorders>
              <w:top w:val="single" w:sz="4" w:space="0" w:color="auto"/>
              <w:left w:val="single" w:sz="4" w:space="0" w:color="auto"/>
            </w:tcBorders>
            <w:shd w:val="clear" w:color="auto" w:fill="FFFFFF"/>
            <w:vAlign w:val="bottom"/>
          </w:tcPr>
          <w:p w14:paraId="3691067F"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 xml:space="preserve">Ոչ էլեկտրոնային ԳԿԱ-ով շահագործվող երկու լամպակոթով լյումինեսցենտային լամպեր են </w:t>
            </w:r>
          </w:p>
        </w:tc>
        <w:tc>
          <w:tcPr>
            <w:tcW w:w="829" w:type="dxa"/>
            <w:tcBorders>
              <w:top w:val="single" w:sz="4" w:space="0" w:color="auto"/>
              <w:left w:val="single" w:sz="4" w:space="0" w:color="auto"/>
            </w:tcBorders>
            <w:shd w:val="clear" w:color="auto" w:fill="FFFFFF"/>
            <w:vAlign w:val="center"/>
          </w:tcPr>
          <w:p w14:paraId="74B2FB84"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0,95</w:t>
            </w:r>
          </w:p>
        </w:tc>
        <w:tc>
          <w:tcPr>
            <w:tcW w:w="896" w:type="dxa"/>
            <w:tcBorders>
              <w:top w:val="single" w:sz="4" w:space="0" w:color="auto"/>
              <w:left w:val="single" w:sz="4" w:space="0" w:color="auto"/>
            </w:tcBorders>
            <w:shd w:val="clear" w:color="auto" w:fill="FFFFFF"/>
            <w:vAlign w:val="center"/>
          </w:tcPr>
          <w:p w14:paraId="1167FECD"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0,,92</w:t>
            </w:r>
          </w:p>
        </w:tc>
        <w:tc>
          <w:tcPr>
            <w:tcW w:w="882" w:type="dxa"/>
            <w:tcBorders>
              <w:top w:val="single" w:sz="4" w:space="0" w:color="auto"/>
              <w:left w:val="single" w:sz="4" w:space="0" w:color="auto"/>
            </w:tcBorders>
            <w:shd w:val="clear" w:color="auto" w:fill="FFFFFF"/>
            <w:vAlign w:val="center"/>
          </w:tcPr>
          <w:p w14:paraId="5DA6BE16"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c>
          <w:tcPr>
            <w:tcW w:w="1193" w:type="dxa"/>
            <w:tcBorders>
              <w:top w:val="single" w:sz="4" w:space="0" w:color="auto"/>
              <w:left w:val="single" w:sz="4" w:space="0" w:color="auto"/>
              <w:right w:val="single" w:sz="4" w:space="0" w:color="auto"/>
            </w:tcBorders>
            <w:shd w:val="clear" w:color="auto" w:fill="FFFFFF"/>
            <w:vAlign w:val="center"/>
          </w:tcPr>
          <w:p w14:paraId="60D733F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2F4D015E" w14:textId="77777777" w:rsidTr="003B4610">
        <w:trPr>
          <w:jc w:val="center"/>
        </w:trPr>
        <w:tc>
          <w:tcPr>
            <w:tcW w:w="5838" w:type="dxa"/>
            <w:tcBorders>
              <w:top w:val="single" w:sz="4" w:space="0" w:color="auto"/>
              <w:left w:val="single" w:sz="4" w:space="0" w:color="auto"/>
            </w:tcBorders>
            <w:shd w:val="clear" w:color="auto" w:fill="FFFFFF"/>
            <w:vAlign w:val="bottom"/>
          </w:tcPr>
          <w:p w14:paraId="0B084E33"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Էլեկտրոդների նախնական տաքացմամբ՝ ոչ էլեկտրոնային ԳԿԱ-ով շահագործվող T8՝ երկու լամպակոթով լյումինեսցենտային լամպեր</w:t>
            </w:r>
          </w:p>
        </w:tc>
        <w:tc>
          <w:tcPr>
            <w:tcW w:w="829" w:type="dxa"/>
            <w:tcBorders>
              <w:top w:val="single" w:sz="4" w:space="0" w:color="auto"/>
              <w:left w:val="single" w:sz="4" w:space="0" w:color="auto"/>
            </w:tcBorders>
            <w:shd w:val="clear" w:color="auto" w:fill="FFFFFF"/>
            <w:vAlign w:val="center"/>
          </w:tcPr>
          <w:p w14:paraId="58ACA4DC"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0,,96</w:t>
            </w:r>
          </w:p>
        </w:tc>
        <w:tc>
          <w:tcPr>
            <w:tcW w:w="896" w:type="dxa"/>
            <w:tcBorders>
              <w:top w:val="single" w:sz="4" w:space="0" w:color="auto"/>
              <w:left w:val="single" w:sz="4" w:space="0" w:color="auto"/>
            </w:tcBorders>
            <w:shd w:val="clear" w:color="auto" w:fill="FFFFFF"/>
            <w:vAlign w:val="center"/>
          </w:tcPr>
          <w:p w14:paraId="723D7DCF"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0,,92</w:t>
            </w:r>
          </w:p>
        </w:tc>
        <w:tc>
          <w:tcPr>
            <w:tcW w:w="882" w:type="dxa"/>
            <w:tcBorders>
              <w:top w:val="single" w:sz="4" w:space="0" w:color="auto"/>
              <w:left w:val="single" w:sz="4" w:space="0" w:color="auto"/>
            </w:tcBorders>
            <w:shd w:val="clear" w:color="auto" w:fill="FFFFFF"/>
            <w:vAlign w:val="center"/>
          </w:tcPr>
          <w:p w14:paraId="3C10720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0,,91</w:t>
            </w:r>
          </w:p>
        </w:tc>
        <w:tc>
          <w:tcPr>
            <w:tcW w:w="1193" w:type="dxa"/>
            <w:tcBorders>
              <w:top w:val="single" w:sz="4" w:space="0" w:color="auto"/>
              <w:left w:val="single" w:sz="4" w:space="0" w:color="auto"/>
              <w:right w:val="single" w:sz="4" w:space="0" w:color="auto"/>
            </w:tcBorders>
            <w:shd w:val="clear" w:color="auto" w:fill="FFFFFF"/>
            <w:vAlign w:val="center"/>
          </w:tcPr>
          <w:p w14:paraId="5DF230F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r>
      <w:tr w:rsidR="00CA27E3" w:rsidRPr="00D83000" w14:paraId="48D0DE6C" w14:textId="77777777" w:rsidTr="003B4610">
        <w:trPr>
          <w:jc w:val="center"/>
        </w:trPr>
        <w:tc>
          <w:tcPr>
            <w:tcW w:w="5838" w:type="dxa"/>
            <w:tcBorders>
              <w:top w:val="single" w:sz="4" w:space="0" w:color="auto"/>
              <w:left w:val="single" w:sz="4" w:space="0" w:color="auto"/>
              <w:bottom w:val="single" w:sz="4" w:space="0" w:color="auto"/>
            </w:tcBorders>
            <w:shd w:val="clear" w:color="auto" w:fill="FFFFFF"/>
          </w:tcPr>
          <w:p w14:paraId="383A4F3C"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 xml:space="preserve">Տաքացրած վիճակում գործարկմամբ՝ գործարկումը կարգավորող էլեկտրոնային ապարատով շահագործվող՝ երկու լամպակոթով այլ լյումինեսցենտային լամպեր </w:t>
            </w:r>
          </w:p>
        </w:tc>
        <w:tc>
          <w:tcPr>
            <w:tcW w:w="829" w:type="dxa"/>
            <w:tcBorders>
              <w:top w:val="single" w:sz="4" w:space="0" w:color="auto"/>
              <w:left w:val="single" w:sz="4" w:space="0" w:color="auto"/>
              <w:bottom w:val="single" w:sz="4" w:space="0" w:color="auto"/>
            </w:tcBorders>
            <w:shd w:val="clear" w:color="auto" w:fill="FFFFFF"/>
            <w:vAlign w:val="center"/>
          </w:tcPr>
          <w:p w14:paraId="2FFE93B4"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0,,95</w:t>
            </w:r>
          </w:p>
        </w:tc>
        <w:tc>
          <w:tcPr>
            <w:tcW w:w="896" w:type="dxa"/>
            <w:tcBorders>
              <w:top w:val="single" w:sz="4" w:space="0" w:color="auto"/>
              <w:left w:val="single" w:sz="4" w:space="0" w:color="auto"/>
              <w:bottom w:val="single" w:sz="4" w:space="0" w:color="auto"/>
            </w:tcBorders>
            <w:shd w:val="clear" w:color="auto" w:fill="FFFFFF"/>
            <w:vAlign w:val="center"/>
          </w:tcPr>
          <w:p w14:paraId="5475313D"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0,,92</w:t>
            </w:r>
          </w:p>
        </w:tc>
        <w:tc>
          <w:tcPr>
            <w:tcW w:w="882" w:type="dxa"/>
            <w:tcBorders>
              <w:top w:val="single" w:sz="4" w:space="0" w:color="auto"/>
              <w:left w:val="single" w:sz="4" w:space="0" w:color="auto"/>
              <w:bottom w:val="single" w:sz="4" w:space="0" w:color="auto"/>
            </w:tcBorders>
            <w:shd w:val="clear" w:color="auto" w:fill="FFFFFF"/>
            <w:vAlign w:val="center"/>
          </w:tcPr>
          <w:p w14:paraId="2EEECAA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tcPr>
          <w:p w14:paraId="19E0315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r>
      <w:tr w:rsidR="00CA27E3" w:rsidRPr="00D83000" w14:paraId="06AFF270" w14:textId="77777777" w:rsidTr="003B4610">
        <w:trPr>
          <w:jc w:val="center"/>
        </w:trPr>
        <w:tc>
          <w:tcPr>
            <w:tcW w:w="5838" w:type="dxa"/>
            <w:vMerge w:val="restart"/>
            <w:tcBorders>
              <w:top w:val="single" w:sz="4" w:space="0" w:color="auto"/>
              <w:left w:val="single" w:sz="4" w:space="0" w:color="auto"/>
            </w:tcBorders>
            <w:shd w:val="clear" w:color="auto" w:fill="FFFFFF"/>
            <w:vAlign w:val="bottom"/>
          </w:tcPr>
          <w:p w14:paraId="0FF1A197"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 xml:space="preserve">Գործարկումը կարգավորող՝ ոչ էլեկտրոնային ապարատով շահագործվող՝ մեկ լամպակոթով օղակաձեւ լյումինեսցենտային լամպեր, U-անման T8՝ երկու լամպակոթով լյումինեսցենտային լամպեր եւ 16 մմ կամ ավելի տրամագծով՝ պարուրաձեւ, երկու լամպակոթով լյումինեսցենտային լամպեր (T5) </w:t>
            </w:r>
          </w:p>
        </w:tc>
        <w:tc>
          <w:tcPr>
            <w:tcW w:w="829" w:type="dxa"/>
            <w:tcBorders>
              <w:top w:val="single" w:sz="4" w:space="0" w:color="auto"/>
              <w:left w:val="single" w:sz="4" w:space="0" w:color="auto"/>
            </w:tcBorders>
            <w:shd w:val="clear" w:color="auto" w:fill="FFFFFF"/>
            <w:vAlign w:val="center"/>
          </w:tcPr>
          <w:p w14:paraId="43D0D4DA"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0,,80</w:t>
            </w:r>
          </w:p>
        </w:tc>
        <w:tc>
          <w:tcPr>
            <w:tcW w:w="896" w:type="dxa"/>
            <w:tcBorders>
              <w:top w:val="single" w:sz="4" w:space="0" w:color="auto"/>
              <w:left w:val="single" w:sz="4" w:space="0" w:color="auto"/>
            </w:tcBorders>
            <w:shd w:val="clear" w:color="auto" w:fill="FFFFFF"/>
            <w:vAlign w:val="center"/>
          </w:tcPr>
          <w:p w14:paraId="3D829579"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0,,74</w:t>
            </w:r>
          </w:p>
        </w:tc>
        <w:tc>
          <w:tcPr>
            <w:tcW w:w="882" w:type="dxa"/>
            <w:tcBorders>
              <w:top w:val="single" w:sz="4" w:space="0" w:color="auto"/>
              <w:left w:val="single" w:sz="4" w:space="0" w:color="auto"/>
            </w:tcBorders>
            <w:shd w:val="clear" w:color="auto" w:fill="FFFFFF"/>
            <w:vAlign w:val="center"/>
          </w:tcPr>
          <w:p w14:paraId="55AD1A79"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1193" w:type="dxa"/>
            <w:tcBorders>
              <w:top w:val="single" w:sz="4" w:space="0" w:color="auto"/>
              <w:left w:val="single" w:sz="4" w:space="0" w:color="auto"/>
              <w:right w:val="single" w:sz="4" w:space="0" w:color="auto"/>
            </w:tcBorders>
            <w:shd w:val="clear" w:color="auto" w:fill="FFFFFF"/>
            <w:vAlign w:val="center"/>
          </w:tcPr>
          <w:p w14:paraId="6CDD73C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4698278C" w14:textId="77777777" w:rsidTr="003B4610">
        <w:trPr>
          <w:jc w:val="center"/>
        </w:trPr>
        <w:tc>
          <w:tcPr>
            <w:tcW w:w="5838" w:type="dxa"/>
            <w:vMerge/>
            <w:tcBorders>
              <w:left w:val="single" w:sz="4" w:space="0" w:color="auto"/>
            </w:tcBorders>
            <w:shd w:val="clear" w:color="auto" w:fill="FFFFFF"/>
            <w:vAlign w:val="bottom"/>
          </w:tcPr>
          <w:p w14:paraId="26F47573" w14:textId="77777777" w:rsidR="00CA27E3" w:rsidRPr="00D83000" w:rsidRDefault="00CA27E3" w:rsidP="003B4610">
            <w:pPr>
              <w:spacing w:after="80"/>
              <w:ind w:right="112"/>
              <w:rPr>
                <w:rFonts w:ascii="Sylfaen" w:hAnsi="Sylfaen" w:cs="Sylfaen"/>
                <w:sz w:val="20"/>
                <w:szCs w:val="20"/>
              </w:rPr>
            </w:pPr>
          </w:p>
        </w:tc>
        <w:tc>
          <w:tcPr>
            <w:tcW w:w="3800" w:type="dxa"/>
            <w:gridSpan w:val="4"/>
            <w:tcBorders>
              <w:top w:val="single" w:sz="4" w:space="0" w:color="auto"/>
              <w:left w:val="single" w:sz="4" w:space="0" w:color="auto"/>
              <w:right w:val="single" w:sz="4" w:space="0" w:color="auto"/>
            </w:tcBorders>
            <w:shd w:val="clear" w:color="auto" w:fill="FFFFFF"/>
            <w:vAlign w:val="center"/>
          </w:tcPr>
          <w:p w14:paraId="0B4A908D"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0,72՝ 5 000 ժ շահագործման դեպքում</w:t>
            </w:r>
          </w:p>
        </w:tc>
      </w:tr>
      <w:tr w:rsidR="00CA27E3" w:rsidRPr="00D83000" w14:paraId="28939399" w14:textId="77777777" w:rsidTr="003B4610">
        <w:trPr>
          <w:jc w:val="center"/>
        </w:trPr>
        <w:tc>
          <w:tcPr>
            <w:tcW w:w="5838" w:type="dxa"/>
            <w:vMerge w:val="restart"/>
            <w:tcBorders>
              <w:top w:val="single" w:sz="4" w:space="0" w:color="auto"/>
              <w:left w:val="single" w:sz="4" w:space="0" w:color="auto"/>
            </w:tcBorders>
            <w:shd w:val="clear" w:color="auto" w:fill="FFFFFF"/>
            <w:vAlign w:val="center"/>
          </w:tcPr>
          <w:p w14:paraId="5631F3C9"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Գործարկումը կարգավորող էլեկտրոնային ապարատներով շահագործվող՝ մեկ լամպակոթով օղակաձեւ լյումինեսցենտային լամպեր</w:t>
            </w:r>
          </w:p>
        </w:tc>
        <w:tc>
          <w:tcPr>
            <w:tcW w:w="829" w:type="dxa"/>
            <w:tcBorders>
              <w:top w:val="single" w:sz="4" w:space="0" w:color="auto"/>
              <w:left w:val="single" w:sz="4" w:space="0" w:color="auto"/>
            </w:tcBorders>
            <w:shd w:val="clear" w:color="auto" w:fill="FFFFFF"/>
            <w:vAlign w:val="center"/>
          </w:tcPr>
          <w:p w14:paraId="55623C43"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0,,85</w:t>
            </w:r>
          </w:p>
        </w:tc>
        <w:tc>
          <w:tcPr>
            <w:tcW w:w="896" w:type="dxa"/>
            <w:tcBorders>
              <w:top w:val="single" w:sz="4" w:space="0" w:color="auto"/>
              <w:left w:val="single" w:sz="4" w:space="0" w:color="auto"/>
            </w:tcBorders>
            <w:shd w:val="clear" w:color="auto" w:fill="FFFFFF"/>
            <w:vAlign w:val="center"/>
          </w:tcPr>
          <w:p w14:paraId="34AEB2CD"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0,,83</w:t>
            </w:r>
          </w:p>
        </w:tc>
        <w:tc>
          <w:tcPr>
            <w:tcW w:w="882" w:type="dxa"/>
            <w:tcBorders>
              <w:top w:val="single" w:sz="4" w:space="0" w:color="auto"/>
              <w:left w:val="single" w:sz="4" w:space="0" w:color="auto"/>
            </w:tcBorders>
            <w:shd w:val="clear" w:color="auto" w:fill="FFFFFF"/>
            <w:vAlign w:val="center"/>
          </w:tcPr>
          <w:p w14:paraId="2D0E41D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0,,80</w:t>
            </w:r>
          </w:p>
        </w:tc>
        <w:tc>
          <w:tcPr>
            <w:tcW w:w="1193" w:type="dxa"/>
            <w:tcBorders>
              <w:top w:val="single" w:sz="4" w:space="0" w:color="auto"/>
              <w:left w:val="single" w:sz="4" w:space="0" w:color="auto"/>
              <w:right w:val="single" w:sz="4" w:space="0" w:color="auto"/>
            </w:tcBorders>
            <w:shd w:val="clear" w:color="auto" w:fill="FFFFFF"/>
            <w:vAlign w:val="center"/>
          </w:tcPr>
          <w:p w14:paraId="1701512B"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43C3E225" w14:textId="77777777" w:rsidTr="003B4610">
        <w:trPr>
          <w:jc w:val="center"/>
        </w:trPr>
        <w:tc>
          <w:tcPr>
            <w:tcW w:w="5838" w:type="dxa"/>
            <w:vMerge/>
            <w:tcBorders>
              <w:left w:val="single" w:sz="4" w:space="0" w:color="auto"/>
            </w:tcBorders>
            <w:shd w:val="clear" w:color="auto" w:fill="FFFFFF"/>
            <w:vAlign w:val="center"/>
          </w:tcPr>
          <w:p w14:paraId="4092182B" w14:textId="77777777" w:rsidR="00CA27E3" w:rsidRPr="00D83000" w:rsidRDefault="00CA27E3" w:rsidP="003B4610">
            <w:pPr>
              <w:spacing w:after="80"/>
              <w:ind w:right="112"/>
              <w:rPr>
                <w:rFonts w:ascii="Sylfaen" w:hAnsi="Sylfaen" w:cs="Sylfaen"/>
                <w:sz w:val="20"/>
                <w:szCs w:val="20"/>
              </w:rPr>
            </w:pPr>
          </w:p>
        </w:tc>
        <w:tc>
          <w:tcPr>
            <w:tcW w:w="3800" w:type="dxa"/>
            <w:gridSpan w:val="4"/>
            <w:tcBorders>
              <w:top w:val="single" w:sz="4" w:space="0" w:color="auto"/>
              <w:left w:val="single" w:sz="4" w:space="0" w:color="auto"/>
              <w:right w:val="single" w:sz="4" w:space="0" w:color="auto"/>
            </w:tcBorders>
            <w:shd w:val="clear" w:color="auto" w:fill="FFFFFF"/>
            <w:vAlign w:val="center"/>
          </w:tcPr>
          <w:p w14:paraId="3FB5FD51"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0,75՝ 12 000 ժ շահագործման դեպքում</w:t>
            </w:r>
          </w:p>
        </w:tc>
      </w:tr>
      <w:tr w:rsidR="00CA27E3" w:rsidRPr="00D83000" w14:paraId="54EA7C64" w14:textId="77777777" w:rsidTr="003B4610">
        <w:trPr>
          <w:jc w:val="center"/>
        </w:trPr>
        <w:tc>
          <w:tcPr>
            <w:tcW w:w="5838" w:type="dxa"/>
            <w:tcBorders>
              <w:top w:val="single" w:sz="4" w:space="0" w:color="auto"/>
              <w:left w:val="single" w:sz="4" w:space="0" w:color="auto"/>
            </w:tcBorders>
            <w:shd w:val="clear" w:color="auto" w:fill="FFFFFF"/>
            <w:vAlign w:val="bottom"/>
          </w:tcPr>
          <w:p w14:paraId="4CC7777D"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 xml:space="preserve">Ոչ էլեկտրոնային ԳԿԱ-ով շահագործվող՝ մեկ լամպակոթով այլ լյումինեսցենտային լամպեր </w:t>
            </w:r>
          </w:p>
        </w:tc>
        <w:tc>
          <w:tcPr>
            <w:tcW w:w="829" w:type="dxa"/>
            <w:tcBorders>
              <w:top w:val="single" w:sz="4" w:space="0" w:color="auto"/>
              <w:left w:val="single" w:sz="4" w:space="0" w:color="auto"/>
            </w:tcBorders>
            <w:shd w:val="clear" w:color="auto" w:fill="FFFFFF"/>
            <w:vAlign w:val="center"/>
          </w:tcPr>
          <w:p w14:paraId="1B3FCC48"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0,85</w:t>
            </w:r>
          </w:p>
        </w:tc>
        <w:tc>
          <w:tcPr>
            <w:tcW w:w="896" w:type="dxa"/>
            <w:tcBorders>
              <w:top w:val="single" w:sz="4" w:space="0" w:color="auto"/>
              <w:left w:val="single" w:sz="4" w:space="0" w:color="auto"/>
            </w:tcBorders>
            <w:shd w:val="clear" w:color="auto" w:fill="FFFFFF"/>
            <w:vAlign w:val="center"/>
          </w:tcPr>
          <w:p w14:paraId="798C9FC6"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0,78</w:t>
            </w:r>
          </w:p>
        </w:tc>
        <w:tc>
          <w:tcPr>
            <w:tcW w:w="882" w:type="dxa"/>
            <w:tcBorders>
              <w:top w:val="single" w:sz="4" w:space="0" w:color="auto"/>
              <w:left w:val="single" w:sz="4" w:space="0" w:color="auto"/>
            </w:tcBorders>
            <w:shd w:val="clear" w:color="auto" w:fill="FFFFFF"/>
            <w:vAlign w:val="center"/>
          </w:tcPr>
          <w:p w14:paraId="22DA62E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0,75</w:t>
            </w:r>
          </w:p>
        </w:tc>
        <w:tc>
          <w:tcPr>
            <w:tcW w:w="1193" w:type="dxa"/>
            <w:tcBorders>
              <w:top w:val="single" w:sz="4" w:space="0" w:color="auto"/>
              <w:left w:val="single" w:sz="4" w:space="0" w:color="auto"/>
              <w:right w:val="single" w:sz="4" w:space="0" w:color="auto"/>
            </w:tcBorders>
            <w:shd w:val="clear" w:color="auto" w:fill="FFFFFF"/>
            <w:vAlign w:val="center"/>
          </w:tcPr>
          <w:p w14:paraId="2F11B21B"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64DB07C2" w14:textId="77777777" w:rsidTr="003B4610">
        <w:trPr>
          <w:jc w:val="center"/>
        </w:trPr>
        <w:tc>
          <w:tcPr>
            <w:tcW w:w="5838" w:type="dxa"/>
            <w:tcBorders>
              <w:top w:val="single" w:sz="4" w:space="0" w:color="auto"/>
              <w:left w:val="single" w:sz="4" w:space="0" w:color="auto"/>
              <w:bottom w:val="single" w:sz="4" w:space="0" w:color="auto"/>
            </w:tcBorders>
            <w:shd w:val="clear" w:color="auto" w:fill="FFFFFF"/>
            <w:vAlign w:val="bottom"/>
          </w:tcPr>
          <w:p w14:paraId="42B2E637" w14:textId="77777777" w:rsidR="00CA27E3" w:rsidRPr="00D83000" w:rsidRDefault="00CA27E3" w:rsidP="003B4610">
            <w:pPr>
              <w:pStyle w:val="a4"/>
              <w:shd w:val="clear" w:color="auto" w:fill="auto"/>
              <w:spacing w:after="80" w:line="240" w:lineRule="auto"/>
              <w:ind w:right="112" w:firstLine="0"/>
              <w:rPr>
                <w:rFonts w:ascii="Sylfaen" w:hAnsi="Sylfaen" w:cs="Sylfaen"/>
                <w:sz w:val="20"/>
                <w:szCs w:val="20"/>
              </w:rPr>
            </w:pPr>
            <w:r w:rsidRPr="00D83000">
              <w:rPr>
                <w:rFonts w:ascii="Sylfaen" w:hAnsi="Sylfaen"/>
                <w:sz w:val="20"/>
                <w:szCs w:val="20"/>
              </w:rPr>
              <w:t>Էլեկտրոդների նախնական տաքացմամբ՝ էլեկտրոնային ԳԿԱ-ով շահագործվող ՝մեկ լամպակոթով այլ լյումինեսցենտային լամպեր</w:t>
            </w:r>
          </w:p>
        </w:tc>
        <w:tc>
          <w:tcPr>
            <w:tcW w:w="829" w:type="dxa"/>
            <w:tcBorders>
              <w:top w:val="single" w:sz="4" w:space="0" w:color="auto"/>
              <w:left w:val="single" w:sz="4" w:space="0" w:color="auto"/>
              <w:bottom w:val="single" w:sz="4" w:space="0" w:color="auto"/>
            </w:tcBorders>
            <w:shd w:val="clear" w:color="auto" w:fill="FFFFFF"/>
            <w:vAlign w:val="center"/>
          </w:tcPr>
          <w:p w14:paraId="6436964F"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0,90</w:t>
            </w:r>
          </w:p>
        </w:tc>
        <w:tc>
          <w:tcPr>
            <w:tcW w:w="896" w:type="dxa"/>
            <w:tcBorders>
              <w:top w:val="single" w:sz="4" w:space="0" w:color="auto"/>
              <w:left w:val="single" w:sz="4" w:space="0" w:color="auto"/>
              <w:bottom w:val="single" w:sz="4" w:space="0" w:color="auto"/>
            </w:tcBorders>
            <w:shd w:val="clear" w:color="auto" w:fill="FFFFFF"/>
            <w:vAlign w:val="center"/>
          </w:tcPr>
          <w:p w14:paraId="1D3135BC" w14:textId="77777777" w:rsidR="00CA27E3" w:rsidRPr="00D83000" w:rsidRDefault="00CA27E3" w:rsidP="003B4610">
            <w:pPr>
              <w:pStyle w:val="a4"/>
              <w:shd w:val="clear" w:color="auto" w:fill="auto"/>
              <w:spacing w:after="80" w:line="240" w:lineRule="auto"/>
              <w:ind w:firstLine="0"/>
              <w:jc w:val="center"/>
              <w:rPr>
                <w:rFonts w:ascii="Sylfaen" w:hAnsi="Sylfaen" w:cs="Sylfaen"/>
                <w:sz w:val="20"/>
                <w:szCs w:val="20"/>
              </w:rPr>
            </w:pPr>
            <w:r w:rsidRPr="00D83000">
              <w:rPr>
                <w:rFonts w:ascii="Sylfaen" w:hAnsi="Sylfaen"/>
                <w:sz w:val="20"/>
                <w:szCs w:val="20"/>
              </w:rPr>
              <w:t>0,84</w:t>
            </w:r>
          </w:p>
        </w:tc>
        <w:tc>
          <w:tcPr>
            <w:tcW w:w="882" w:type="dxa"/>
            <w:tcBorders>
              <w:top w:val="single" w:sz="4" w:space="0" w:color="auto"/>
              <w:left w:val="single" w:sz="4" w:space="0" w:color="auto"/>
              <w:bottom w:val="single" w:sz="4" w:space="0" w:color="auto"/>
            </w:tcBorders>
            <w:shd w:val="clear" w:color="auto" w:fill="FFFFFF"/>
            <w:vAlign w:val="center"/>
          </w:tcPr>
          <w:p w14:paraId="03E7296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0,81</w:t>
            </w:r>
          </w:p>
        </w:tc>
        <w:tc>
          <w:tcPr>
            <w:tcW w:w="1193" w:type="dxa"/>
            <w:tcBorders>
              <w:top w:val="single" w:sz="4" w:space="0" w:color="auto"/>
              <w:left w:val="single" w:sz="4" w:space="0" w:color="auto"/>
              <w:bottom w:val="single" w:sz="4" w:space="0" w:color="auto"/>
              <w:right w:val="single" w:sz="4" w:space="0" w:color="auto"/>
            </w:tcBorders>
            <w:shd w:val="clear" w:color="auto" w:fill="FFFFFF"/>
            <w:vAlign w:val="center"/>
          </w:tcPr>
          <w:p w14:paraId="562BAEB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0,78</w:t>
            </w:r>
          </w:p>
        </w:tc>
      </w:tr>
    </w:tbl>
    <w:p w14:paraId="41C596C9" w14:textId="77777777" w:rsidR="00CA27E3" w:rsidRPr="00D95D5E"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lastRenderedPageBreak/>
        <w:t>11-րդ աղյուսակում նշված արժեքների նկատմամբ կիրառվում են 12-րդ աղյուսակում բերված՝ լյումինեսցենտային լամպերի լուսային հոսքի պահպանման գործակցին ներկայացվող</w:t>
      </w:r>
      <w:r>
        <w:rPr>
          <w:rFonts w:ascii="Sylfaen" w:hAnsi="Sylfaen"/>
          <w:sz w:val="24"/>
          <w:szCs w:val="24"/>
        </w:rPr>
        <w:t xml:space="preserve"> </w:t>
      </w:r>
      <w:r w:rsidRPr="00CA27E3">
        <w:rPr>
          <w:rFonts w:ascii="Sylfaen" w:hAnsi="Sylfaen"/>
          <w:sz w:val="24"/>
          <w:szCs w:val="24"/>
        </w:rPr>
        <w:t>պահանջների համար թույլատրելի նվազեցումները։</w:t>
      </w:r>
    </w:p>
    <w:p w14:paraId="543679C8" w14:textId="77777777" w:rsidR="005C50BB" w:rsidRPr="00D95D5E" w:rsidRDefault="005C50BB" w:rsidP="00CA27E3">
      <w:pPr>
        <w:pStyle w:val="a0"/>
        <w:shd w:val="clear" w:color="auto" w:fill="auto"/>
        <w:spacing w:after="160"/>
        <w:ind w:firstLine="567"/>
        <w:jc w:val="both"/>
        <w:rPr>
          <w:rFonts w:ascii="Sylfaen" w:hAnsi="Sylfaen" w:cs="Sylfaen"/>
          <w:sz w:val="24"/>
          <w:szCs w:val="24"/>
        </w:rPr>
      </w:pPr>
    </w:p>
    <w:p w14:paraId="48EAC28D"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 xml:space="preserve">Աղյուսակ 12 </w:t>
      </w:r>
    </w:p>
    <w:p w14:paraId="71366D57" w14:textId="77777777" w:rsidR="00CA27E3" w:rsidRPr="00CA27E3" w:rsidRDefault="00CA27E3" w:rsidP="00CA27E3">
      <w:pPr>
        <w:pStyle w:val="a2"/>
        <w:shd w:val="clear" w:color="auto" w:fill="auto"/>
        <w:spacing w:after="160" w:line="360" w:lineRule="auto"/>
        <w:jc w:val="center"/>
        <w:rPr>
          <w:rFonts w:ascii="Sylfaen" w:hAnsi="Sylfaen" w:cs="Sylfaen"/>
          <w:sz w:val="24"/>
          <w:szCs w:val="24"/>
        </w:rPr>
      </w:pPr>
      <w:r w:rsidRPr="00CA27E3">
        <w:rPr>
          <w:rFonts w:ascii="Sylfaen" w:hAnsi="Sylfaen"/>
          <w:sz w:val="24"/>
          <w:szCs w:val="24"/>
        </w:rPr>
        <w:t xml:space="preserve">Լյումինեսցենտային լամպերի լուսային հոսքի պահպանման գործակցին ներկայացվող պահանջների համար թույլատրելի նվազեցման ցուցանիշները </w:t>
      </w:r>
    </w:p>
    <w:tbl>
      <w:tblPr>
        <w:tblOverlap w:val="never"/>
        <w:tblW w:w="9360" w:type="dxa"/>
        <w:jc w:val="center"/>
        <w:tblLayout w:type="fixed"/>
        <w:tblCellMar>
          <w:left w:w="10" w:type="dxa"/>
          <w:right w:w="10" w:type="dxa"/>
        </w:tblCellMar>
        <w:tblLook w:val="0020" w:firstRow="1" w:lastRow="0" w:firstColumn="0" w:lastColumn="0" w:noHBand="0" w:noVBand="0"/>
      </w:tblPr>
      <w:tblGrid>
        <w:gridCol w:w="4114"/>
        <w:gridCol w:w="5246"/>
      </w:tblGrid>
      <w:tr w:rsidR="00CA27E3" w:rsidRPr="00D83000" w14:paraId="00309FE7" w14:textId="77777777" w:rsidTr="003B4610">
        <w:trPr>
          <w:tblHeader/>
          <w:jc w:val="center"/>
        </w:trPr>
        <w:tc>
          <w:tcPr>
            <w:tcW w:w="4114" w:type="dxa"/>
            <w:tcBorders>
              <w:top w:val="single" w:sz="4" w:space="0" w:color="auto"/>
              <w:left w:val="single" w:sz="4" w:space="0" w:color="auto"/>
            </w:tcBorders>
            <w:shd w:val="clear" w:color="auto" w:fill="FFFFFF"/>
            <w:vAlign w:val="center"/>
          </w:tcPr>
          <w:p w14:paraId="500DA5C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պարամետրերը</w:t>
            </w:r>
          </w:p>
        </w:tc>
        <w:tc>
          <w:tcPr>
            <w:tcW w:w="5246" w:type="dxa"/>
            <w:tcBorders>
              <w:top w:val="single" w:sz="4" w:space="0" w:color="auto"/>
              <w:left w:val="single" w:sz="4" w:space="0" w:color="auto"/>
              <w:right w:val="single" w:sz="4" w:space="0" w:color="auto"/>
            </w:tcBorders>
            <w:shd w:val="clear" w:color="auto" w:fill="FFFFFF"/>
            <w:vAlign w:val="center"/>
          </w:tcPr>
          <w:p w14:paraId="369EABC6"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լուսային հոսքի պահպանման գործակցին ներկայացվող պահանջների թույլատրելի նվազեցումը</w:t>
            </w:r>
          </w:p>
        </w:tc>
      </w:tr>
      <w:tr w:rsidR="00CA27E3" w:rsidRPr="00D83000" w14:paraId="0BD90CA8" w14:textId="77777777" w:rsidTr="003B4610">
        <w:trPr>
          <w:jc w:val="center"/>
        </w:trPr>
        <w:tc>
          <w:tcPr>
            <w:tcW w:w="4114" w:type="dxa"/>
            <w:tcBorders>
              <w:top w:val="single" w:sz="4" w:space="0" w:color="auto"/>
              <w:left w:val="single" w:sz="4" w:space="0" w:color="auto"/>
            </w:tcBorders>
            <w:shd w:val="clear" w:color="auto" w:fill="FFFFFF"/>
            <w:vAlign w:val="center"/>
          </w:tcPr>
          <w:p w14:paraId="647313A4"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95 ≥ Ra&gt; 90-ով լամպեր</w:t>
            </w:r>
          </w:p>
        </w:tc>
        <w:tc>
          <w:tcPr>
            <w:tcW w:w="5246" w:type="dxa"/>
            <w:tcBorders>
              <w:top w:val="single" w:sz="4" w:space="0" w:color="auto"/>
              <w:left w:val="single" w:sz="4" w:space="0" w:color="auto"/>
              <w:right w:val="single" w:sz="4" w:space="0" w:color="auto"/>
            </w:tcBorders>
            <w:shd w:val="clear" w:color="auto" w:fill="FFFFFF"/>
            <w:vAlign w:val="center"/>
          </w:tcPr>
          <w:p w14:paraId="2DC579A9"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շահագործումը ≤ 8 000 ժ՝ 5 %, </w:t>
            </w:r>
            <w:r w:rsidR="003B4610" w:rsidRPr="003B4610">
              <w:rPr>
                <w:rFonts w:ascii="Sylfaen" w:hAnsi="Sylfaen"/>
                <w:sz w:val="20"/>
                <w:szCs w:val="20"/>
              </w:rPr>
              <w:br/>
            </w:r>
            <w:r w:rsidRPr="00D83000">
              <w:rPr>
                <w:rFonts w:ascii="Sylfaen" w:hAnsi="Sylfaen"/>
                <w:sz w:val="20"/>
                <w:szCs w:val="20"/>
              </w:rPr>
              <w:t>շահագործումը &gt; 8 000՝ 10 %</w:t>
            </w:r>
          </w:p>
        </w:tc>
      </w:tr>
      <w:tr w:rsidR="00CA27E3" w:rsidRPr="00D83000" w14:paraId="05C38C61" w14:textId="77777777" w:rsidTr="003B4610">
        <w:trPr>
          <w:jc w:val="center"/>
        </w:trPr>
        <w:tc>
          <w:tcPr>
            <w:tcW w:w="4114" w:type="dxa"/>
            <w:tcBorders>
              <w:top w:val="single" w:sz="4" w:space="0" w:color="auto"/>
              <w:left w:val="single" w:sz="4" w:space="0" w:color="auto"/>
            </w:tcBorders>
            <w:shd w:val="clear" w:color="auto" w:fill="FFFFFF"/>
            <w:vAlign w:val="center"/>
          </w:tcPr>
          <w:p w14:paraId="20C74EB7"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Ra&gt; 95-ով լամպեր</w:t>
            </w:r>
          </w:p>
        </w:tc>
        <w:tc>
          <w:tcPr>
            <w:tcW w:w="5246" w:type="dxa"/>
            <w:tcBorders>
              <w:top w:val="single" w:sz="4" w:space="0" w:color="auto"/>
              <w:left w:val="single" w:sz="4" w:space="0" w:color="auto"/>
              <w:right w:val="single" w:sz="4" w:space="0" w:color="auto"/>
            </w:tcBorders>
            <w:shd w:val="clear" w:color="auto" w:fill="FFFFFF"/>
            <w:vAlign w:val="center"/>
          </w:tcPr>
          <w:p w14:paraId="1923997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շահագործումը՝ ≤ 4 000՝ 10 % </w:t>
            </w:r>
            <w:r w:rsidR="003B4610">
              <w:rPr>
                <w:rFonts w:ascii="Sylfaen" w:hAnsi="Sylfaen"/>
                <w:sz w:val="20"/>
                <w:szCs w:val="20"/>
                <w:lang w:val="en-US"/>
              </w:rPr>
              <w:br/>
            </w:r>
            <w:r w:rsidRPr="00D83000">
              <w:rPr>
                <w:rFonts w:ascii="Sylfaen" w:hAnsi="Sylfaen"/>
                <w:sz w:val="20"/>
                <w:szCs w:val="20"/>
              </w:rPr>
              <w:t>շահագործումը՝ &gt; 4 000՝ 15 %</w:t>
            </w:r>
          </w:p>
        </w:tc>
      </w:tr>
      <w:tr w:rsidR="00CA27E3" w:rsidRPr="00D83000" w14:paraId="61ABF39F" w14:textId="77777777" w:rsidTr="003B4610">
        <w:trPr>
          <w:jc w:val="center"/>
        </w:trPr>
        <w:tc>
          <w:tcPr>
            <w:tcW w:w="4114" w:type="dxa"/>
            <w:tcBorders>
              <w:top w:val="single" w:sz="4" w:space="0" w:color="auto"/>
              <w:left w:val="single" w:sz="4" w:space="0" w:color="auto"/>
              <w:bottom w:val="single" w:sz="4" w:space="0" w:color="auto"/>
            </w:tcBorders>
            <w:shd w:val="clear" w:color="auto" w:fill="FFFFFF"/>
            <w:vAlign w:val="center"/>
          </w:tcPr>
          <w:p w14:paraId="39ED1B6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 5 000 K գունային </w:t>
            </w:r>
            <w:r w:rsidR="003B4610" w:rsidRPr="003B4610">
              <w:rPr>
                <w:rFonts w:ascii="Sylfaen" w:hAnsi="Sylfaen"/>
                <w:sz w:val="20"/>
                <w:szCs w:val="20"/>
              </w:rPr>
              <w:br/>
            </w:r>
            <w:r w:rsidRPr="00D83000">
              <w:rPr>
                <w:rFonts w:ascii="Sylfaen" w:hAnsi="Sylfaen"/>
                <w:sz w:val="20"/>
                <w:szCs w:val="20"/>
              </w:rPr>
              <w:t>ջերմաստիճանով լամպեր</w:t>
            </w:r>
          </w:p>
        </w:tc>
        <w:tc>
          <w:tcPr>
            <w:tcW w:w="5246" w:type="dxa"/>
            <w:tcBorders>
              <w:top w:val="single" w:sz="4" w:space="0" w:color="auto"/>
              <w:left w:val="single" w:sz="4" w:space="0" w:color="auto"/>
              <w:bottom w:val="single" w:sz="4" w:space="0" w:color="auto"/>
              <w:right w:val="single" w:sz="4" w:space="0" w:color="auto"/>
            </w:tcBorders>
            <w:shd w:val="clear" w:color="auto" w:fill="FFFFFF"/>
            <w:vAlign w:val="center"/>
          </w:tcPr>
          <w:p w14:paraId="5841717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- 10 %</w:t>
            </w:r>
          </w:p>
        </w:tc>
      </w:tr>
    </w:tbl>
    <w:p w14:paraId="1CADF67A" w14:textId="77777777" w:rsidR="00CA27E3" w:rsidRPr="00CA27E3" w:rsidRDefault="00CA27E3" w:rsidP="00CA27E3">
      <w:pPr>
        <w:spacing w:after="160" w:line="360" w:lineRule="auto"/>
        <w:rPr>
          <w:rFonts w:ascii="Sylfaen" w:hAnsi="Sylfaen" w:cs="Sylfaen"/>
        </w:rPr>
      </w:pPr>
    </w:p>
    <w:p w14:paraId="58D5666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Առանց ներկառուցված՝ գործարկումը կարգավորող ապարատի՝ լյումինեսցենտային լամպերը պետք է ունենան լամպի ծառայության ժամկետի գործակցի՝ 13-րդ աղյուսակում բերված արժեքներից ոչ ցածր արժեքներ։ Նշված պահանջները պետք է կիրառվեն 2023 թվականի սեպտեմբերի 1-ից։</w:t>
      </w:r>
    </w:p>
    <w:p w14:paraId="0DC5A30F" w14:textId="77777777" w:rsidR="003B4610" w:rsidRDefault="003B4610">
      <w:pPr>
        <w:rPr>
          <w:rFonts w:ascii="Sylfaen" w:eastAsia="Times New Roman" w:hAnsi="Sylfaen" w:cs="Sylfaen"/>
          <w:color w:val="auto"/>
        </w:rPr>
      </w:pPr>
      <w:r>
        <w:rPr>
          <w:rFonts w:ascii="Sylfaen" w:hAnsi="Sylfaen" w:cs="Sylfaen"/>
        </w:rPr>
        <w:br w:type="page"/>
      </w:r>
    </w:p>
    <w:p w14:paraId="720D27AD"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lastRenderedPageBreak/>
        <w:t>Աղյուսակ 13</w:t>
      </w:r>
    </w:p>
    <w:p w14:paraId="7DB7FEA5" w14:textId="77777777" w:rsidR="00CA27E3" w:rsidRPr="00CA27E3" w:rsidRDefault="00CA27E3" w:rsidP="003B4610">
      <w:pPr>
        <w:pStyle w:val="a2"/>
        <w:shd w:val="clear" w:color="auto" w:fill="auto"/>
        <w:spacing w:after="160" w:line="360" w:lineRule="auto"/>
        <w:ind w:right="-1"/>
        <w:jc w:val="center"/>
        <w:rPr>
          <w:rFonts w:ascii="Sylfaen" w:hAnsi="Sylfaen" w:cs="Sylfaen"/>
          <w:sz w:val="24"/>
          <w:szCs w:val="24"/>
        </w:rPr>
      </w:pPr>
      <w:r w:rsidRPr="00CA27E3">
        <w:rPr>
          <w:rFonts w:ascii="Sylfaen" w:hAnsi="Sylfaen"/>
          <w:sz w:val="24"/>
          <w:szCs w:val="24"/>
        </w:rPr>
        <w:t xml:space="preserve">Մեկ </w:t>
      </w:r>
      <w:r>
        <w:rPr>
          <w:rFonts w:ascii="Sylfaen" w:hAnsi="Sylfaen"/>
          <w:sz w:val="24"/>
          <w:szCs w:val="24"/>
        </w:rPr>
        <w:t>եւ</w:t>
      </w:r>
      <w:r w:rsidRPr="00CA27E3">
        <w:rPr>
          <w:rFonts w:ascii="Sylfaen" w:hAnsi="Sylfaen"/>
          <w:sz w:val="24"/>
          <w:szCs w:val="24"/>
        </w:rPr>
        <w:t xml:space="preserve"> երկու լամպակոթով լյումինեսցենտային լամպերի համար </w:t>
      </w:r>
      <w:r w:rsidR="003B4610" w:rsidRPr="003B4610">
        <w:rPr>
          <w:rFonts w:ascii="Sylfaen" w:hAnsi="Sylfaen"/>
          <w:sz w:val="24"/>
          <w:szCs w:val="24"/>
        </w:rPr>
        <w:br/>
      </w:r>
      <w:r w:rsidRPr="00CA27E3">
        <w:rPr>
          <w:rFonts w:ascii="Sylfaen" w:hAnsi="Sylfaen"/>
          <w:sz w:val="24"/>
          <w:szCs w:val="24"/>
        </w:rPr>
        <w:t xml:space="preserve">ծառայության ժամկետների գործակիցները </w:t>
      </w:r>
    </w:p>
    <w:tbl>
      <w:tblPr>
        <w:tblOverlap w:val="never"/>
        <w:tblW w:w="0" w:type="auto"/>
        <w:jc w:val="center"/>
        <w:tblLayout w:type="fixed"/>
        <w:tblCellMar>
          <w:left w:w="10" w:type="dxa"/>
          <w:right w:w="10" w:type="dxa"/>
        </w:tblCellMar>
        <w:tblLook w:val="0020" w:firstRow="1" w:lastRow="0" w:firstColumn="0" w:lastColumn="0" w:noHBand="0" w:noVBand="0"/>
      </w:tblPr>
      <w:tblGrid>
        <w:gridCol w:w="5885"/>
        <w:gridCol w:w="950"/>
        <w:gridCol w:w="840"/>
        <w:gridCol w:w="845"/>
        <w:gridCol w:w="850"/>
      </w:tblGrid>
      <w:tr w:rsidR="00CA27E3" w:rsidRPr="00D83000" w14:paraId="2E3B86FD" w14:textId="77777777" w:rsidTr="003B4610">
        <w:trPr>
          <w:tblHeader/>
          <w:jc w:val="center"/>
        </w:trPr>
        <w:tc>
          <w:tcPr>
            <w:tcW w:w="5885" w:type="dxa"/>
            <w:vMerge w:val="restart"/>
            <w:tcBorders>
              <w:top w:val="single" w:sz="4" w:space="0" w:color="auto"/>
              <w:left w:val="single" w:sz="4" w:space="0" w:color="auto"/>
            </w:tcBorders>
            <w:shd w:val="clear" w:color="auto" w:fill="FFFFFF"/>
            <w:vAlign w:val="center"/>
          </w:tcPr>
          <w:p w14:paraId="16B1083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տիպը</w:t>
            </w:r>
          </w:p>
        </w:tc>
        <w:tc>
          <w:tcPr>
            <w:tcW w:w="3485" w:type="dxa"/>
            <w:gridSpan w:val="4"/>
            <w:tcBorders>
              <w:top w:val="single" w:sz="4" w:space="0" w:color="auto"/>
              <w:left w:val="single" w:sz="4" w:space="0" w:color="auto"/>
              <w:right w:val="single" w:sz="4" w:space="0" w:color="auto"/>
            </w:tcBorders>
            <w:shd w:val="clear" w:color="auto" w:fill="FFFFFF"/>
            <w:vAlign w:val="center"/>
          </w:tcPr>
          <w:p w14:paraId="2095CF39"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Շահագործման ժամանակը, ժ</w:t>
            </w:r>
          </w:p>
        </w:tc>
      </w:tr>
      <w:tr w:rsidR="00CA27E3" w:rsidRPr="00D83000" w14:paraId="259E729A" w14:textId="77777777" w:rsidTr="003B4610">
        <w:trPr>
          <w:tblHeader/>
          <w:jc w:val="center"/>
        </w:trPr>
        <w:tc>
          <w:tcPr>
            <w:tcW w:w="5885" w:type="dxa"/>
            <w:vMerge/>
            <w:tcBorders>
              <w:left w:val="single" w:sz="4" w:space="0" w:color="auto"/>
            </w:tcBorders>
            <w:shd w:val="clear" w:color="auto" w:fill="FFFFFF"/>
            <w:vAlign w:val="center"/>
          </w:tcPr>
          <w:p w14:paraId="3CB6641D" w14:textId="77777777" w:rsidR="00CA27E3" w:rsidRPr="00D83000" w:rsidRDefault="00CA27E3" w:rsidP="00D83000">
            <w:pPr>
              <w:spacing w:after="120"/>
              <w:jc w:val="center"/>
              <w:rPr>
                <w:rFonts w:ascii="Sylfaen" w:hAnsi="Sylfaen" w:cs="Sylfaen"/>
                <w:sz w:val="20"/>
                <w:szCs w:val="20"/>
              </w:rPr>
            </w:pPr>
          </w:p>
        </w:tc>
        <w:tc>
          <w:tcPr>
            <w:tcW w:w="950" w:type="dxa"/>
            <w:tcBorders>
              <w:top w:val="single" w:sz="4" w:space="0" w:color="auto"/>
              <w:left w:val="single" w:sz="4" w:space="0" w:color="auto"/>
            </w:tcBorders>
            <w:shd w:val="clear" w:color="auto" w:fill="FFFFFF"/>
            <w:vAlign w:val="bottom"/>
          </w:tcPr>
          <w:p w14:paraId="3C2B7BF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2 000</w:t>
            </w:r>
          </w:p>
        </w:tc>
        <w:tc>
          <w:tcPr>
            <w:tcW w:w="840" w:type="dxa"/>
            <w:tcBorders>
              <w:top w:val="single" w:sz="4" w:space="0" w:color="auto"/>
              <w:left w:val="single" w:sz="4" w:space="0" w:color="auto"/>
            </w:tcBorders>
            <w:shd w:val="clear" w:color="auto" w:fill="FFFFFF"/>
            <w:vAlign w:val="center"/>
          </w:tcPr>
          <w:p w14:paraId="6B3F548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4 000</w:t>
            </w:r>
          </w:p>
        </w:tc>
        <w:tc>
          <w:tcPr>
            <w:tcW w:w="845" w:type="dxa"/>
            <w:tcBorders>
              <w:top w:val="single" w:sz="4" w:space="0" w:color="auto"/>
              <w:left w:val="single" w:sz="4" w:space="0" w:color="auto"/>
            </w:tcBorders>
            <w:shd w:val="clear" w:color="auto" w:fill="FFFFFF"/>
            <w:vAlign w:val="center"/>
          </w:tcPr>
          <w:p w14:paraId="779A6F7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8 000</w:t>
            </w:r>
          </w:p>
        </w:tc>
        <w:tc>
          <w:tcPr>
            <w:tcW w:w="850" w:type="dxa"/>
            <w:tcBorders>
              <w:top w:val="single" w:sz="4" w:space="0" w:color="auto"/>
              <w:left w:val="single" w:sz="4" w:space="0" w:color="auto"/>
              <w:right w:val="single" w:sz="4" w:space="0" w:color="auto"/>
            </w:tcBorders>
            <w:shd w:val="clear" w:color="auto" w:fill="FFFFFF"/>
            <w:vAlign w:val="center"/>
          </w:tcPr>
          <w:p w14:paraId="7AB24F7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16 000</w:t>
            </w:r>
          </w:p>
        </w:tc>
      </w:tr>
      <w:tr w:rsidR="00CA27E3" w:rsidRPr="00D83000" w14:paraId="054B57CE" w14:textId="77777777" w:rsidTr="003B4610">
        <w:trPr>
          <w:tblHeader/>
          <w:jc w:val="center"/>
        </w:trPr>
        <w:tc>
          <w:tcPr>
            <w:tcW w:w="5885" w:type="dxa"/>
            <w:vMerge/>
            <w:tcBorders>
              <w:left w:val="single" w:sz="4" w:space="0" w:color="auto"/>
            </w:tcBorders>
            <w:shd w:val="clear" w:color="auto" w:fill="FFFFFF"/>
            <w:vAlign w:val="center"/>
          </w:tcPr>
          <w:p w14:paraId="4A9F3B9C" w14:textId="77777777" w:rsidR="00CA27E3" w:rsidRPr="00D83000" w:rsidRDefault="00CA27E3" w:rsidP="00D83000">
            <w:pPr>
              <w:spacing w:after="120"/>
              <w:jc w:val="center"/>
              <w:rPr>
                <w:rFonts w:ascii="Sylfaen" w:hAnsi="Sylfaen" w:cs="Sylfaen"/>
                <w:sz w:val="20"/>
                <w:szCs w:val="20"/>
              </w:rPr>
            </w:pPr>
          </w:p>
        </w:tc>
        <w:tc>
          <w:tcPr>
            <w:tcW w:w="3485" w:type="dxa"/>
            <w:gridSpan w:val="4"/>
            <w:tcBorders>
              <w:top w:val="single" w:sz="4" w:space="0" w:color="auto"/>
              <w:left w:val="single" w:sz="4" w:space="0" w:color="auto"/>
              <w:right w:val="single" w:sz="4" w:space="0" w:color="auto"/>
            </w:tcBorders>
            <w:shd w:val="clear" w:color="auto" w:fill="FFFFFF"/>
            <w:vAlign w:val="center"/>
          </w:tcPr>
          <w:p w14:paraId="59BEBC5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ծառայության ժամկետի գործակիցը</w:t>
            </w:r>
          </w:p>
        </w:tc>
      </w:tr>
      <w:tr w:rsidR="00CA27E3" w:rsidRPr="00D83000" w14:paraId="61C20DD9" w14:textId="77777777" w:rsidTr="003B4610">
        <w:trPr>
          <w:jc w:val="center"/>
        </w:trPr>
        <w:tc>
          <w:tcPr>
            <w:tcW w:w="5885" w:type="dxa"/>
            <w:tcBorders>
              <w:top w:val="single" w:sz="4" w:space="0" w:color="auto"/>
              <w:left w:val="single" w:sz="4" w:space="0" w:color="auto"/>
            </w:tcBorders>
            <w:shd w:val="clear" w:color="auto" w:fill="FFFFFF"/>
            <w:vAlign w:val="bottom"/>
          </w:tcPr>
          <w:p w14:paraId="36742E49" w14:textId="77777777" w:rsidR="00CA27E3" w:rsidRPr="00D83000" w:rsidRDefault="00CA27E3" w:rsidP="003B4610">
            <w:pPr>
              <w:pStyle w:val="a4"/>
              <w:shd w:val="clear" w:color="auto" w:fill="auto"/>
              <w:spacing w:after="120" w:line="240" w:lineRule="auto"/>
              <w:ind w:right="55" w:firstLine="0"/>
              <w:rPr>
                <w:rFonts w:ascii="Sylfaen" w:hAnsi="Sylfaen" w:cs="Sylfaen"/>
                <w:sz w:val="20"/>
                <w:szCs w:val="20"/>
              </w:rPr>
            </w:pPr>
            <w:r w:rsidRPr="00D83000">
              <w:rPr>
                <w:rFonts w:ascii="Sylfaen" w:hAnsi="Sylfaen"/>
                <w:sz w:val="20"/>
                <w:szCs w:val="20"/>
              </w:rPr>
              <w:t>Գործարկումը կարգավորող ոչ էլեկտրոնային ապարատներով շահագործվող՝ երկու լամպակոթով լյումինեսցենտային լամպեր</w:t>
            </w:r>
          </w:p>
        </w:tc>
        <w:tc>
          <w:tcPr>
            <w:tcW w:w="950" w:type="dxa"/>
            <w:tcBorders>
              <w:top w:val="single" w:sz="4" w:space="0" w:color="auto"/>
              <w:left w:val="single" w:sz="4" w:space="0" w:color="auto"/>
            </w:tcBorders>
            <w:shd w:val="clear" w:color="auto" w:fill="FFFFFF"/>
            <w:vAlign w:val="center"/>
          </w:tcPr>
          <w:p w14:paraId="2220860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0,99</w:t>
            </w:r>
          </w:p>
        </w:tc>
        <w:tc>
          <w:tcPr>
            <w:tcW w:w="840" w:type="dxa"/>
            <w:tcBorders>
              <w:top w:val="single" w:sz="4" w:space="0" w:color="auto"/>
              <w:left w:val="single" w:sz="4" w:space="0" w:color="auto"/>
            </w:tcBorders>
            <w:shd w:val="clear" w:color="auto" w:fill="FFFFFF"/>
            <w:vAlign w:val="center"/>
          </w:tcPr>
          <w:p w14:paraId="54C39144"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0,,97</w:t>
            </w:r>
          </w:p>
        </w:tc>
        <w:tc>
          <w:tcPr>
            <w:tcW w:w="845" w:type="dxa"/>
            <w:tcBorders>
              <w:top w:val="single" w:sz="4" w:space="0" w:color="auto"/>
              <w:left w:val="single" w:sz="4" w:space="0" w:color="auto"/>
            </w:tcBorders>
            <w:shd w:val="clear" w:color="auto" w:fill="FFFFFF"/>
            <w:vAlign w:val="center"/>
          </w:tcPr>
          <w:p w14:paraId="6DA8B0C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c>
          <w:tcPr>
            <w:tcW w:w="850" w:type="dxa"/>
            <w:tcBorders>
              <w:top w:val="single" w:sz="4" w:space="0" w:color="auto"/>
              <w:left w:val="single" w:sz="4" w:space="0" w:color="auto"/>
              <w:right w:val="single" w:sz="4" w:space="0" w:color="auto"/>
            </w:tcBorders>
            <w:shd w:val="clear" w:color="auto" w:fill="FFFFFF"/>
            <w:vAlign w:val="center"/>
          </w:tcPr>
          <w:p w14:paraId="7B936CC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10F2FE3E" w14:textId="77777777" w:rsidTr="003B4610">
        <w:trPr>
          <w:jc w:val="center"/>
        </w:trPr>
        <w:tc>
          <w:tcPr>
            <w:tcW w:w="5885" w:type="dxa"/>
            <w:tcBorders>
              <w:top w:val="single" w:sz="4" w:space="0" w:color="auto"/>
              <w:left w:val="single" w:sz="4" w:space="0" w:color="auto"/>
            </w:tcBorders>
            <w:shd w:val="clear" w:color="auto" w:fill="FFFFFF"/>
            <w:vAlign w:val="bottom"/>
          </w:tcPr>
          <w:p w14:paraId="6C9A3723" w14:textId="77777777" w:rsidR="00CA27E3" w:rsidRPr="00D83000" w:rsidRDefault="00CA27E3" w:rsidP="003B4610">
            <w:pPr>
              <w:pStyle w:val="a4"/>
              <w:shd w:val="clear" w:color="auto" w:fill="auto"/>
              <w:spacing w:after="120" w:line="240" w:lineRule="auto"/>
              <w:ind w:right="55" w:firstLine="0"/>
              <w:rPr>
                <w:rFonts w:ascii="Sylfaen" w:hAnsi="Sylfaen" w:cs="Sylfaen"/>
                <w:sz w:val="20"/>
                <w:szCs w:val="20"/>
              </w:rPr>
            </w:pPr>
            <w:r w:rsidRPr="00D83000">
              <w:rPr>
                <w:rFonts w:ascii="Sylfaen" w:hAnsi="Sylfaen"/>
                <w:sz w:val="20"/>
                <w:szCs w:val="20"/>
              </w:rPr>
              <w:t>Տաքացրած վիճակում գործարկմամբ՝ գործարկումը կարգավորող էլեկտրոնային ապարատով շահագործվող՝ երկու լամպակոթով լյումինեսցենտային լամպեր</w:t>
            </w:r>
          </w:p>
        </w:tc>
        <w:tc>
          <w:tcPr>
            <w:tcW w:w="950" w:type="dxa"/>
            <w:tcBorders>
              <w:top w:val="single" w:sz="4" w:space="0" w:color="auto"/>
              <w:left w:val="single" w:sz="4" w:space="0" w:color="auto"/>
            </w:tcBorders>
            <w:shd w:val="clear" w:color="auto" w:fill="FFFFFF"/>
            <w:vAlign w:val="center"/>
          </w:tcPr>
          <w:p w14:paraId="73423CD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0,,99</w:t>
            </w:r>
          </w:p>
        </w:tc>
        <w:tc>
          <w:tcPr>
            <w:tcW w:w="840" w:type="dxa"/>
            <w:tcBorders>
              <w:top w:val="single" w:sz="4" w:space="0" w:color="auto"/>
              <w:left w:val="single" w:sz="4" w:space="0" w:color="auto"/>
            </w:tcBorders>
            <w:shd w:val="clear" w:color="auto" w:fill="FFFFFF"/>
            <w:vAlign w:val="center"/>
          </w:tcPr>
          <w:p w14:paraId="4F24D926"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0,,97</w:t>
            </w:r>
          </w:p>
        </w:tc>
        <w:tc>
          <w:tcPr>
            <w:tcW w:w="845" w:type="dxa"/>
            <w:tcBorders>
              <w:top w:val="single" w:sz="4" w:space="0" w:color="auto"/>
              <w:left w:val="single" w:sz="4" w:space="0" w:color="auto"/>
            </w:tcBorders>
            <w:shd w:val="clear" w:color="auto" w:fill="FFFFFF"/>
            <w:vAlign w:val="center"/>
          </w:tcPr>
          <w:p w14:paraId="53AB66F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0,,92</w:t>
            </w:r>
          </w:p>
        </w:tc>
        <w:tc>
          <w:tcPr>
            <w:tcW w:w="850" w:type="dxa"/>
            <w:tcBorders>
              <w:top w:val="single" w:sz="4" w:space="0" w:color="auto"/>
              <w:left w:val="single" w:sz="4" w:space="0" w:color="auto"/>
              <w:right w:val="single" w:sz="4" w:space="0" w:color="auto"/>
            </w:tcBorders>
            <w:shd w:val="clear" w:color="auto" w:fill="FFFFFF"/>
            <w:vAlign w:val="center"/>
          </w:tcPr>
          <w:p w14:paraId="7198E0B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r>
      <w:tr w:rsidR="00CA27E3" w:rsidRPr="00D83000" w14:paraId="6FE5B7E0" w14:textId="77777777" w:rsidTr="003B4610">
        <w:trPr>
          <w:jc w:val="center"/>
        </w:trPr>
        <w:tc>
          <w:tcPr>
            <w:tcW w:w="5885" w:type="dxa"/>
            <w:vMerge w:val="restart"/>
            <w:tcBorders>
              <w:top w:val="single" w:sz="4" w:space="0" w:color="auto"/>
              <w:left w:val="single" w:sz="4" w:space="0" w:color="auto"/>
            </w:tcBorders>
            <w:shd w:val="clear" w:color="auto" w:fill="FFFFFF"/>
            <w:vAlign w:val="bottom"/>
          </w:tcPr>
          <w:p w14:paraId="551057EE" w14:textId="77777777" w:rsidR="00CA27E3" w:rsidRPr="00D83000" w:rsidRDefault="00CA27E3" w:rsidP="003B4610">
            <w:pPr>
              <w:pStyle w:val="a4"/>
              <w:shd w:val="clear" w:color="auto" w:fill="auto"/>
              <w:spacing w:after="120" w:line="240" w:lineRule="auto"/>
              <w:ind w:right="55" w:firstLine="0"/>
              <w:rPr>
                <w:rFonts w:ascii="Sylfaen" w:hAnsi="Sylfaen" w:cs="Sylfaen"/>
                <w:sz w:val="20"/>
                <w:szCs w:val="20"/>
              </w:rPr>
            </w:pPr>
            <w:r w:rsidRPr="00D83000">
              <w:rPr>
                <w:rFonts w:ascii="Sylfaen" w:hAnsi="Sylfaen"/>
                <w:sz w:val="20"/>
                <w:szCs w:val="20"/>
              </w:rPr>
              <w:t xml:space="preserve">Գործարկումը կարգավորող ոչ էլեկտրոնային ապարատով շահագործվող՝ մեկ լամպակոթով օղակաձեւ լյումինեսցենտային լամպեր, , U-անման T8՝ երկու լամպակոթով լյումինեսցենտային լամպեր եւ 16 մմ կամ ավելի տրամագծով՝ պարուրաձեւ, երկու լամպակոթով լյումինեսցենտային լամպեր (T5) </w:t>
            </w:r>
          </w:p>
        </w:tc>
        <w:tc>
          <w:tcPr>
            <w:tcW w:w="950" w:type="dxa"/>
            <w:tcBorders>
              <w:top w:val="single" w:sz="4" w:space="0" w:color="auto"/>
              <w:left w:val="single" w:sz="4" w:space="0" w:color="auto"/>
            </w:tcBorders>
            <w:shd w:val="clear" w:color="auto" w:fill="FFFFFF"/>
            <w:vAlign w:val="center"/>
          </w:tcPr>
          <w:p w14:paraId="6F0A234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0,,98</w:t>
            </w:r>
          </w:p>
        </w:tc>
        <w:tc>
          <w:tcPr>
            <w:tcW w:w="840" w:type="dxa"/>
            <w:tcBorders>
              <w:top w:val="single" w:sz="4" w:space="0" w:color="auto"/>
              <w:left w:val="single" w:sz="4" w:space="0" w:color="auto"/>
            </w:tcBorders>
            <w:shd w:val="clear" w:color="auto" w:fill="FFFFFF"/>
            <w:vAlign w:val="center"/>
          </w:tcPr>
          <w:p w14:paraId="72F7F7C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0,,77</w:t>
            </w:r>
          </w:p>
        </w:tc>
        <w:tc>
          <w:tcPr>
            <w:tcW w:w="845" w:type="dxa"/>
            <w:tcBorders>
              <w:top w:val="single" w:sz="4" w:space="0" w:color="auto"/>
              <w:left w:val="single" w:sz="4" w:space="0" w:color="auto"/>
            </w:tcBorders>
            <w:shd w:val="clear" w:color="auto" w:fill="FFFFFF"/>
            <w:vAlign w:val="center"/>
          </w:tcPr>
          <w:p w14:paraId="2DE9E59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c>
          <w:tcPr>
            <w:tcW w:w="850" w:type="dxa"/>
            <w:tcBorders>
              <w:top w:val="single" w:sz="4" w:space="0" w:color="auto"/>
              <w:left w:val="single" w:sz="4" w:space="0" w:color="auto"/>
              <w:right w:val="single" w:sz="4" w:space="0" w:color="auto"/>
            </w:tcBorders>
            <w:shd w:val="clear" w:color="auto" w:fill="FFFFFF"/>
            <w:vAlign w:val="center"/>
          </w:tcPr>
          <w:p w14:paraId="011A7AC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6BF0F4E0" w14:textId="77777777" w:rsidTr="003B4610">
        <w:trPr>
          <w:jc w:val="center"/>
        </w:trPr>
        <w:tc>
          <w:tcPr>
            <w:tcW w:w="5885" w:type="dxa"/>
            <w:vMerge/>
            <w:tcBorders>
              <w:left w:val="single" w:sz="4" w:space="0" w:color="auto"/>
            </w:tcBorders>
            <w:shd w:val="clear" w:color="auto" w:fill="FFFFFF"/>
            <w:vAlign w:val="bottom"/>
          </w:tcPr>
          <w:p w14:paraId="5ACC0F6D" w14:textId="77777777" w:rsidR="00CA27E3" w:rsidRPr="00D83000" w:rsidRDefault="00CA27E3" w:rsidP="003B4610">
            <w:pPr>
              <w:spacing w:after="120"/>
              <w:ind w:right="55"/>
              <w:rPr>
                <w:rFonts w:ascii="Sylfaen" w:hAnsi="Sylfaen" w:cs="Sylfaen"/>
                <w:sz w:val="20"/>
                <w:szCs w:val="20"/>
              </w:rPr>
            </w:pPr>
          </w:p>
        </w:tc>
        <w:tc>
          <w:tcPr>
            <w:tcW w:w="3485" w:type="dxa"/>
            <w:gridSpan w:val="4"/>
            <w:tcBorders>
              <w:top w:val="single" w:sz="4" w:space="0" w:color="auto"/>
              <w:left w:val="single" w:sz="4" w:space="0" w:color="auto"/>
              <w:right w:val="single" w:sz="4" w:space="0" w:color="auto"/>
            </w:tcBorders>
            <w:shd w:val="clear" w:color="auto" w:fill="FFFFFF"/>
            <w:vAlign w:val="center"/>
          </w:tcPr>
          <w:p w14:paraId="6178A223"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 5 000 ժ շահագործման դեպքում</w:t>
            </w:r>
          </w:p>
        </w:tc>
      </w:tr>
      <w:tr w:rsidR="00CA27E3" w:rsidRPr="00D83000" w14:paraId="15583446" w14:textId="77777777" w:rsidTr="003B4610">
        <w:trPr>
          <w:jc w:val="center"/>
        </w:trPr>
        <w:tc>
          <w:tcPr>
            <w:tcW w:w="5885" w:type="dxa"/>
            <w:vMerge w:val="restart"/>
            <w:tcBorders>
              <w:top w:val="single" w:sz="4" w:space="0" w:color="auto"/>
              <w:left w:val="single" w:sz="4" w:space="0" w:color="auto"/>
            </w:tcBorders>
            <w:shd w:val="clear" w:color="auto" w:fill="FFFFFF"/>
            <w:vAlign w:val="center"/>
          </w:tcPr>
          <w:p w14:paraId="15EF1F40" w14:textId="77777777" w:rsidR="00CA27E3" w:rsidRPr="00D83000" w:rsidRDefault="00CA27E3" w:rsidP="003B4610">
            <w:pPr>
              <w:pStyle w:val="a4"/>
              <w:shd w:val="clear" w:color="auto" w:fill="auto"/>
              <w:spacing w:after="120" w:line="240" w:lineRule="auto"/>
              <w:ind w:right="55" w:firstLine="0"/>
              <w:rPr>
                <w:rFonts w:ascii="Sylfaen" w:hAnsi="Sylfaen" w:cs="Sylfaen"/>
                <w:sz w:val="20"/>
                <w:szCs w:val="20"/>
              </w:rPr>
            </w:pPr>
            <w:r w:rsidRPr="00D83000">
              <w:rPr>
                <w:rFonts w:ascii="Sylfaen" w:hAnsi="Sylfaen"/>
                <w:sz w:val="20"/>
                <w:szCs w:val="20"/>
              </w:rPr>
              <w:t>Գործարկումը կարգավորող էլեկտրոնային ապարատներով շահագործվող՝ մեկ լամպակոթով օղակաձեւ լյումինեսցենտային լամպեր</w:t>
            </w:r>
          </w:p>
        </w:tc>
        <w:tc>
          <w:tcPr>
            <w:tcW w:w="950" w:type="dxa"/>
            <w:tcBorders>
              <w:top w:val="single" w:sz="4" w:space="0" w:color="auto"/>
              <w:left w:val="single" w:sz="4" w:space="0" w:color="auto"/>
            </w:tcBorders>
            <w:shd w:val="clear" w:color="auto" w:fill="FFFFFF"/>
            <w:vAlign w:val="bottom"/>
          </w:tcPr>
          <w:p w14:paraId="118EA70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0,,99</w:t>
            </w:r>
          </w:p>
        </w:tc>
        <w:tc>
          <w:tcPr>
            <w:tcW w:w="840" w:type="dxa"/>
            <w:tcBorders>
              <w:top w:val="single" w:sz="4" w:space="0" w:color="auto"/>
              <w:left w:val="single" w:sz="4" w:space="0" w:color="auto"/>
            </w:tcBorders>
            <w:shd w:val="clear" w:color="auto" w:fill="FFFFFF"/>
            <w:vAlign w:val="center"/>
          </w:tcPr>
          <w:p w14:paraId="28AB7E88"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0,,97</w:t>
            </w:r>
          </w:p>
        </w:tc>
        <w:tc>
          <w:tcPr>
            <w:tcW w:w="845" w:type="dxa"/>
            <w:tcBorders>
              <w:top w:val="single" w:sz="4" w:space="0" w:color="auto"/>
              <w:left w:val="single" w:sz="4" w:space="0" w:color="auto"/>
            </w:tcBorders>
            <w:shd w:val="clear" w:color="auto" w:fill="FFFFFF"/>
            <w:vAlign w:val="center"/>
          </w:tcPr>
          <w:p w14:paraId="5621F4F5"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0,,85</w:t>
            </w:r>
          </w:p>
        </w:tc>
        <w:tc>
          <w:tcPr>
            <w:tcW w:w="850" w:type="dxa"/>
            <w:tcBorders>
              <w:top w:val="single" w:sz="4" w:space="0" w:color="auto"/>
              <w:left w:val="single" w:sz="4" w:space="0" w:color="auto"/>
              <w:right w:val="single" w:sz="4" w:space="0" w:color="auto"/>
            </w:tcBorders>
            <w:shd w:val="clear" w:color="auto" w:fill="FFFFFF"/>
            <w:vAlign w:val="center"/>
          </w:tcPr>
          <w:p w14:paraId="6FBF34C4"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7856ED8F" w14:textId="77777777" w:rsidTr="003B4610">
        <w:trPr>
          <w:jc w:val="center"/>
        </w:trPr>
        <w:tc>
          <w:tcPr>
            <w:tcW w:w="5885" w:type="dxa"/>
            <w:vMerge/>
            <w:tcBorders>
              <w:left w:val="single" w:sz="4" w:space="0" w:color="auto"/>
            </w:tcBorders>
            <w:shd w:val="clear" w:color="auto" w:fill="FFFFFF"/>
            <w:vAlign w:val="center"/>
          </w:tcPr>
          <w:p w14:paraId="73DA18A6" w14:textId="77777777" w:rsidR="00CA27E3" w:rsidRPr="00D83000" w:rsidRDefault="00CA27E3" w:rsidP="003B4610">
            <w:pPr>
              <w:spacing w:after="120"/>
              <w:ind w:right="55"/>
              <w:rPr>
                <w:rFonts w:ascii="Sylfaen" w:hAnsi="Sylfaen" w:cs="Sylfaen"/>
                <w:sz w:val="20"/>
                <w:szCs w:val="20"/>
              </w:rPr>
            </w:pPr>
          </w:p>
        </w:tc>
        <w:tc>
          <w:tcPr>
            <w:tcW w:w="3485" w:type="dxa"/>
            <w:gridSpan w:val="4"/>
            <w:tcBorders>
              <w:top w:val="single" w:sz="4" w:space="0" w:color="auto"/>
              <w:left w:val="single" w:sz="4" w:space="0" w:color="auto"/>
              <w:right w:val="single" w:sz="4" w:space="0" w:color="auto"/>
            </w:tcBorders>
            <w:shd w:val="clear" w:color="auto" w:fill="FFFFFF"/>
            <w:vAlign w:val="center"/>
          </w:tcPr>
          <w:p w14:paraId="10F0937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 12 000 ժ շահագործման դեպքում</w:t>
            </w:r>
          </w:p>
        </w:tc>
      </w:tr>
      <w:tr w:rsidR="00CA27E3" w:rsidRPr="00D83000" w14:paraId="77E43AF5" w14:textId="77777777" w:rsidTr="003B4610">
        <w:trPr>
          <w:jc w:val="center"/>
        </w:trPr>
        <w:tc>
          <w:tcPr>
            <w:tcW w:w="5885" w:type="dxa"/>
            <w:tcBorders>
              <w:top w:val="single" w:sz="4" w:space="0" w:color="auto"/>
              <w:left w:val="single" w:sz="4" w:space="0" w:color="auto"/>
            </w:tcBorders>
            <w:shd w:val="clear" w:color="auto" w:fill="FFFFFF"/>
            <w:vAlign w:val="bottom"/>
          </w:tcPr>
          <w:p w14:paraId="39E48E45" w14:textId="77777777" w:rsidR="00CA27E3" w:rsidRPr="00D83000" w:rsidRDefault="00CA27E3" w:rsidP="003B4610">
            <w:pPr>
              <w:pStyle w:val="a4"/>
              <w:shd w:val="clear" w:color="auto" w:fill="auto"/>
              <w:spacing w:after="120" w:line="240" w:lineRule="auto"/>
              <w:ind w:right="55" w:firstLine="0"/>
              <w:rPr>
                <w:rFonts w:ascii="Sylfaen" w:hAnsi="Sylfaen" w:cs="Sylfaen"/>
                <w:sz w:val="20"/>
                <w:szCs w:val="20"/>
              </w:rPr>
            </w:pPr>
            <w:r w:rsidRPr="00D83000">
              <w:rPr>
                <w:rFonts w:ascii="Sylfaen" w:hAnsi="Sylfaen"/>
                <w:sz w:val="20"/>
                <w:szCs w:val="20"/>
              </w:rPr>
              <w:t>Գործարկումը կարգավորող ոչ էլեկտրոնային ապարատներով շահագործվող՝ մեկ լամպակոթով այլ լյումինեսցենտային լամպեր</w:t>
            </w:r>
          </w:p>
        </w:tc>
        <w:tc>
          <w:tcPr>
            <w:tcW w:w="950" w:type="dxa"/>
            <w:tcBorders>
              <w:top w:val="single" w:sz="4" w:space="0" w:color="auto"/>
              <w:left w:val="single" w:sz="4" w:space="0" w:color="auto"/>
            </w:tcBorders>
            <w:shd w:val="clear" w:color="auto" w:fill="FFFFFF"/>
            <w:vAlign w:val="center"/>
          </w:tcPr>
          <w:p w14:paraId="1032C8B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0,,98</w:t>
            </w:r>
          </w:p>
        </w:tc>
        <w:tc>
          <w:tcPr>
            <w:tcW w:w="840" w:type="dxa"/>
            <w:tcBorders>
              <w:top w:val="single" w:sz="4" w:space="0" w:color="auto"/>
              <w:left w:val="single" w:sz="4" w:space="0" w:color="auto"/>
            </w:tcBorders>
            <w:shd w:val="clear" w:color="auto" w:fill="FFFFFF"/>
            <w:vAlign w:val="center"/>
          </w:tcPr>
          <w:p w14:paraId="074A80D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0,,90</w:t>
            </w:r>
          </w:p>
        </w:tc>
        <w:tc>
          <w:tcPr>
            <w:tcW w:w="845" w:type="dxa"/>
            <w:tcBorders>
              <w:top w:val="single" w:sz="4" w:space="0" w:color="auto"/>
              <w:left w:val="single" w:sz="4" w:space="0" w:color="auto"/>
            </w:tcBorders>
            <w:shd w:val="clear" w:color="auto" w:fill="FFFFFF"/>
            <w:vAlign w:val="center"/>
          </w:tcPr>
          <w:p w14:paraId="503DEE68"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w:t>
            </w:r>
          </w:p>
        </w:tc>
        <w:tc>
          <w:tcPr>
            <w:tcW w:w="850" w:type="dxa"/>
            <w:tcBorders>
              <w:top w:val="single" w:sz="4" w:space="0" w:color="auto"/>
              <w:left w:val="single" w:sz="4" w:space="0" w:color="auto"/>
              <w:right w:val="single" w:sz="4" w:space="0" w:color="auto"/>
            </w:tcBorders>
            <w:shd w:val="clear" w:color="auto" w:fill="FFFFFF"/>
            <w:vAlign w:val="center"/>
          </w:tcPr>
          <w:p w14:paraId="72EFE2F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r w:rsidR="00CA27E3" w:rsidRPr="00D83000" w14:paraId="21DF6A5D" w14:textId="77777777" w:rsidTr="003B4610">
        <w:trPr>
          <w:jc w:val="center"/>
        </w:trPr>
        <w:tc>
          <w:tcPr>
            <w:tcW w:w="5885" w:type="dxa"/>
            <w:tcBorders>
              <w:top w:val="single" w:sz="4" w:space="0" w:color="auto"/>
              <w:left w:val="single" w:sz="4" w:space="0" w:color="auto"/>
              <w:bottom w:val="single" w:sz="4" w:space="0" w:color="auto"/>
            </w:tcBorders>
            <w:shd w:val="clear" w:color="auto" w:fill="FFFFFF"/>
            <w:vAlign w:val="bottom"/>
          </w:tcPr>
          <w:p w14:paraId="09B6BF9E" w14:textId="77777777" w:rsidR="00CA27E3" w:rsidRPr="00D83000" w:rsidRDefault="00CA27E3" w:rsidP="003B4610">
            <w:pPr>
              <w:pStyle w:val="a4"/>
              <w:shd w:val="clear" w:color="auto" w:fill="auto"/>
              <w:spacing w:after="120" w:line="240" w:lineRule="auto"/>
              <w:ind w:right="55" w:firstLine="0"/>
              <w:rPr>
                <w:rFonts w:ascii="Sylfaen" w:hAnsi="Sylfaen" w:cs="Sylfaen"/>
                <w:sz w:val="20"/>
                <w:szCs w:val="20"/>
              </w:rPr>
            </w:pPr>
            <w:r w:rsidRPr="00D83000">
              <w:rPr>
                <w:rFonts w:ascii="Sylfaen" w:hAnsi="Sylfaen"/>
                <w:sz w:val="20"/>
                <w:szCs w:val="20"/>
              </w:rPr>
              <w:t>Էլեկտրոդների նախնական տաքացմամբ՝ գործարկումը կարգավորող էլեկտրոնային ապարատով շահագործվող՝ մեկ</w:t>
            </w:r>
            <w:r w:rsidR="003B4610" w:rsidRPr="003B4610">
              <w:rPr>
                <w:rFonts w:ascii="Sylfaen" w:hAnsi="Sylfaen"/>
                <w:sz w:val="20"/>
                <w:szCs w:val="20"/>
              </w:rPr>
              <w:t> </w:t>
            </w:r>
            <w:r w:rsidRPr="00D83000">
              <w:rPr>
                <w:rFonts w:ascii="Sylfaen" w:hAnsi="Sylfaen"/>
                <w:sz w:val="20"/>
                <w:szCs w:val="20"/>
              </w:rPr>
              <w:t>լամպակոթով այլ լյումինեսցենտային լամպեր</w:t>
            </w:r>
          </w:p>
        </w:tc>
        <w:tc>
          <w:tcPr>
            <w:tcW w:w="950" w:type="dxa"/>
            <w:tcBorders>
              <w:top w:val="single" w:sz="4" w:space="0" w:color="auto"/>
              <w:left w:val="single" w:sz="4" w:space="0" w:color="auto"/>
              <w:bottom w:val="single" w:sz="4" w:space="0" w:color="auto"/>
            </w:tcBorders>
            <w:shd w:val="clear" w:color="auto" w:fill="FFFFFF"/>
            <w:vAlign w:val="center"/>
          </w:tcPr>
          <w:p w14:paraId="42E1D88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0,,99</w:t>
            </w:r>
          </w:p>
        </w:tc>
        <w:tc>
          <w:tcPr>
            <w:tcW w:w="840" w:type="dxa"/>
            <w:tcBorders>
              <w:top w:val="single" w:sz="4" w:space="0" w:color="auto"/>
              <w:left w:val="single" w:sz="4" w:space="0" w:color="auto"/>
              <w:bottom w:val="single" w:sz="4" w:space="0" w:color="auto"/>
            </w:tcBorders>
            <w:shd w:val="clear" w:color="auto" w:fill="FFFFFF"/>
            <w:vAlign w:val="center"/>
          </w:tcPr>
          <w:p w14:paraId="6D3D965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0,,98</w:t>
            </w:r>
          </w:p>
        </w:tc>
        <w:tc>
          <w:tcPr>
            <w:tcW w:w="845" w:type="dxa"/>
            <w:tcBorders>
              <w:top w:val="single" w:sz="4" w:space="0" w:color="auto"/>
              <w:left w:val="single" w:sz="4" w:space="0" w:color="auto"/>
              <w:bottom w:val="single" w:sz="4" w:space="0" w:color="auto"/>
            </w:tcBorders>
            <w:shd w:val="clear" w:color="auto" w:fill="FFFFFF"/>
            <w:vAlign w:val="center"/>
          </w:tcPr>
          <w:p w14:paraId="6EBDE192"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0,,88</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14:paraId="05838704"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w:t>
            </w:r>
          </w:p>
        </w:tc>
      </w:tr>
    </w:tbl>
    <w:p w14:paraId="13003752" w14:textId="77777777" w:rsidR="00CA27E3" w:rsidRPr="00CA27E3" w:rsidRDefault="00CA27E3" w:rsidP="00CA27E3">
      <w:pPr>
        <w:spacing w:after="160" w:line="360" w:lineRule="auto"/>
        <w:rPr>
          <w:rFonts w:ascii="Sylfaen" w:hAnsi="Sylfaen" w:cs="Sylfaen"/>
        </w:rPr>
      </w:pPr>
    </w:p>
    <w:p w14:paraId="0A570DD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Բարձր ճնշման նատրիումական լամպերը պետք է ունենան 14-րդ աղյուսակում բերված՝ լամպի լուսային հոսքի պահպանման գործակցի </w:t>
      </w:r>
      <w:r>
        <w:rPr>
          <w:rFonts w:ascii="Sylfaen" w:hAnsi="Sylfaen"/>
          <w:sz w:val="24"/>
          <w:szCs w:val="24"/>
        </w:rPr>
        <w:t>եւ</w:t>
      </w:r>
      <w:r w:rsidRPr="00CA27E3">
        <w:rPr>
          <w:rFonts w:ascii="Sylfaen" w:hAnsi="Sylfaen"/>
          <w:sz w:val="24"/>
          <w:szCs w:val="24"/>
        </w:rPr>
        <w:t xml:space="preserve"> լամպի ծառայության ժամկետի գործակցի արժեքներից ոչ ցածր արժեքներ։</w:t>
      </w:r>
    </w:p>
    <w:p w14:paraId="48BAF521" w14:textId="77777777" w:rsidR="003B4610" w:rsidRDefault="003B4610">
      <w:pPr>
        <w:rPr>
          <w:rFonts w:ascii="Sylfaen" w:eastAsia="Times New Roman" w:hAnsi="Sylfaen" w:cs="Sylfaen"/>
          <w:color w:val="auto"/>
        </w:rPr>
      </w:pPr>
      <w:r>
        <w:rPr>
          <w:rFonts w:ascii="Sylfaen" w:hAnsi="Sylfaen" w:cs="Sylfaen"/>
        </w:rPr>
        <w:br w:type="page"/>
      </w:r>
    </w:p>
    <w:p w14:paraId="475ACEC6" w14:textId="77777777" w:rsidR="00CA27E3" w:rsidRPr="00CA27E3" w:rsidRDefault="00CA27E3" w:rsidP="00CA27E3">
      <w:pPr>
        <w:pStyle w:val="a2"/>
        <w:shd w:val="clear" w:color="auto" w:fill="auto"/>
        <w:spacing w:after="160" w:line="360" w:lineRule="auto"/>
        <w:ind w:left="82"/>
        <w:jc w:val="right"/>
        <w:rPr>
          <w:rFonts w:ascii="Sylfaen" w:hAnsi="Sylfaen" w:cs="Sylfaen"/>
          <w:sz w:val="24"/>
          <w:szCs w:val="24"/>
        </w:rPr>
      </w:pPr>
      <w:r w:rsidRPr="00CA27E3">
        <w:rPr>
          <w:rFonts w:ascii="Sylfaen" w:hAnsi="Sylfaen"/>
          <w:sz w:val="24"/>
          <w:szCs w:val="24"/>
        </w:rPr>
        <w:lastRenderedPageBreak/>
        <w:t xml:space="preserve">Աղյուսակ 14 </w:t>
      </w:r>
    </w:p>
    <w:p w14:paraId="01BB6F54" w14:textId="77777777" w:rsidR="00CA27E3" w:rsidRPr="00CA27E3" w:rsidRDefault="00CA27E3" w:rsidP="003B4610">
      <w:pPr>
        <w:pStyle w:val="a2"/>
        <w:shd w:val="clear" w:color="auto" w:fill="auto"/>
        <w:spacing w:after="160" w:line="360" w:lineRule="auto"/>
        <w:ind w:left="-14"/>
        <w:jc w:val="center"/>
        <w:rPr>
          <w:rFonts w:ascii="Sylfaen" w:hAnsi="Sylfaen" w:cs="Sylfaen"/>
          <w:sz w:val="24"/>
          <w:szCs w:val="24"/>
        </w:rPr>
      </w:pPr>
      <w:r w:rsidRPr="00CA27E3">
        <w:rPr>
          <w:rFonts w:ascii="Sylfaen" w:hAnsi="Sylfaen"/>
          <w:sz w:val="24"/>
          <w:szCs w:val="24"/>
        </w:rPr>
        <w:t xml:space="preserve">Բարձր ճնշման նատրիումական լամպերի համար՝ լամպի լուսային հոսքի պահպանման գործակցի </w:t>
      </w:r>
      <w:r>
        <w:rPr>
          <w:rFonts w:ascii="Sylfaen" w:hAnsi="Sylfaen"/>
          <w:sz w:val="24"/>
          <w:szCs w:val="24"/>
        </w:rPr>
        <w:t>եւ</w:t>
      </w:r>
      <w:r w:rsidRPr="00CA27E3">
        <w:rPr>
          <w:rFonts w:ascii="Sylfaen" w:hAnsi="Sylfaen"/>
          <w:sz w:val="24"/>
          <w:szCs w:val="24"/>
        </w:rPr>
        <w:t xml:space="preserve"> լամպի ծառայության ժամկետի գործակցի արժեքները </w:t>
      </w:r>
    </w:p>
    <w:tbl>
      <w:tblPr>
        <w:tblOverlap w:val="never"/>
        <w:tblW w:w="9379" w:type="dxa"/>
        <w:jc w:val="center"/>
        <w:tblLayout w:type="fixed"/>
        <w:tblCellMar>
          <w:left w:w="10" w:type="dxa"/>
          <w:right w:w="10" w:type="dxa"/>
        </w:tblCellMar>
        <w:tblLook w:val="0020" w:firstRow="1" w:lastRow="0" w:firstColumn="0" w:lastColumn="0" w:noHBand="0" w:noVBand="0"/>
      </w:tblPr>
      <w:tblGrid>
        <w:gridCol w:w="2422"/>
        <w:gridCol w:w="3119"/>
        <w:gridCol w:w="2268"/>
        <w:gridCol w:w="1570"/>
      </w:tblGrid>
      <w:tr w:rsidR="00CA27E3" w:rsidRPr="00D83000" w14:paraId="04C48923" w14:textId="77777777" w:rsidTr="00696F04">
        <w:trPr>
          <w:tblHeader/>
          <w:jc w:val="center"/>
        </w:trPr>
        <w:tc>
          <w:tcPr>
            <w:tcW w:w="5541" w:type="dxa"/>
            <w:gridSpan w:val="2"/>
            <w:tcBorders>
              <w:top w:val="single" w:sz="4" w:space="0" w:color="auto"/>
              <w:left w:val="single" w:sz="4" w:space="0" w:color="auto"/>
            </w:tcBorders>
            <w:shd w:val="clear" w:color="auto" w:fill="FFFFFF"/>
            <w:vAlign w:val="center"/>
          </w:tcPr>
          <w:p w14:paraId="0EAAA47D" w14:textId="77777777" w:rsidR="00CA27E3" w:rsidRPr="00D83000" w:rsidRDefault="00CA27E3" w:rsidP="003B4610">
            <w:pPr>
              <w:pStyle w:val="a4"/>
              <w:shd w:val="clear" w:color="auto" w:fill="auto"/>
              <w:spacing w:after="120" w:line="240" w:lineRule="auto"/>
              <w:ind w:right="197" w:firstLine="0"/>
              <w:jc w:val="center"/>
              <w:rPr>
                <w:rFonts w:ascii="Sylfaen" w:hAnsi="Sylfaen" w:cs="Sylfaen"/>
                <w:sz w:val="20"/>
                <w:szCs w:val="20"/>
              </w:rPr>
            </w:pPr>
            <w:r w:rsidRPr="00D83000">
              <w:rPr>
                <w:rFonts w:ascii="Sylfaen" w:hAnsi="Sylfaen"/>
                <w:sz w:val="20"/>
                <w:szCs w:val="20"/>
              </w:rPr>
              <w:t>Բարձր ճնշման նատրիումական լամպերի կատեգորիան</w:t>
            </w:r>
          </w:p>
        </w:tc>
        <w:tc>
          <w:tcPr>
            <w:tcW w:w="2268" w:type="dxa"/>
            <w:tcBorders>
              <w:top w:val="single" w:sz="4" w:space="0" w:color="auto"/>
              <w:left w:val="single" w:sz="4" w:space="0" w:color="auto"/>
            </w:tcBorders>
            <w:shd w:val="clear" w:color="auto" w:fill="FFFFFF"/>
            <w:vAlign w:val="center"/>
          </w:tcPr>
          <w:p w14:paraId="43750104"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լուսային հոսքի պահպանման գործակիցը</w:t>
            </w:r>
          </w:p>
        </w:tc>
        <w:tc>
          <w:tcPr>
            <w:tcW w:w="1570" w:type="dxa"/>
            <w:tcBorders>
              <w:top w:val="single" w:sz="4" w:space="0" w:color="auto"/>
              <w:left w:val="single" w:sz="4" w:space="0" w:color="auto"/>
              <w:right w:val="single" w:sz="4" w:space="0" w:color="auto"/>
            </w:tcBorders>
            <w:shd w:val="clear" w:color="auto" w:fill="FFFFFF"/>
            <w:vAlign w:val="center"/>
          </w:tcPr>
          <w:p w14:paraId="7AB4CA5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ծառայության ժամկետի գործակիցը</w:t>
            </w:r>
          </w:p>
        </w:tc>
      </w:tr>
      <w:tr w:rsidR="00CA27E3" w:rsidRPr="00D83000" w14:paraId="1A5B5309" w14:textId="77777777" w:rsidTr="00696F04">
        <w:trPr>
          <w:jc w:val="center"/>
        </w:trPr>
        <w:tc>
          <w:tcPr>
            <w:tcW w:w="2422" w:type="dxa"/>
            <w:vMerge w:val="restart"/>
            <w:tcBorders>
              <w:top w:val="single" w:sz="4" w:space="0" w:color="auto"/>
              <w:left w:val="single" w:sz="4" w:space="0" w:color="auto"/>
            </w:tcBorders>
            <w:shd w:val="clear" w:color="auto" w:fill="FFFFFF"/>
            <w:vAlign w:val="center"/>
          </w:tcPr>
          <w:p w14:paraId="02CDC97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Լ</w:t>
            </w:r>
            <w:r w:rsidRPr="00D83000">
              <w:rPr>
                <w:rFonts w:ascii="Sylfaen" w:hAnsi="Sylfaen"/>
                <w:sz w:val="20"/>
                <w:szCs w:val="20"/>
              </w:rPr>
              <w:t xml:space="preserve"> ≤ 75 Վտ LLMF եւ LSF՝ չափված են 12 000 ժ շահագործման դեպքում</w:t>
            </w:r>
          </w:p>
        </w:tc>
        <w:tc>
          <w:tcPr>
            <w:tcW w:w="3119" w:type="dxa"/>
            <w:tcBorders>
              <w:top w:val="single" w:sz="4" w:space="0" w:color="auto"/>
              <w:left w:val="single" w:sz="4" w:space="0" w:color="auto"/>
            </w:tcBorders>
            <w:shd w:val="clear" w:color="auto" w:fill="FFFFFF"/>
            <w:vAlign w:val="center"/>
          </w:tcPr>
          <w:p w14:paraId="2BB704EB"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Ra ≤ 60</w:t>
            </w:r>
          </w:p>
        </w:tc>
        <w:tc>
          <w:tcPr>
            <w:tcW w:w="2268" w:type="dxa"/>
            <w:tcBorders>
              <w:top w:val="single" w:sz="4" w:space="0" w:color="auto"/>
              <w:left w:val="single" w:sz="4" w:space="0" w:color="auto"/>
            </w:tcBorders>
            <w:shd w:val="clear" w:color="auto" w:fill="FFFFFF"/>
            <w:vAlign w:val="center"/>
          </w:tcPr>
          <w:p w14:paraId="27447CA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0,,80</w:t>
            </w:r>
          </w:p>
        </w:tc>
        <w:tc>
          <w:tcPr>
            <w:tcW w:w="1570" w:type="dxa"/>
            <w:tcBorders>
              <w:top w:val="single" w:sz="4" w:space="0" w:color="auto"/>
              <w:left w:val="single" w:sz="4" w:space="0" w:color="auto"/>
              <w:right w:val="single" w:sz="4" w:space="0" w:color="auto"/>
            </w:tcBorders>
            <w:shd w:val="clear" w:color="auto" w:fill="FFFFFF"/>
            <w:vAlign w:val="center"/>
          </w:tcPr>
          <w:p w14:paraId="096FA00A"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0,,90</w:t>
            </w:r>
          </w:p>
        </w:tc>
      </w:tr>
      <w:tr w:rsidR="00CA27E3" w:rsidRPr="00D83000" w14:paraId="2592332C" w14:textId="77777777" w:rsidTr="00696F04">
        <w:trPr>
          <w:jc w:val="center"/>
        </w:trPr>
        <w:tc>
          <w:tcPr>
            <w:tcW w:w="2422" w:type="dxa"/>
            <w:vMerge/>
            <w:tcBorders>
              <w:left w:val="single" w:sz="4" w:space="0" w:color="auto"/>
            </w:tcBorders>
            <w:shd w:val="clear" w:color="auto" w:fill="FFFFFF"/>
            <w:vAlign w:val="center"/>
          </w:tcPr>
          <w:p w14:paraId="3C8D4AF9" w14:textId="77777777" w:rsidR="00CA27E3" w:rsidRPr="00D83000" w:rsidRDefault="00CA27E3" w:rsidP="003B4610">
            <w:pPr>
              <w:spacing w:after="120"/>
              <w:jc w:val="center"/>
              <w:rPr>
                <w:rFonts w:ascii="Sylfaen" w:hAnsi="Sylfaen" w:cs="Sylfaen"/>
                <w:sz w:val="20"/>
                <w:szCs w:val="20"/>
              </w:rPr>
            </w:pPr>
          </w:p>
        </w:tc>
        <w:tc>
          <w:tcPr>
            <w:tcW w:w="3119" w:type="dxa"/>
            <w:tcBorders>
              <w:top w:val="single" w:sz="4" w:space="0" w:color="auto"/>
              <w:left w:val="single" w:sz="4" w:space="0" w:color="auto"/>
            </w:tcBorders>
            <w:shd w:val="clear" w:color="auto" w:fill="FFFFFF"/>
            <w:vAlign w:val="center"/>
          </w:tcPr>
          <w:p w14:paraId="13820FF8"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Ra &gt; 60</w:t>
            </w:r>
          </w:p>
        </w:tc>
        <w:tc>
          <w:tcPr>
            <w:tcW w:w="2268" w:type="dxa"/>
            <w:tcBorders>
              <w:top w:val="single" w:sz="4" w:space="0" w:color="auto"/>
              <w:left w:val="single" w:sz="4" w:space="0" w:color="auto"/>
            </w:tcBorders>
            <w:shd w:val="clear" w:color="auto" w:fill="FFFFFF"/>
            <w:vAlign w:val="center"/>
          </w:tcPr>
          <w:p w14:paraId="7FAB6AF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0,,75</w:t>
            </w:r>
          </w:p>
        </w:tc>
        <w:tc>
          <w:tcPr>
            <w:tcW w:w="1570" w:type="dxa"/>
            <w:tcBorders>
              <w:top w:val="single" w:sz="4" w:space="0" w:color="auto"/>
              <w:left w:val="single" w:sz="4" w:space="0" w:color="auto"/>
              <w:right w:val="single" w:sz="4" w:space="0" w:color="auto"/>
            </w:tcBorders>
            <w:shd w:val="clear" w:color="auto" w:fill="FFFFFF"/>
            <w:vAlign w:val="center"/>
          </w:tcPr>
          <w:p w14:paraId="6E329530"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0,,75</w:t>
            </w:r>
          </w:p>
        </w:tc>
      </w:tr>
      <w:tr w:rsidR="00CA27E3" w:rsidRPr="00D83000" w14:paraId="0562CD48" w14:textId="77777777" w:rsidTr="00696F04">
        <w:trPr>
          <w:jc w:val="center"/>
        </w:trPr>
        <w:tc>
          <w:tcPr>
            <w:tcW w:w="2422" w:type="dxa"/>
            <w:vMerge/>
            <w:tcBorders>
              <w:left w:val="single" w:sz="4" w:space="0" w:color="auto"/>
            </w:tcBorders>
            <w:shd w:val="clear" w:color="auto" w:fill="FFFFFF"/>
            <w:vAlign w:val="center"/>
          </w:tcPr>
          <w:p w14:paraId="74C1E5A4" w14:textId="77777777" w:rsidR="00CA27E3" w:rsidRPr="00D83000" w:rsidRDefault="00CA27E3" w:rsidP="003B4610">
            <w:pPr>
              <w:spacing w:after="120"/>
              <w:jc w:val="center"/>
              <w:rPr>
                <w:rFonts w:ascii="Sylfaen" w:hAnsi="Sylfaen" w:cs="Sylfaen"/>
                <w:sz w:val="20"/>
                <w:szCs w:val="20"/>
              </w:rPr>
            </w:pPr>
          </w:p>
        </w:tc>
        <w:tc>
          <w:tcPr>
            <w:tcW w:w="3119" w:type="dxa"/>
            <w:tcBorders>
              <w:top w:val="single" w:sz="4" w:space="0" w:color="auto"/>
              <w:left w:val="single" w:sz="4" w:space="0" w:color="auto"/>
            </w:tcBorders>
            <w:shd w:val="clear" w:color="auto" w:fill="FFFFFF"/>
            <w:vAlign w:val="center"/>
          </w:tcPr>
          <w:p w14:paraId="4D93A96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բոլոր արդիականացված լամպերը, որոնք նախատեսված են բարձր ճնշման սնդիկային լամպերի համար՝ գործարկումը կարգավորող ապարատներով շահագործման համար</w:t>
            </w:r>
          </w:p>
        </w:tc>
        <w:tc>
          <w:tcPr>
            <w:tcW w:w="2268" w:type="dxa"/>
            <w:tcBorders>
              <w:top w:val="single" w:sz="4" w:space="0" w:color="auto"/>
              <w:left w:val="single" w:sz="4" w:space="0" w:color="auto"/>
            </w:tcBorders>
            <w:shd w:val="clear" w:color="auto" w:fill="FFFFFF"/>
            <w:vAlign w:val="center"/>
          </w:tcPr>
          <w:p w14:paraId="34D7CDAF"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0,,75</w:t>
            </w:r>
          </w:p>
        </w:tc>
        <w:tc>
          <w:tcPr>
            <w:tcW w:w="1570" w:type="dxa"/>
            <w:tcBorders>
              <w:top w:val="single" w:sz="4" w:space="0" w:color="auto"/>
              <w:left w:val="single" w:sz="4" w:space="0" w:color="auto"/>
              <w:right w:val="single" w:sz="4" w:space="0" w:color="auto"/>
            </w:tcBorders>
            <w:shd w:val="clear" w:color="auto" w:fill="FFFFFF"/>
            <w:vAlign w:val="center"/>
          </w:tcPr>
          <w:p w14:paraId="55FA7B8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0,,80</w:t>
            </w:r>
          </w:p>
        </w:tc>
      </w:tr>
      <w:tr w:rsidR="00CA27E3" w:rsidRPr="00D83000" w14:paraId="6135FBEB" w14:textId="77777777" w:rsidTr="00696F04">
        <w:trPr>
          <w:jc w:val="center"/>
        </w:trPr>
        <w:tc>
          <w:tcPr>
            <w:tcW w:w="2422" w:type="dxa"/>
            <w:vMerge w:val="restart"/>
            <w:tcBorders>
              <w:top w:val="single" w:sz="4" w:space="0" w:color="auto"/>
              <w:left w:val="single" w:sz="4" w:space="0" w:color="auto"/>
            </w:tcBorders>
            <w:shd w:val="clear" w:color="auto" w:fill="FFFFFF"/>
            <w:vAlign w:val="center"/>
          </w:tcPr>
          <w:p w14:paraId="3A69FCB4"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Լ</w:t>
            </w:r>
            <w:r w:rsidRPr="00D83000">
              <w:rPr>
                <w:rFonts w:ascii="Sylfaen" w:hAnsi="Sylfaen"/>
                <w:sz w:val="20"/>
                <w:szCs w:val="20"/>
              </w:rPr>
              <w:t xml:space="preserve"> &gt; 75 Վտ LLMF եւ LSF՝ չափված 16 000 ժ շահագործման դեպքում</w:t>
            </w:r>
          </w:p>
        </w:tc>
        <w:tc>
          <w:tcPr>
            <w:tcW w:w="3119" w:type="dxa"/>
            <w:tcBorders>
              <w:top w:val="single" w:sz="4" w:space="0" w:color="auto"/>
              <w:left w:val="single" w:sz="4" w:space="0" w:color="auto"/>
            </w:tcBorders>
            <w:shd w:val="clear" w:color="auto" w:fill="FFFFFF"/>
            <w:vAlign w:val="center"/>
          </w:tcPr>
          <w:p w14:paraId="0F104C0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Ra ≤ 60</w:t>
            </w:r>
          </w:p>
        </w:tc>
        <w:tc>
          <w:tcPr>
            <w:tcW w:w="2268" w:type="dxa"/>
            <w:tcBorders>
              <w:top w:val="single" w:sz="4" w:space="0" w:color="auto"/>
              <w:left w:val="single" w:sz="4" w:space="0" w:color="auto"/>
            </w:tcBorders>
            <w:shd w:val="clear" w:color="auto" w:fill="FFFFFF"/>
            <w:vAlign w:val="center"/>
          </w:tcPr>
          <w:p w14:paraId="7F424D36"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0,85</w:t>
            </w:r>
          </w:p>
        </w:tc>
        <w:tc>
          <w:tcPr>
            <w:tcW w:w="1570" w:type="dxa"/>
            <w:tcBorders>
              <w:top w:val="single" w:sz="4" w:space="0" w:color="auto"/>
              <w:left w:val="single" w:sz="4" w:space="0" w:color="auto"/>
              <w:right w:val="single" w:sz="4" w:space="0" w:color="auto"/>
            </w:tcBorders>
            <w:shd w:val="clear" w:color="auto" w:fill="FFFFFF"/>
            <w:vAlign w:val="center"/>
          </w:tcPr>
          <w:p w14:paraId="2D98FD3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0,90</w:t>
            </w:r>
          </w:p>
        </w:tc>
      </w:tr>
      <w:tr w:rsidR="00CA27E3" w:rsidRPr="00D83000" w14:paraId="51FA5115" w14:textId="77777777" w:rsidTr="00696F04">
        <w:trPr>
          <w:jc w:val="center"/>
        </w:trPr>
        <w:tc>
          <w:tcPr>
            <w:tcW w:w="2422" w:type="dxa"/>
            <w:vMerge/>
            <w:tcBorders>
              <w:left w:val="single" w:sz="4" w:space="0" w:color="auto"/>
            </w:tcBorders>
            <w:shd w:val="clear" w:color="auto" w:fill="FFFFFF"/>
            <w:vAlign w:val="center"/>
          </w:tcPr>
          <w:p w14:paraId="6F0E4C45" w14:textId="77777777" w:rsidR="00CA27E3" w:rsidRPr="00D83000" w:rsidRDefault="00CA27E3" w:rsidP="003B4610">
            <w:pPr>
              <w:spacing w:after="120"/>
              <w:jc w:val="center"/>
              <w:rPr>
                <w:rFonts w:ascii="Sylfaen" w:hAnsi="Sylfaen" w:cs="Sylfaen"/>
                <w:sz w:val="20"/>
                <w:szCs w:val="20"/>
              </w:rPr>
            </w:pPr>
          </w:p>
        </w:tc>
        <w:tc>
          <w:tcPr>
            <w:tcW w:w="3119" w:type="dxa"/>
            <w:tcBorders>
              <w:top w:val="single" w:sz="4" w:space="0" w:color="auto"/>
              <w:left w:val="single" w:sz="4" w:space="0" w:color="auto"/>
            </w:tcBorders>
            <w:shd w:val="clear" w:color="auto" w:fill="FFFFFF"/>
            <w:vAlign w:val="center"/>
          </w:tcPr>
          <w:p w14:paraId="1290F478"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Ra &gt; 60</w:t>
            </w:r>
          </w:p>
        </w:tc>
        <w:tc>
          <w:tcPr>
            <w:tcW w:w="2268" w:type="dxa"/>
            <w:tcBorders>
              <w:top w:val="single" w:sz="4" w:space="0" w:color="auto"/>
              <w:left w:val="single" w:sz="4" w:space="0" w:color="auto"/>
            </w:tcBorders>
            <w:shd w:val="clear" w:color="auto" w:fill="FFFFFF"/>
            <w:vAlign w:val="center"/>
          </w:tcPr>
          <w:p w14:paraId="5DFF6DBE"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0,,70</w:t>
            </w:r>
          </w:p>
        </w:tc>
        <w:tc>
          <w:tcPr>
            <w:tcW w:w="1570" w:type="dxa"/>
            <w:tcBorders>
              <w:top w:val="single" w:sz="4" w:space="0" w:color="auto"/>
              <w:left w:val="single" w:sz="4" w:space="0" w:color="auto"/>
              <w:right w:val="single" w:sz="4" w:space="0" w:color="auto"/>
            </w:tcBorders>
            <w:shd w:val="clear" w:color="auto" w:fill="FFFFFF"/>
            <w:vAlign w:val="center"/>
          </w:tcPr>
          <w:p w14:paraId="2B21FD2C"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0,,65</w:t>
            </w:r>
          </w:p>
        </w:tc>
      </w:tr>
      <w:tr w:rsidR="00CA27E3" w:rsidRPr="00D83000" w14:paraId="2756C440" w14:textId="77777777" w:rsidTr="00696F04">
        <w:trPr>
          <w:jc w:val="center"/>
        </w:trPr>
        <w:tc>
          <w:tcPr>
            <w:tcW w:w="2422" w:type="dxa"/>
            <w:vMerge/>
            <w:tcBorders>
              <w:left w:val="single" w:sz="4" w:space="0" w:color="auto"/>
              <w:bottom w:val="single" w:sz="4" w:space="0" w:color="auto"/>
            </w:tcBorders>
            <w:shd w:val="clear" w:color="auto" w:fill="FFFFFF"/>
            <w:vAlign w:val="center"/>
          </w:tcPr>
          <w:p w14:paraId="0B057324" w14:textId="77777777" w:rsidR="00CA27E3" w:rsidRPr="00D83000" w:rsidRDefault="00CA27E3" w:rsidP="003B4610">
            <w:pPr>
              <w:spacing w:after="120"/>
              <w:jc w:val="center"/>
              <w:rPr>
                <w:rFonts w:ascii="Sylfaen" w:hAnsi="Sylfaen" w:cs="Sylfaen"/>
                <w:sz w:val="20"/>
                <w:szCs w:val="20"/>
              </w:rPr>
            </w:pPr>
          </w:p>
        </w:tc>
        <w:tc>
          <w:tcPr>
            <w:tcW w:w="3119" w:type="dxa"/>
            <w:tcBorders>
              <w:top w:val="single" w:sz="4" w:space="0" w:color="auto"/>
              <w:left w:val="single" w:sz="4" w:space="0" w:color="auto"/>
              <w:bottom w:val="single" w:sz="4" w:space="0" w:color="auto"/>
            </w:tcBorders>
            <w:shd w:val="clear" w:color="auto" w:fill="FFFFFF"/>
            <w:vAlign w:val="center"/>
          </w:tcPr>
          <w:p w14:paraId="6B1EDDC1"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բոլոր արդիականացված լամպերը, որոնք նախատեսված են բարձր ճնշման սնդիկային լամպերի համար՝ գործարկումը կարգավորող ապարատներով շահագործման համար</w:t>
            </w:r>
          </w:p>
        </w:tc>
        <w:tc>
          <w:tcPr>
            <w:tcW w:w="2268" w:type="dxa"/>
            <w:tcBorders>
              <w:top w:val="single" w:sz="4" w:space="0" w:color="auto"/>
              <w:left w:val="single" w:sz="4" w:space="0" w:color="auto"/>
              <w:bottom w:val="single" w:sz="4" w:space="0" w:color="auto"/>
            </w:tcBorders>
            <w:shd w:val="clear" w:color="auto" w:fill="FFFFFF"/>
            <w:vAlign w:val="center"/>
          </w:tcPr>
          <w:p w14:paraId="1A2E1F5D"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0,,75</w:t>
            </w:r>
          </w:p>
        </w:tc>
        <w:tc>
          <w:tcPr>
            <w:tcW w:w="1570" w:type="dxa"/>
            <w:tcBorders>
              <w:top w:val="single" w:sz="4" w:space="0" w:color="auto"/>
              <w:left w:val="single" w:sz="4" w:space="0" w:color="auto"/>
              <w:bottom w:val="single" w:sz="4" w:space="0" w:color="auto"/>
              <w:right w:val="single" w:sz="4" w:space="0" w:color="auto"/>
            </w:tcBorders>
            <w:shd w:val="clear" w:color="auto" w:fill="FFFFFF"/>
            <w:vAlign w:val="center"/>
          </w:tcPr>
          <w:p w14:paraId="7675FC23" w14:textId="77777777" w:rsidR="00CA27E3" w:rsidRPr="00D83000" w:rsidRDefault="00CA27E3" w:rsidP="003B461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0,,55</w:t>
            </w:r>
          </w:p>
        </w:tc>
      </w:tr>
    </w:tbl>
    <w:p w14:paraId="46B396B4" w14:textId="77777777" w:rsidR="00CA27E3" w:rsidRPr="00CA27E3" w:rsidRDefault="00CA27E3" w:rsidP="00CA27E3">
      <w:pPr>
        <w:spacing w:after="160" w:line="360" w:lineRule="auto"/>
        <w:rPr>
          <w:rFonts w:ascii="Sylfaen" w:hAnsi="Sylfaen" w:cs="Sylfaen"/>
        </w:rPr>
      </w:pPr>
    </w:p>
    <w:p w14:paraId="72A94DD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Մետաղահալոգենային լամպերը պետք է ունենան 15-րդ աղյուսակում բերված՝ լամպի լուսային հոսքի պահպանման գործակցի </w:t>
      </w:r>
      <w:r>
        <w:rPr>
          <w:rFonts w:ascii="Sylfaen" w:hAnsi="Sylfaen"/>
          <w:sz w:val="24"/>
          <w:szCs w:val="24"/>
        </w:rPr>
        <w:t>եւ</w:t>
      </w:r>
      <w:r w:rsidRPr="00CA27E3">
        <w:rPr>
          <w:rFonts w:ascii="Sylfaen" w:hAnsi="Sylfaen"/>
          <w:sz w:val="24"/>
          <w:szCs w:val="24"/>
        </w:rPr>
        <w:t xml:space="preserve"> լամպի ծառայության ժամկետի գործակցի արժեքներից ոչ ցածր արժեքներ։</w:t>
      </w:r>
    </w:p>
    <w:p w14:paraId="641CBBE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Նշված պահանջները պետք է կիրառվեն 2024 թվականի սեպտեմբերի 1-ից։</w:t>
      </w:r>
    </w:p>
    <w:p w14:paraId="3D624632" w14:textId="77777777" w:rsidR="00696F04" w:rsidRDefault="00696F04">
      <w:pPr>
        <w:rPr>
          <w:rFonts w:ascii="Sylfaen" w:eastAsia="Times New Roman" w:hAnsi="Sylfaen" w:cs="Sylfaen"/>
          <w:color w:val="auto"/>
        </w:rPr>
      </w:pPr>
      <w:r>
        <w:rPr>
          <w:rFonts w:ascii="Sylfaen" w:hAnsi="Sylfaen" w:cs="Sylfaen"/>
        </w:rPr>
        <w:br w:type="page"/>
      </w:r>
    </w:p>
    <w:p w14:paraId="7E2BB07F"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lastRenderedPageBreak/>
        <w:t>Աղյուսակ 15</w:t>
      </w:r>
    </w:p>
    <w:p w14:paraId="6D1EEB2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Կերամիկական այրիչով մետաղահալոգենային լամպերի համար՝ լամպի լուսային հոսքի պահպանման գործակցի </w:t>
      </w:r>
      <w:r>
        <w:rPr>
          <w:rFonts w:ascii="Sylfaen" w:hAnsi="Sylfaen"/>
          <w:sz w:val="24"/>
          <w:szCs w:val="24"/>
        </w:rPr>
        <w:t>եւ</w:t>
      </w:r>
      <w:r w:rsidRPr="00CA27E3">
        <w:rPr>
          <w:rFonts w:ascii="Sylfaen" w:hAnsi="Sylfaen"/>
          <w:sz w:val="24"/>
          <w:szCs w:val="24"/>
        </w:rPr>
        <w:t xml:space="preserve"> ծառայության ժամկետի գործակցի արժեքները </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3129"/>
        <w:gridCol w:w="2852"/>
        <w:gridCol w:w="3394"/>
      </w:tblGrid>
      <w:tr w:rsidR="00CA27E3" w:rsidRPr="00D83000" w14:paraId="6DE6B7DF" w14:textId="77777777" w:rsidTr="00696F04">
        <w:trPr>
          <w:jc w:val="center"/>
        </w:trPr>
        <w:tc>
          <w:tcPr>
            <w:tcW w:w="3129" w:type="dxa"/>
            <w:tcBorders>
              <w:top w:val="single" w:sz="4" w:space="0" w:color="auto"/>
              <w:left w:val="single" w:sz="4" w:space="0" w:color="auto"/>
            </w:tcBorders>
            <w:shd w:val="clear" w:color="auto" w:fill="FFFFFF"/>
            <w:vAlign w:val="center"/>
          </w:tcPr>
          <w:p w14:paraId="56300A1D" w14:textId="77777777" w:rsidR="00CA27E3" w:rsidRPr="00D83000" w:rsidRDefault="00CA27E3" w:rsidP="00696F04">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Շահագործման ժամանակը, ժ</w:t>
            </w:r>
          </w:p>
        </w:tc>
        <w:tc>
          <w:tcPr>
            <w:tcW w:w="2852" w:type="dxa"/>
            <w:tcBorders>
              <w:top w:val="single" w:sz="4" w:space="0" w:color="auto"/>
              <w:left w:val="single" w:sz="4" w:space="0" w:color="auto"/>
            </w:tcBorders>
            <w:shd w:val="clear" w:color="auto" w:fill="FFFFFF"/>
            <w:vAlign w:val="center"/>
          </w:tcPr>
          <w:p w14:paraId="0C00D760" w14:textId="77777777" w:rsidR="00CA27E3" w:rsidRPr="00D83000" w:rsidRDefault="00CA27E3" w:rsidP="00696F04">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լուսային հոսքի պահպանման գործակիցը</w:t>
            </w:r>
          </w:p>
        </w:tc>
        <w:tc>
          <w:tcPr>
            <w:tcW w:w="3394" w:type="dxa"/>
            <w:tcBorders>
              <w:top w:val="single" w:sz="4" w:space="0" w:color="auto"/>
              <w:left w:val="single" w:sz="4" w:space="0" w:color="auto"/>
              <w:right w:val="single" w:sz="4" w:space="0" w:color="auto"/>
            </w:tcBorders>
            <w:shd w:val="clear" w:color="auto" w:fill="FFFFFF"/>
            <w:vAlign w:val="center"/>
          </w:tcPr>
          <w:p w14:paraId="17533360" w14:textId="77777777" w:rsidR="00CA27E3" w:rsidRPr="00D83000" w:rsidRDefault="00CA27E3" w:rsidP="00696F04">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ծառայության ժամկետի գործակիցը</w:t>
            </w:r>
          </w:p>
        </w:tc>
      </w:tr>
      <w:tr w:rsidR="00CA27E3" w:rsidRPr="00D83000" w14:paraId="1593CBCD" w14:textId="77777777" w:rsidTr="00696F04">
        <w:trPr>
          <w:jc w:val="center"/>
        </w:trPr>
        <w:tc>
          <w:tcPr>
            <w:tcW w:w="3129" w:type="dxa"/>
            <w:tcBorders>
              <w:top w:val="single" w:sz="4" w:space="0" w:color="auto"/>
              <w:left w:val="single" w:sz="4" w:space="0" w:color="auto"/>
              <w:bottom w:val="single" w:sz="4" w:space="0" w:color="auto"/>
            </w:tcBorders>
            <w:shd w:val="clear" w:color="auto" w:fill="FFFFFF"/>
            <w:vAlign w:val="center"/>
          </w:tcPr>
          <w:p w14:paraId="4728E996" w14:textId="77777777" w:rsidR="00CA27E3" w:rsidRPr="00D83000" w:rsidRDefault="00CA27E3" w:rsidP="00696F04">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12,000</w:t>
            </w:r>
          </w:p>
        </w:tc>
        <w:tc>
          <w:tcPr>
            <w:tcW w:w="2852" w:type="dxa"/>
            <w:tcBorders>
              <w:top w:val="single" w:sz="4" w:space="0" w:color="auto"/>
              <w:left w:val="single" w:sz="4" w:space="0" w:color="auto"/>
              <w:bottom w:val="single" w:sz="4" w:space="0" w:color="auto"/>
            </w:tcBorders>
            <w:shd w:val="clear" w:color="auto" w:fill="FFFFFF"/>
            <w:vAlign w:val="center"/>
          </w:tcPr>
          <w:p w14:paraId="0795F7D6" w14:textId="77777777" w:rsidR="00CA27E3" w:rsidRPr="00D83000" w:rsidRDefault="00CA27E3" w:rsidP="00696F04">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0,80</w:t>
            </w:r>
          </w:p>
        </w:tc>
        <w:tc>
          <w:tcPr>
            <w:tcW w:w="3394" w:type="dxa"/>
            <w:tcBorders>
              <w:top w:val="single" w:sz="4" w:space="0" w:color="auto"/>
              <w:left w:val="single" w:sz="4" w:space="0" w:color="auto"/>
              <w:bottom w:val="single" w:sz="4" w:space="0" w:color="auto"/>
              <w:right w:val="single" w:sz="4" w:space="0" w:color="auto"/>
            </w:tcBorders>
            <w:shd w:val="clear" w:color="auto" w:fill="FFFFFF"/>
            <w:vAlign w:val="center"/>
          </w:tcPr>
          <w:p w14:paraId="1F518624" w14:textId="77777777" w:rsidR="00CA27E3" w:rsidRPr="00D83000" w:rsidRDefault="00CA27E3" w:rsidP="00696F04">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&gt; 0,80</w:t>
            </w:r>
          </w:p>
        </w:tc>
      </w:tr>
    </w:tbl>
    <w:p w14:paraId="61FE3E34" w14:textId="77777777" w:rsidR="00CA27E3" w:rsidRPr="00CA27E3" w:rsidRDefault="00CA27E3" w:rsidP="00CA27E3">
      <w:pPr>
        <w:spacing w:after="160" w:line="360" w:lineRule="auto"/>
        <w:rPr>
          <w:rFonts w:ascii="Sylfaen" w:hAnsi="Sylfaen" w:cs="Sylfaen"/>
        </w:rPr>
      </w:pPr>
    </w:p>
    <w:p w14:paraId="71A53CB6" w14:textId="77777777" w:rsidR="00CA27E3" w:rsidRPr="00CA27E3" w:rsidRDefault="00CA27E3" w:rsidP="005C50BB">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 xml:space="preserve">3. Լյումինեսցենտային լամպերի </w:t>
      </w:r>
      <w:r>
        <w:rPr>
          <w:rFonts w:ascii="Sylfaen" w:hAnsi="Sylfaen"/>
          <w:sz w:val="24"/>
          <w:szCs w:val="24"/>
        </w:rPr>
        <w:t>եւ</w:t>
      </w:r>
      <w:r w:rsidRPr="00CA27E3">
        <w:rPr>
          <w:rFonts w:ascii="Sylfaen" w:hAnsi="Sylfaen"/>
          <w:sz w:val="24"/>
          <w:szCs w:val="24"/>
        </w:rPr>
        <w:t xml:space="preserve"> բարձր ճնշման գազապարպումային լամպերի համար չներկառուցված՝ գործարկումը կարգավորող ապարատների լուսատացքին ներկայացվող պահանջներ</w:t>
      </w:r>
    </w:p>
    <w:p w14:paraId="6B16FA91"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5C50BB" w:rsidRPr="005C50BB">
        <w:rPr>
          <w:rFonts w:ascii="Sylfaen" w:hAnsi="Sylfaen"/>
          <w:sz w:val="24"/>
          <w:szCs w:val="24"/>
        </w:rPr>
        <w:tab/>
      </w:r>
      <w:r w:rsidRPr="00CA27E3">
        <w:rPr>
          <w:rFonts w:ascii="Sylfaen" w:hAnsi="Sylfaen"/>
          <w:sz w:val="24"/>
          <w:szCs w:val="24"/>
        </w:rPr>
        <w:t>Լայն ընդգրկույթով՝ գործարկումը կարգավորող ապարատները (որոնք թույլ են տալիս աշխատել տարբեր հզորություններով լամպերի հետ) պետք է համապատասխանեն յուրաքանչյուր հզորության համար նախատեսված պահանջներին, որով դրանք կարող են շահագործվել։</w:t>
      </w:r>
    </w:p>
    <w:p w14:paraId="6B976E9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Արգելվում է D էներգետիկ արդյունավետության դասի ՝ մեկ </w:t>
      </w:r>
      <w:r>
        <w:rPr>
          <w:rFonts w:ascii="Sylfaen" w:hAnsi="Sylfaen"/>
          <w:sz w:val="24"/>
          <w:szCs w:val="24"/>
        </w:rPr>
        <w:t>եւ</w:t>
      </w:r>
      <w:r w:rsidRPr="00CA27E3">
        <w:rPr>
          <w:rFonts w:ascii="Sylfaen" w:hAnsi="Sylfaen"/>
          <w:sz w:val="24"/>
          <w:szCs w:val="24"/>
        </w:rPr>
        <w:t xml:space="preserve"> երկու լամպակոթով լյումինեսցենտային լամպերի համար՝ գործարկումը կարգավորող էլեկտրամագնիսական ապարատների շրջանառությունը շուկայում 2022 թվականի սեպտեմբերի 1-ից։</w:t>
      </w:r>
    </w:p>
    <w:p w14:paraId="2B7B19B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16-րդ աղյուսակով նախատեսված՝ գործարկումը կարգավորող ապարատները պետք է ունենան B2-ից ոչ ցածր էներգետիկ արդյունավետության դաս, 17-րդ աղյուսակով նախատեսված՝ գործարկումը կարգավորող ապարատները՝ A3-ից ոչ ցածր դաս, 18-րդ աղյուսակով նախատեսված՝ գործարկումը կարգավորող ապարատները՝ A1-ից ոչ ցածր դաս։</w:t>
      </w:r>
    </w:p>
    <w:p w14:paraId="2C970AA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Շահագործվող լամպի լուսային հզորության 25 %-ի դեպքում գործարկումը կարգավորող ապարատի շղթայի մուտքային հզորությունը (Р</w:t>
      </w:r>
      <w:r w:rsidRPr="00CA27E3">
        <w:rPr>
          <w:rFonts w:ascii="Sylfaen" w:hAnsi="Sylfaen"/>
          <w:sz w:val="24"/>
          <w:szCs w:val="24"/>
          <w:vertAlign w:val="subscript"/>
        </w:rPr>
        <w:t>ՄԻԱՑ</w:t>
      </w:r>
      <w:r w:rsidRPr="00CA27E3">
        <w:rPr>
          <w:rFonts w:ascii="Sylfaen" w:hAnsi="Sylfaen"/>
          <w:sz w:val="24"/>
          <w:szCs w:val="24"/>
        </w:rPr>
        <w:t>) չպետք է կազմի ավելի քան՝</w:t>
      </w:r>
    </w:p>
    <w:p w14:paraId="39807BD7"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ՄԻԱՑ</w:t>
      </w:r>
      <w:r w:rsidRPr="00CA27E3">
        <w:rPr>
          <w:rFonts w:ascii="Sylfaen" w:hAnsi="Sylfaen"/>
          <w:sz w:val="24"/>
          <w:szCs w:val="24"/>
        </w:rPr>
        <w:t xml:space="preserve"> &lt; 50 % × P</w:t>
      </w:r>
      <w:r w:rsidRPr="00CA27E3">
        <w:rPr>
          <w:rFonts w:ascii="Sylfaen" w:hAnsi="Sylfaen"/>
          <w:sz w:val="24"/>
          <w:szCs w:val="24"/>
          <w:vertAlign w:val="subscript"/>
        </w:rPr>
        <w:t>լամպի հաշվ.</w:t>
      </w:r>
      <w:r w:rsidRPr="00CA27E3">
        <w:rPr>
          <w:rFonts w:ascii="Sylfaen" w:hAnsi="Sylfaen"/>
          <w:sz w:val="24"/>
          <w:szCs w:val="24"/>
        </w:rPr>
        <w:t xml:space="preserve"> / η</w:t>
      </w:r>
      <w:r w:rsidRPr="00CA27E3">
        <w:rPr>
          <w:rFonts w:ascii="Sylfaen" w:hAnsi="Sylfaen"/>
          <w:sz w:val="24"/>
          <w:szCs w:val="24"/>
          <w:vertAlign w:val="subscript"/>
        </w:rPr>
        <w:t>ԳԿԱ</w:t>
      </w:r>
      <w:r w:rsidRPr="00CA27E3">
        <w:rPr>
          <w:rFonts w:ascii="Sylfaen" w:hAnsi="Sylfaen"/>
          <w:sz w:val="24"/>
          <w:szCs w:val="24"/>
        </w:rPr>
        <w:t>,</w:t>
      </w:r>
    </w:p>
    <w:p w14:paraId="111BB26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որտեղ՝</w:t>
      </w:r>
    </w:p>
    <w:p w14:paraId="6E982EA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լամպի հաշվ.</w:t>
      </w:r>
      <w:r w:rsidRPr="00CA27E3">
        <w:rPr>
          <w:rFonts w:ascii="Sylfaen" w:hAnsi="Sylfaen"/>
          <w:sz w:val="24"/>
          <w:szCs w:val="24"/>
        </w:rPr>
        <w:t xml:space="preserve"> ՝լամպի հզորության հաշվարկային արժեքի համար,</w:t>
      </w:r>
    </w:p>
    <w:p w14:paraId="5F43761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η</w:t>
      </w:r>
      <w:r w:rsidRPr="00CA27E3">
        <w:rPr>
          <w:rFonts w:ascii="Sylfaen" w:hAnsi="Sylfaen"/>
          <w:sz w:val="24"/>
          <w:szCs w:val="24"/>
          <w:vertAlign w:val="subscript"/>
        </w:rPr>
        <w:t>ԳԿԱ</w:t>
      </w:r>
      <w:r w:rsidRPr="00CA27E3">
        <w:rPr>
          <w:rFonts w:ascii="Sylfaen" w:hAnsi="Sylfaen"/>
          <w:sz w:val="24"/>
          <w:szCs w:val="24"/>
        </w:rPr>
        <w:t>՝ համապատասխան դասի էներգետիկ արդյունավետության ստորին սահմանային արժեքի համար։</w:t>
      </w:r>
    </w:p>
    <w:p w14:paraId="3A16491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Լյումինեսցենտային լամպերի համար՝ գործարկումը կարգավորող ապարատների էներգասպառումը չպետք է գերազանցի 1,0 Վտ-ը, եթե շահագործվող լամպերը շահագործման նորմալ պայմաններում չեն ճառագայթում որ</w:t>
      </w:r>
      <w:r>
        <w:rPr>
          <w:rFonts w:ascii="Sylfaen" w:hAnsi="Sylfaen"/>
          <w:sz w:val="24"/>
          <w:szCs w:val="24"/>
        </w:rPr>
        <w:t>եւ</w:t>
      </w:r>
      <w:r w:rsidRPr="00CA27E3">
        <w:rPr>
          <w:rFonts w:ascii="Sylfaen" w:hAnsi="Sylfaen"/>
          <w:sz w:val="24"/>
          <w:szCs w:val="24"/>
        </w:rPr>
        <w:t xml:space="preserve">է լույս </w:t>
      </w:r>
      <w:r>
        <w:rPr>
          <w:rFonts w:ascii="Sylfaen" w:hAnsi="Sylfaen"/>
          <w:sz w:val="24"/>
          <w:szCs w:val="24"/>
        </w:rPr>
        <w:t>եւ</w:t>
      </w:r>
      <w:r w:rsidRPr="00CA27E3">
        <w:rPr>
          <w:rFonts w:ascii="Sylfaen" w:hAnsi="Sylfaen"/>
          <w:sz w:val="24"/>
          <w:szCs w:val="24"/>
        </w:rPr>
        <w:t xml:space="preserve"> մյուս հնարավոր միացված կառուցվածքային տարրերը (ցանցային միացումներ, սենսորներ </w:t>
      </w:r>
      <w:r>
        <w:rPr>
          <w:rFonts w:ascii="Sylfaen" w:hAnsi="Sylfaen"/>
          <w:sz w:val="24"/>
          <w:szCs w:val="24"/>
        </w:rPr>
        <w:t>եւ</w:t>
      </w:r>
      <w:r w:rsidRPr="00CA27E3">
        <w:rPr>
          <w:rFonts w:ascii="Sylfaen" w:hAnsi="Sylfaen"/>
          <w:sz w:val="24"/>
          <w:szCs w:val="24"/>
        </w:rPr>
        <w:t xml:space="preserve"> այլն) անջատված են։ Եթե անջատումն անհնար է, ապա անհրաժեշտ է չափել դրանց հզորությունը </w:t>
      </w:r>
      <w:r>
        <w:rPr>
          <w:rFonts w:ascii="Sylfaen" w:hAnsi="Sylfaen"/>
          <w:sz w:val="24"/>
          <w:szCs w:val="24"/>
        </w:rPr>
        <w:t>եւ</w:t>
      </w:r>
      <w:r w:rsidRPr="00CA27E3">
        <w:rPr>
          <w:rFonts w:ascii="Sylfaen" w:hAnsi="Sylfaen"/>
          <w:sz w:val="24"/>
          <w:szCs w:val="24"/>
        </w:rPr>
        <w:t xml:space="preserve"> հանել արդյունքից։</w:t>
      </w:r>
    </w:p>
    <w:p w14:paraId="03FDDC8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Բարձր ճնշման գազապարպումային լամպերի համար գործարկումը կարգավորող ապարատները պետք է ունենան 19-րդ աղյուսակում բերված՝ ՕԳԳ-ի արժեքներից ոչ ցածր արժեքներ։</w:t>
      </w:r>
    </w:p>
    <w:p w14:paraId="3D030316"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p>
    <w:p w14:paraId="379A321E"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t>Աղյուսակ 16</w:t>
      </w:r>
    </w:p>
    <w:p w14:paraId="31817B8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Լյումինեսցենտային լամպերի համար չկարգավորվող՝ գործարկումը կարգավորող ապարատների էներգետիկ արդյունավետության դասերը</w:t>
      </w:r>
    </w:p>
    <w:tbl>
      <w:tblPr>
        <w:tblOverlap w:val="never"/>
        <w:tblW w:w="9649" w:type="dxa"/>
        <w:jc w:val="center"/>
        <w:tblLayout w:type="fixed"/>
        <w:tblCellMar>
          <w:left w:w="10" w:type="dxa"/>
          <w:right w:w="10" w:type="dxa"/>
        </w:tblCellMar>
        <w:tblLook w:val="0020" w:firstRow="1" w:lastRow="0" w:firstColumn="0" w:lastColumn="0" w:noHBand="0" w:noVBand="0"/>
      </w:tblPr>
      <w:tblGrid>
        <w:gridCol w:w="993"/>
        <w:gridCol w:w="1177"/>
        <w:gridCol w:w="2288"/>
        <w:gridCol w:w="803"/>
        <w:gridCol w:w="504"/>
        <w:gridCol w:w="778"/>
        <w:gridCol w:w="773"/>
        <w:gridCol w:w="773"/>
        <w:gridCol w:w="773"/>
        <w:gridCol w:w="787"/>
      </w:tblGrid>
      <w:tr w:rsidR="00CA27E3" w:rsidRPr="00D83000" w14:paraId="5D015DD3" w14:textId="77777777" w:rsidTr="00696F04">
        <w:trPr>
          <w:tblHeader/>
          <w:jc w:val="center"/>
        </w:trPr>
        <w:tc>
          <w:tcPr>
            <w:tcW w:w="5765" w:type="dxa"/>
            <w:gridSpan w:val="5"/>
            <w:vMerge w:val="restart"/>
            <w:tcBorders>
              <w:top w:val="single" w:sz="4" w:space="0" w:color="auto"/>
              <w:left w:val="single" w:sz="4" w:space="0" w:color="auto"/>
            </w:tcBorders>
            <w:shd w:val="clear" w:color="auto" w:fill="FFFFFF"/>
            <w:vAlign w:val="center"/>
          </w:tcPr>
          <w:p w14:paraId="4F6D6ABF"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Լամպի տեխնիկական բնութագրերը</w:t>
            </w:r>
          </w:p>
        </w:tc>
        <w:tc>
          <w:tcPr>
            <w:tcW w:w="3884" w:type="dxa"/>
            <w:gridSpan w:val="5"/>
            <w:tcBorders>
              <w:top w:val="single" w:sz="4" w:space="0" w:color="auto"/>
              <w:left w:val="single" w:sz="4" w:space="0" w:color="auto"/>
              <w:right w:val="single" w:sz="4" w:space="0" w:color="auto"/>
            </w:tcBorders>
            <w:shd w:val="clear" w:color="auto" w:fill="FFFFFF"/>
            <w:vAlign w:val="bottom"/>
          </w:tcPr>
          <w:p w14:paraId="33A506C4"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Գործարկումը կարգավորող ապարատի ՕԳԳ-ն (P</w:t>
            </w:r>
            <w:r w:rsidRPr="00D83000">
              <w:rPr>
                <w:rFonts w:ascii="Sylfaen" w:hAnsi="Sylfaen"/>
                <w:sz w:val="16"/>
                <w:szCs w:val="16"/>
                <w:vertAlign w:val="subscript"/>
              </w:rPr>
              <w:t>Լ</w:t>
            </w:r>
            <w:r w:rsidRPr="00D83000">
              <w:rPr>
                <w:rFonts w:ascii="Sylfaen" w:hAnsi="Sylfaen"/>
                <w:sz w:val="16"/>
                <w:szCs w:val="16"/>
              </w:rPr>
              <w:t>/P</w:t>
            </w:r>
            <w:r w:rsidRPr="00D83000">
              <w:rPr>
                <w:rFonts w:ascii="Sylfaen" w:hAnsi="Sylfaen"/>
                <w:sz w:val="16"/>
                <w:szCs w:val="16"/>
                <w:vertAlign w:val="subscript"/>
              </w:rPr>
              <w:t>մուտք.</w:t>
            </w:r>
            <w:r w:rsidRPr="00D83000">
              <w:rPr>
                <w:rFonts w:ascii="Sylfaen" w:hAnsi="Sylfaen"/>
                <w:sz w:val="16"/>
                <w:szCs w:val="16"/>
              </w:rPr>
              <w:t>)</w:t>
            </w:r>
          </w:p>
        </w:tc>
      </w:tr>
      <w:tr w:rsidR="00CA27E3" w:rsidRPr="00D83000" w14:paraId="1C1B4DE1" w14:textId="77777777" w:rsidTr="00696F04">
        <w:trPr>
          <w:tblHeader/>
          <w:jc w:val="center"/>
        </w:trPr>
        <w:tc>
          <w:tcPr>
            <w:tcW w:w="5765" w:type="dxa"/>
            <w:gridSpan w:val="5"/>
            <w:vMerge/>
            <w:tcBorders>
              <w:left w:val="single" w:sz="4" w:space="0" w:color="auto"/>
            </w:tcBorders>
            <w:shd w:val="clear" w:color="auto" w:fill="FFFFFF"/>
            <w:vAlign w:val="center"/>
          </w:tcPr>
          <w:p w14:paraId="18795294" w14:textId="77777777" w:rsidR="00CA27E3" w:rsidRPr="00D83000" w:rsidRDefault="00CA27E3" w:rsidP="00D83000">
            <w:pPr>
              <w:spacing w:after="120"/>
              <w:rPr>
                <w:rFonts w:ascii="Sylfaen" w:hAnsi="Sylfaen" w:cs="Sylfaen"/>
                <w:sz w:val="16"/>
                <w:szCs w:val="16"/>
              </w:rPr>
            </w:pPr>
          </w:p>
        </w:tc>
        <w:tc>
          <w:tcPr>
            <w:tcW w:w="3884" w:type="dxa"/>
            <w:gridSpan w:val="5"/>
            <w:tcBorders>
              <w:top w:val="single" w:sz="4" w:space="0" w:color="auto"/>
              <w:left w:val="single" w:sz="4" w:space="0" w:color="auto"/>
              <w:right w:val="single" w:sz="4" w:space="0" w:color="auto"/>
            </w:tcBorders>
            <w:shd w:val="clear" w:color="auto" w:fill="FFFFFF"/>
            <w:vAlign w:val="bottom"/>
          </w:tcPr>
          <w:p w14:paraId="0161B2F7"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չկարգավորվող</w:t>
            </w:r>
          </w:p>
        </w:tc>
      </w:tr>
      <w:tr w:rsidR="00CA27E3" w:rsidRPr="00D83000" w14:paraId="2EC8442F" w14:textId="77777777" w:rsidTr="00696F04">
        <w:trPr>
          <w:tblHeader/>
          <w:jc w:val="center"/>
        </w:trPr>
        <w:tc>
          <w:tcPr>
            <w:tcW w:w="993" w:type="dxa"/>
            <w:vMerge w:val="restart"/>
            <w:tcBorders>
              <w:top w:val="single" w:sz="4" w:space="0" w:color="auto"/>
              <w:left w:val="single" w:sz="4" w:space="0" w:color="auto"/>
            </w:tcBorders>
            <w:shd w:val="clear" w:color="auto" w:fill="FFFFFF"/>
            <w:vAlign w:val="center"/>
          </w:tcPr>
          <w:p w14:paraId="5E87614B"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Լամպի տիպը</w:t>
            </w:r>
          </w:p>
        </w:tc>
        <w:tc>
          <w:tcPr>
            <w:tcW w:w="1177" w:type="dxa"/>
            <w:vMerge w:val="restart"/>
            <w:tcBorders>
              <w:top w:val="single" w:sz="4" w:space="0" w:color="auto"/>
              <w:left w:val="single" w:sz="4" w:space="0" w:color="auto"/>
            </w:tcBorders>
            <w:shd w:val="clear" w:color="auto" w:fill="FFFFFF"/>
            <w:vAlign w:val="center"/>
          </w:tcPr>
          <w:p w14:paraId="0AAC5433"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Անվանական հզորությունը</w:t>
            </w:r>
          </w:p>
        </w:tc>
        <w:tc>
          <w:tcPr>
            <w:tcW w:w="2288" w:type="dxa"/>
            <w:vMerge w:val="restart"/>
            <w:tcBorders>
              <w:top w:val="single" w:sz="4" w:space="0" w:color="auto"/>
              <w:left w:val="single" w:sz="4" w:space="0" w:color="auto"/>
            </w:tcBorders>
            <w:shd w:val="clear" w:color="auto" w:fill="FFFFFF"/>
            <w:vAlign w:val="center"/>
          </w:tcPr>
          <w:p w14:paraId="1026F183"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ILCOS-ծածկագիրը</w:t>
            </w:r>
          </w:p>
        </w:tc>
        <w:tc>
          <w:tcPr>
            <w:tcW w:w="1307" w:type="dxa"/>
            <w:gridSpan w:val="2"/>
            <w:tcBorders>
              <w:top w:val="single" w:sz="4" w:space="0" w:color="auto"/>
              <w:left w:val="single" w:sz="4" w:space="0" w:color="auto"/>
            </w:tcBorders>
            <w:shd w:val="clear" w:color="auto" w:fill="FFFFFF"/>
            <w:vAlign w:val="bottom"/>
          </w:tcPr>
          <w:p w14:paraId="410BDEEB"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Հաշվարկային /ստանդարտ հզորությունը</w:t>
            </w:r>
          </w:p>
        </w:tc>
        <w:tc>
          <w:tcPr>
            <w:tcW w:w="778" w:type="dxa"/>
            <w:vMerge w:val="restart"/>
            <w:tcBorders>
              <w:top w:val="single" w:sz="4" w:space="0" w:color="auto"/>
              <w:left w:val="single" w:sz="4" w:space="0" w:color="auto"/>
            </w:tcBorders>
            <w:shd w:val="clear" w:color="auto" w:fill="FFFFFF"/>
            <w:vAlign w:val="center"/>
          </w:tcPr>
          <w:p w14:paraId="7F73BD4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A2</w:t>
            </w:r>
          </w:p>
          <w:p w14:paraId="163139D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BAT</w:t>
            </w:r>
          </w:p>
        </w:tc>
        <w:tc>
          <w:tcPr>
            <w:tcW w:w="773" w:type="dxa"/>
            <w:vMerge w:val="restart"/>
            <w:tcBorders>
              <w:top w:val="single" w:sz="4" w:space="0" w:color="auto"/>
              <w:left w:val="single" w:sz="4" w:space="0" w:color="auto"/>
            </w:tcBorders>
            <w:shd w:val="clear" w:color="auto" w:fill="FFFFFF"/>
            <w:vAlign w:val="center"/>
          </w:tcPr>
          <w:p w14:paraId="7983C57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A2</w:t>
            </w:r>
          </w:p>
        </w:tc>
        <w:tc>
          <w:tcPr>
            <w:tcW w:w="773" w:type="dxa"/>
            <w:vMerge w:val="restart"/>
            <w:tcBorders>
              <w:top w:val="single" w:sz="4" w:space="0" w:color="auto"/>
              <w:left w:val="single" w:sz="4" w:space="0" w:color="auto"/>
            </w:tcBorders>
            <w:shd w:val="clear" w:color="auto" w:fill="FFFFFF"/>
            <w:vAlign w:val="center"/>
          </w:tcPr>
          <w:p w14:paraId="4F3C3FF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A3</w:t>
            </w:r>
          </w:p>
        </w:tc>
        <w:tc>
          <w:tcPr>
            <w:tcW w:w="773" w:type="dxa"/>
            <w:vMerge w:val="restart"/>
            <w:tcBorders>
              <w:top w:val="single" w:sz="4" w:space="0" w:color="auto"/>
              <w:left w:val="single" w:sz="4" w:space="0" w:color="auto"/>
            </w:tcBorders>
            <w:shd w:val="clear" w:color="auto" w:fill="FFFFFF"/>
            <w:vAlign w:val="center"/>
          </w:tcPr>
          <w:p w14:paraId="556E2AB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B1</w:t>
            </w:r>
          </w:p>
        </w:tc>
        <w:tc>
          <w:tcPr>
            <w:tcW w:w="787" w:type="dxa"/>
            <w:vMerge w:val="restart"/>
            <w:tcBorders>
              <w:top w:val="single" w:sz="4" w:space="0" w:color="auto"/>
              <w:left w:val="single" w:sz="4" w:space="0" w:color="auto"/>
              <w:right w:val="single" w:sz="4" w:space="0" w:color="auto"/>
            </w:tcBorders>
            <w:shd w:val="clear" w:color="auto" w:fill="FFFFFF"/>
            <w:vAlign w:val="center"/>
          </w:tcPr>
          <w:p w14:paraId="7E69755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B2</w:t>
            </w:r>
          </w:p>
        </w:tc>
      </w:tr>
      <w:tr w:rsidR="00CA27E3" w:rsidRPr="00D83000" w14:paraId="33520433" w14:textId="77777777" w:rsidTr="00696F04">
        <w:trPr>
          <w:tblHeader/>
          <w:jc w:val="center"/>
        </w:trPr>
        <w:tc>
          <w:tcPr>
            <w:tcW w:w="993" w:type="dxa"/>
            <w:vMerge/>
            <w:tcBorders>
              <w:left w:val="single" w:sz="4" w:space="0" w:color="auto"/>
            </w:tcBorders>
            <w:shd w:val="clear" w:color="auto" w:fill="FFFFFF"/>
            <w:vAlign w:val="center"/>
          </w:tcPr>
          <w:p w14:paraId="53EC78FE" w14:textId="77777777" w:rsidR="00CA27E3" w:rsidRPr="00D83000" w:rsidRDefault="00CA27E3" w:rsidP="00D83000">
            <w:pPr>
              <w:spacing w:after="120"/>
              <w:rPr>
                <w:rFonts w:ascii="Sylfaen" w:hAnsi="Sylfaen" w:cs="Sylfaen"/>
                <w:sz w:val="16"/>
                <w:szCs w:val="16"/>
              </w:rPr>
            </w:pPr>
          </w:p>
        </w:tc>
        <w:tc>
          <w:tcPr>
            <w:tcW w:w="1177" w:type="dxa"/>
            <w:vMerge/>
            <w:tcBorders>
              <w:left w:val="single" w:sz="4" w:space="0" w:color="auto"/>
            </w:tcBorders>
            <w:shd w:val="clear" w:color="auto" w:fill="FFFFFF"/>
            <w:vAlign w:val="center"/>
          </w:tcPr>
          <w:p w14:paraId="31EA91C6" w14:textId="77777777" w:rsidR="00CA27E3" w:rsidRPr="00D83000" w:rsidRDefault="00CA27E3" w:rsidP="00D83000">
            <w:pPr>
              <w:spacing w:after="120"/>
              <w:rPr>
                <w:rFonts w:ascii="Sylfaen" w:hAnsi="Sylfaen" w:cs="Sylfaen"/>
                <w:sz w:val="16"/>
                <w:szCs w:val="16"/>
              </w:rPr>
            </w:pPr>
          </w:p>
        </w:tc>
        <w:tc>
          <w:tcPr>
            <w:tcW w:w="2288" w:type="dxa"/>
            <w:vMerge/>
            <w:tcBorders>
              <w:left w:val="single" w:sz="4" w:space="0" w:color="auto"/>
            </w:tcBorders>
            <w:shd w:val="clear" w:color="auto" w:fill="FFFFFF"/>
            <w:vAlign w:val="center"/>
          </w:tcPr>
          <w:p w14:paraId="0EE7292E" w14:textId="77777777" w:rsidR="00CA27E3" w:rsidRPr="00D83000" w:rsidRDefault="00CA27E3" w:rsidP="00D83000">
            <w:pPr>
              <w:spacing w:after="120"/>
              <w:rPr>
                <w:rFonts w:ascii="Sylfaen" w:hAnsi="Sylfaen" w:cs="Sylfaen"/>
                <w:sz w:val="16"/>
                <w:szCs w:val="16"/>
              </w:rPr>
            </w:pPr>
          </w:p>
        </w:tc>
        <w:tc>
          <w:tcPr>
            <w:tcW w:w="803" w:type="dxa"/>
            <w:tcBorders>
              <w:top w:val="single" w:sz="4" w:space="0" w:color="auto"/>
              <w:left w:val="single" w:sz="4" w:space="0" w:color="auto"/>
            </w:tcBorders>
            <w:shd w:val="clear" w:color="auto" w:fill="FFFFFF"/>
            <w:vAlign w:val="bottom"/>
          </w:tcPr>
          <w:p w14:paraId="552391CA"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50 Հց</w:t>
            </w:r>
          </w:p>
        </w:tc>
        <w:tc>
          <w:tcPr>
            <w:tcW w:w="504" w:type="dxa"/>
            <w:tcBorders>
              <w:top w:val="single" w:sz="4" w:space="0" w:color="auto"/>
              <w:left w:val="single" w:sz="4" w:space="0" w:color="auto"/>
            </w:tcBorders>
            <w:shd w:val="clear" w:color="auto" w:fill="FFFFFF"/>
            <w:vAlign w:val="center"/>
          </w:tcPr>
          <w:p w14:paraId="509CE88B"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ԲՀ</w:t>
            </w:r>
          </w:p>
        </w:tc>
        <w:tc>
          <w:tcPr>
            <w:tcW w:w="778" w:type="dxa"/>
            <w:vMerge/>
            <w:tcBorders>
              <w:left w:val="single" w:sz="4" w:space="0" w:color="auto"/>
            </w:tcBorders>
            <w:shd w:val="clear" w:color="auto" w:fill="FFFFFF"/>
            <w:vAlign w:val="center"/>
          </w:tcPr>
          <w:p w14:paraId="2E92077F" w14:textId="77777777" w:rsidR="00CA27E3" w:rsidRPr="00D83000" w:rsidRDefault="00CA27E3" w:rsidP="00696F04">
            <w:pPr>
              <w:spacing w:after="120"/>
              <w:jc w:val="center"/>
              <w:rPr>
                <w:rFonts w:ascii="Sylfaen" w:hAnsi="Sylfaen" w:cs="Sylfaen"/>
                <w:sz w:val="16"/>
                <w:szCs w:val="16"/>
              </w:rPr>
            </w:pPr>
          </w:p>
        </w:tc>
        <w:tc>
          <w:tcPr>
            <w:tcW w:w="773" w:type="dxa"/>
            <w:vMerge/>
            <w:tcBorders>
              <w:left w:val="single" w:sz="4" w:space="0" w:color="auto"/>
            </w:tcBorders>
            <w:shd w:val="clear" w:color="auto" w:fill="FFFFFF"/>
            <w:vAlign w:val="center"/>
          </w:tcPr>
          <w:p w14:paraId="3336554D" w14:textId="77777777" w:rsidR="00CA27E3" w:rsidRPr="00D83000" w:rsidRDefault="00CA27E3" w:rsidP="00696F04">
            <w:pPr>
              <w:spacing w:after="120"/>
              <w:jc w:val="center"/>
              <w:rPr>
                <w:rFonts w:ascii="Sylfaen" w:hAnsi="Sylfaen" w:cs="Sylfaen"/>
                <w:sz w:val="16"/>
                <w:szCs w:val="16"/>
              </w:rPr>
            </w:pPr>
          </w:p>
        </w:tc>
        <w:tc>
          <w:tcPr>
            <w:tcW w:w="773" w:type="dxa"/>
            <w:vMerge/>
            <w:tcBorders>
              <w:left w:val="single" w:sz="4" w:space="0" w:color="auto"/>
            </w:tcBorders>
            <w:shd w:val="clear" w:color="auto" w:fill="FFFFFF"/>
            <w:vAlign w:val="center"/>
          </w:tcPr>
          <w:p w14:paraId="46732D5C" w14:textId="77777777" w:rsidR="00CA27E3" w:rsidRPr="00D83000" w:rsidRDefault="00CA27E3" w:rsidP="00696F04">
            <w:pPr>
              <w:spacing w:after="120"/>
              <w:jc w:val="center"/>
              <w:rPr>
                <w:rFonts w:ascii="Sylfaen" w:hAnsi="Sylfaen" w:cs="Sylfaen"/>
                <w:sz w:val="16"/>
                <w:szCs w:val="16"/>
              </w:rPr>
            </w:pPr>
          </w:p>
        </w:tc>
        <w:tc>
          <w:tcPr>
            <w:tcW w:w="773" w:type="dxa"/>
            <w:vMerge/>
            <w:tcBorders>
              <w:left w:val="single" w:sz="4" w:space="0" w:color="auto"/>
            </w:tcBorders>
            <w:shd w:val="clear" w:color="auto" w:fill="FFFFFF"/>
            <w:vAlign w:val="center"/>
          </w:tcPr>
          <w:p w14:paraId="4B9FF9B7" w14:textId="77777777" w:rsidR="00CA27E3" w:rsidRPr="00D83000" w:rsidRDefault="00CA27E3" w:rsidP="00696F04">
            <w:pPr>
              <w:spacing w:after="120"/>
              <w:jc w:val="center"/>
              <w:rPr>
                <w:rFonts w:ascii="Sylfaen" w:hAnsi="Sylfaen" w:cs="Sylfaen"/>
                <w:sz w:val="16"/>
                <w:szCs w:val="16"/>
              </w:rPr>
            </w:pPr>
          </w:p>
        </w:tc>
        <w:tc>
          <w:tcPr>
            <w:tcW w:w="787" w:type="dxa"/>
            <w:vMerge/>
            <w:tcBorders>
              <w:left w:val="single" w:sz="4" w:space="0" w:color="auto"/>
              <w:right w:val="single" w:sz="4" w:space="0" w:color="auto"/>
            </w:tcBorders>
            <w:shd w:val="clear" w:color="auto" w:fill="FFFFFF"/>
            <w:vAlign w:val="center"/>
          </w:tcPr>
          <w:p w14:paraId="533BAC68" w14:textId="77777777" w:rsidR="00CA27E3" w:rsidRPr="00D83000" w:rsidRDefault="00CA27E3" w:rsidP="00696F04">
            <w:pPr>
              <w:spacing w:after="120"/>
              <w:jc w:val="center"/>
              <w:rPr>
                <w:rFonts w:ascii="Sylfaen" w:hAnsi="Sylfaen" w:cs="Sylfaen"/>
                <w:sz w:val="16"/>
                <w:szCs w:val="16"/>
              </w:rPr>
            </w:pPr>
          </w:p>
        </w:tc>
      </w:tr>
      <w:tr w:rsidR="00CA27E3" w:rsidRPr="00D83000" w14:paraId="22E4B411" w14:textId="77777777" w:rsidTr="00696F04">
        <w:trPr>
          <w:tblHeader/>
          <w:jc w:val="center"/>
        </w:trPr>
        <w:tc>
          <w:tcPr>
            <w:tcW w:w="993" w:type="dxa"/>
            <w:vMerge/>
            <w:tcBorders>
              <w:left w:val="single" w:sz="4" w:space="0" w:color="auto"/>
            </w:tcBorders>
            <w:shd w:val="clear" w:color="auto" w:fill="FFFFFF"/>
            <w:vAlign w:val="center"/>
          </w:tcPr>
          <w:p w14:paraId="6C77DA03" w14:textId="77777777" w:rsidR="00CA27E3" w:rsidRPr="00D83000" w:rsidRDefault="00CA27E3" w:rsidP="00D83000">
            <w:pPr>
              <w:spacing w:after="120"/>
              <w:rPr>
                <w:rFonts w:ascii="Sylfaen" w:hAnsi="Sylfaen" w:cs="Sylfaen"/>
                <w:sz w:val="16"/>
                <w:szCs w:val="16"/>
              </w:rPr>
            </w:pPr>
          </w:p>
        </w:tc>
        <w:tc>
          <w:tcPr>
            <w:tcW w:w="1177" w:type="dxa"/>
            <w:tcBorders>
              <w:top w:val="single" w:sz="4" w:space="0" w:color="auto"/>
              <w:left w:val="single" w:sz="4" w:space="0" w:color="auto"/>
            </w:tcBorders>
            <w:shd w:val="clear" w:color="auto" w:fill="FFFFFF"/>
            <w:vAlign w:val="bottom"/>
          </w:tcPr>
          <w:p w14:paraId="4CF39BDA"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Վտ</w:t>
            </w:r>
          </w:p>
        </w:tc>
        <w:tc>
          <w:tcPr>
            <w:tcW w:w="2288" w:type="dxa"/>
            <w:vMerge/>
            <w:tcBorders>
              <w:left w:val="single" w:sz="4" w:space="0" w:color="auto"/>
            </w:tcBorders>
            <w:shd w:val="clear" w:color="auto" w:fill="FFFFFF"/>
            <w:vAlign w:val="center"/>
          </w:tcPr>
          <w:p w14:paraId="38AED04A" w14:textId="77777777" w:rsidR="00CA27E3" w:rsidRPr="00D83000" w:rsidRDefault="00CA27E3" w:rsidP="00D83000">
            <w:pPr>
              <w:spacing w:after="120"/>
              <w:rPr>
                <w:rFonts w:ascii="Sylfaen" w:hAnsi="Sylfaen" w:cs="Sylfaen"/>
                <w:sz w:val="16"/>
                <w:szCs w:val="16"/>
              </w:rPr>
            </w:pPr>
          </w:p>
        </w:tc>
        <w:tc>
          <w:tcPr>
            <w:tcW w:w="803" w:type="dxa"/>
            <w:tcBorders>
              <w:top w:val="single" w:sz="4" w:space="0" w:color="auto"/>
              <w:left w:val="single" w:sz="4" w:space="0" w:color="auto"/>
            </w:tcBorders>
            <w:shd w:val="clear" w:color="auto" w:fill="FFFFFF"/>
            <w:vAlign w:val="bottom"/>
          </w:tcPr>
          <w:p w14:paraId="25797569"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Վտ</w:t>
            </w:r>
          </w:p>
        </w:tc>
        <w:tc>
          <w:tcPr>
            <w:tcW w:w="504" w:type="dxa"/>
            <w:tcBorders>
              <w:top w:val="single" w:sz="4" w:space="0" w:color="auto"/>
              <w:left w:val="single" w:sz="4" w:space="0" w:color="auto"/>
            </w:tcBorders>
            <w:shd w:val="clear" w:color="auto" w:fill="FFFFFF"/>
            <w:vAlign w:val="bottom"/>
          </w:tcPr>
          <w:p w14:paraId="3F99FE68" w14:textId="77777777" w:rsidR="00CA27E3" w:rsidRPr="00D83000" w:rsidRDefault="00CA27E3" w:rsidP="00D83000">
            <w:pPr>
              <w:pStyle w:val="a4"/>
              <w:shd w:val="clear" w:color="auto" w:fill="auto"/>
              <w:spacing w:after="120" w:line="240" w:lineRule="auto"/>
              <w:ind w:firstLine="0"/>
              <w:jc w:val="both"/>
              <w:rPr>
                <w:rFonts w:ascii="Sylfaen" w:hAnsi="Sylfaen" w:cs="Sylfaen"/>
                <w:sz w:val="16"/>
                <w:szCs w:val="16"/>
              </w:rPr>
            </w:pPr>
            <w:r w:rsidRPr="00D83000">
              <w:rPr>
                <w:rFonts w:ascii="Sylfaen" w:hAnsi="Sylfaen"/>
                <w:sz w:val="16"/>
                <w:szCs w:val="16"/>
              </w:rPr>
              <w:t>Վտ</w:t>
            </w:r>
          </w:p>
        </w:tc>
        <w:tc>
          <w:tcPr>
            <w:tcW w:w="778" w:type="dxa"/>
            <w:vMerge/>
            <w:tcBorders>
              <w:left w:val="single" w:sz="4" w:space="0" w:color="auto"/>
            </w:tcBorders>
            <w:shd w:val="clear" w:color="auto" w:fill="FFFFFF"/>
            <w:vAlign w:val="center"/>
          </w:tcPr>
          <w:p w14:paraId="11C1BDA4" w14:textId="77777777" w:rsidR="00CA27E3" w:rsidRPr="00D83000" w:rsidRDefault="00CA27E3" w:rsidP="00696F04">
            <w:pPr>
              <w:spacing w:after="120"/>
              <w:jc w:val="center"/>
              <w:rPr>
                <w:rFonts w:ascii="Sylfaen" w:hAnsi="Sylfaen" w:cs="Sylfaen"/>
                <w:sz w:val="16"/>
                <w:szCs w:val="16"/>
              </w:rPr>
            </w:pPr>
          </w:p>
        </w:tc>
        <w:tc>
          <w:tcPr>
            <w:tcW w:w="773" w:type="dxa"/>
            <w:vMerge/>
            <w:tcBorders>
              <w:left w:val="single" w:sz="4" w:space="0" w:color="auto"/>
            </w:tcBorders>
            <w:shd w:val="clear" w:color="auto" w:fill="FFFFFF"/>
            <w:vAlign w:val="center"/>
          </w:tcPr>
          <w:p w14:paraId="5094F898" w14:textId="77777777" w:rsidR="00CA27E3" w:rsidRPr="00D83000" w:rsidRDefault="00CA27E3" w:rsidP="00696F04">
            <w:pPr>
              <w:spacing w:after="120"/>
              <w:jc w:val="center"/>
              <w:rPr>
                <w:rFonts w:ascii="Sylfaen" w:hAnsi="Sylfaen" w:cs="Sylfaen"/>
                <w:sz w:val="16"/>
                <w:szCs w:val="16"/>
              </w:rPr>
            </w:pPr>
          </w:p>
        </w:tc>
        <w:tc>
          <w:tcPr>
            <w:tcW w:w="773" w:type="dxa"/>
            <w:vMerge/>
            <w:tcBorders>
              <w:left w:val="single" w:sz="4" w:space="0" w:color="auto"/>
            </w:tcBorders>
            <w:shd w:val="clear" w:color="auto" w:fill="FFFFFF"/>
            <w:vAlign w:val="center"/>
          </w:tcPr>
          <w:p w14:paraId="7E11CC03" w14:textId="77777777" w:rsidR="00CA27E3" w:rsidRPr="00D83000" w:rsidRDefault="00CA27E3" w:rsidP="00696F04">
            <w:pPr>
              <w:spacing w:after="120"/>
              <w:jc w:val="center"/>
              <w:rPr>
                <w:rFonts w:ascii="Sylfaen" w:hAnsi="Sylfaen" w:cs="Sylfaen"/>
                <w:sz w:val="16"/>
                <w:szCs w:val="16"/>
              </w:rPr>
            </w:pPr>
          </w:p>
        </w:tc>
        <w:tc>
          <w:tcPr>
            <w:tcW w:w="773" w:type="dxa"/>
            <w:vMerge/>
            <w:tcBorders>
              <w:left w:val="single" w:sz="4" w:space="0" w:color="auto"/>
            </w:tcBorders>
            <w:shd w:val="clear" w:color="auto" w:fill="FFFFFF"/>
            <w:vAlign w:val="center"/>
          </w:tcPr>
          <w:p w14:paraId="0BCC8568" w14:textId="77777777" w:rsidR="00CA27E3" w:rsidRPr="00D83000" w:rsidRDefault="00CA27E3" w:rsidP="00696F04">
            <w:pPr>
              <w:spacing w:after="120"/>
              <w:jc w:val="center"/>
              <w:rPr>
                <w:rFonts w:ascii="Sylfaen" w:hAnsi="Sylfaen" w:cs="Sylfaen"/>
                <w:sz w:val="16"/>
                <w:szCs w:val="16"/>
              </w:rPr>
            </w:pPr>
          </w:p>
        </w:tc>
        <w:tc>
          <w:tcPr>
            <w:tcW w:w="787" w:type="dxa"/>
            <w:vMerge/>
            <w:tcBorders>
              <w:left w:val="single" w:sz="4" w:space="0" w:color="auto"/>
              <w:right w:val="single" w:sz="4" w:space="0" w:color="auto"/>
            </w:tcBorders>
            <w:shd w:val="clear" w:color="auto" w:fill="FFFFFF"/>
            <w:vAlign w:val="center"/>
          </w:tcPr>
          <w:p w14:paraId="40269310" w14:textId="77777777" w:rsidR="00CA27E3" w:rsidRPr="00D83000" w:rsidRDefault="00CA27E3" w:rsidP="00696F04">
            <w:pPr>
              <w:spacing w:after="120"/>
              <w:jc w:val="center"/>
              <w:rPr>
                <w:rFonts w:ascii="Sylfaen" w:hAnsi="Sylfaen" w:cs="Sylfaen"/>
                <w:sz w:val="16"/>
                <w:szCs w:val="16"/>
              </w:rPr>
            </w:pPr>
          </w:p>
        </w:tc>
      </w:tr>
      <w:tr w:rsidR="00CA27E3" w:rsidRPr="00D83000" w14:paraId="11885A27" w14:textId="77777777" w:rsidTr="00696F04">
        <w:trPr>
          <w:jc w:val="center"/>
        </w:trPr>
        <w:tc>
          <w:tcPr>
            <w:tcW w:w="993" w:type="dxa"/>
            <w:tcBorders>
              <w:top w:val="single" w:sz="4" w:space="0" w:color="auto"/>
              <w:left w:val="single" w:sz="4" w:space="0" w:color="auto"/>
            </w:tcBorders>
            <w:shd w:val="clear" w:color="auto" w:fill="FFFFFF"/>
            <w:vAlign w:val="bottom"/>
          </w:tcPr>
          <w:p w14:paraId="3ADCAF3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T8</w:t>
            </w:r>
          </w:p>
        </w:tc>
        <w:tc>
          <w:tcPr>
            <w:tcW w:w="1177" w:type="dxa"/>
            <w:tcBorders>
              <w:top w:val="single" w:sz="4" w:space="0" w:color="auto"/>
              <w:left w:val="single" w:sz="4" w:space="0" w:color="auto"/>
            </w:tcBorders>
            <w:shd w:val="clear" w:color="auto" w:fill="FFFFFF"/>
            <w:vAlign w:val="bottom"/>
          </w:tcPr>
          <w:p w14:paraId="3F39BB6D"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15</w:t>
            </w:r>
          </w:p>
        </w:tc>
        <w:tc>
          <w:tcPr>
            <w:tcW w:w="2288" w:type="dxa"/>
            <w:tcBorders>
              <w:top w:val="single" w:sz="4" w:space="0" w:color="auto"/>
              <w:left w:val="single" w:sz="4" w:space="0" w:color="auto"/>
            </w:tcBorders>
            <w:shd w:val="clear" w:color="auto" w:fill="FFFFFF"/>
            <w:vAlign w:val="bottom"/>
          </w:tcPr>
          <w:p w14:paraId="24D8092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FD-15-E-G13-26/450</w:t>
            </w:r>
          </w:p>
        </w:tc>
        <w:tc>
          <w:tcPr>
            <w:tcW w:w="803" w:type="dxa"/>
            <w:tcBorders>
              <w:top w:val="single" w:sz="4" w:space="0" w:color="auto"/>
              <w:left w:val="single" w:sz="4" w:space="0" w:color="auto"/>
            </w:tcBorders>
            <w:shd w:val="clear" w:color="auto" w:fill="FFFFFF"/>
            <w:vAlign w:val="center"/>
          </w:tcPr>
          <w:p w14:paraId="0EE4251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15</w:t>
            </w:r>
          </w:p>
        </w:tc>
        <w:tc>
          <w:tcPr>
            <w:tcW w:w="504" w:type="dxa"/>
            <w:tcBorders>
              <w:top w:val="single" w:sz="4" w:space="0" w:color="auto"/>
              <w:left w:val="single" w:sz="4" w:space="0" w:color="auto"/>
            </w:tcBorders>
            <w:shd w:val="clear" w:color="auto" w:fill="FFFFFF"/>
            <w:vAlign w:val="center"/>
          </w:tcPr>
          <w:p w14:paraId="616FA9D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13:5</w:t>
            </w:r>
          </w:p>
        </w:tc>
        <w:tc>
          <w:tcPr>
            <w:tcW w:w="778" w:type="dxa"/>
            <w:tcBorders>
              <w:top w:val="single" w:sz="4" w:space="0" w:color="auto"/>
              <w:left w:val="single" w:sz="4" w:space="0" w:color="auto"/>
            </w:tcBorders>
            <w:shd w:val="clear" w:color="auto" w:fill="FFFFFF"/>
            <w:vAlign w:val="center"/>
          </w:tcPr>
          <w:p w14:paraId="13D45A3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87:8 %</w:t>
            </w:r>
          </w:p>
        </w:tc>
        <w:tc>
          <w:tcPr>
            <w:tcW w:w="773" w:type="dxa"/>
            <w:tcBorders>
              <w:top w:val="single" w:sz="4" w:space="0" w:color="auto"/>
              <w:left w:val="single" w:sz="4" w:space="0" w:color="auto"/>
            </w:tcBorders>
            <w:shd w:val="clear" w:color="auto" w:fill="FFFFFF"/>
            <w:vAlign w:val="center"/>
          </w:tcPr>
          <w:p w14:paraId="54954B5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84:4 %</w:t>
            </w:r>
          </w:p>
        </w:tc>
        <w:tc>
          <w:tcPr>
            <w:tcW w:w="773" w:type="dxa"/>
            <w:tcBorders>
              <w:top w:val="single" w:sz="4" w:space="0" w:color="auto"/>
              <w:left w:val="single" w:sz="4" w:space="0" w:color="auto"/>
            </w:tcBorders>
            <w:shd w:val="clear" w:color="auto" w:fill="FFFFFF"/>
            <w:vAlign w:val="center"/>
          </w:tcPr>
          <w:p w14:paraId="7E78294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75:0 %</w:t>
            </w:r>
          </w:p>
        </w:tc>
        <w:tc>
          <w:tcPr>
            <w:tcW w:w="773" w:type="dxa"/>
            <w:tcBorders>
              <w:top w:val="single" w:sz="4" w:space="0" w:color="auto"/>
              <w:left w:val="single" w:sz="4" w:space="0" w:color="auto"/>
            </w:tcBorders>
            <w:shd w:val="clear" w:color="auto" w:fill="FFFFFF"/>
            <w:vAlign w:val="center"/>
          </w:tcPr>
          <w:p w14:paraId="62D3D55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67:9 %</w:t>
            </w:r>
          </w:p>
        </w:tc>
        <w:tc>
          <w:tcPr>
            <w:tcW w:w="787" w:type="dxa"/>
            <w:tcBorders>
              <w:top w:val="single" w:sz="4" w:space="0" w:color="auto"/>
              <w:left w:val="single" w:sz="4" w:space="0" w:color="auto"/>
              <w:right w:val="single" w:sz="4" w:space="0" w:color="auto"/>
            </w:tcBorders>
            <w:shd w:val="clear" w:color="auto" w:fill="FFFFFF"/>
            <w:vAlign w:val="center"/>
          </w:tcPr>
          <w:p w14:paraId="73AB668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62:0 %</w:t>
            </w:r>
          </w:p>
        </w:tc>
      </w:tr>
      <w:tr w:rsidR="00CA27E3" w:rsidRPr="00D83000" w14:paraId="217A1B42" w14:textId="77777777" w:rsidTr="00696F04">
        <w:trPr>
          <w:jc w:val="center"/>
        </w:trPr>
        <w:tc>
          <w:tcPr>
            <w:tcW w:w="993" w:type="dxa"/>
            <w:tcBorders>
              <w:top w:val="single" w:sz="4" w:space="0" w:color="auto"/>
              <w:left w:val="single" w:sz="4" w:space="0" w:color="auto"/>
            </w:tcBorders>
            <w:shd w:val="clear" w:color="auto" w:fill="FFFFFF"/>
            <w:vAlign w:val="bottom"/>
          </w:tcPr>
          <w:p w14:paraId="36F7443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T8</w:t>
            </w:r>
          </w:p>
        </w:tc>
        <w:tc>
          <w:tcPr>
            <w:tcW w:w="1177" w:type="dxa"/>
            <w:tcBorders>
              <w:top w:val="single" w:sz="4" w:space="0" w:color="auto"/>
              <w:left w:val="single" w:sz="4" w:space="0" w:color="auto"/>
            </w:tcBorders>
            <w:shd w:val="clear" w:color="auto" w:fill="FFFFFF"/>
            <w:vAlign w:val="bottom"/>
          </w:tcPr>
          <w:p w14:paraId="4701A93C"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18</w:t>
            </w:r>
          </w:p>
        </w:tc>
        <w:tc>
          <w:tcPr>
            <w:tcW w:w="2288" w:type="dxa"/>
            <w:tcBorders>
              <w:top w:val="single" w:sz="4" w:space="0" w:color="auto"/>
              <w:left w:val="single" w:sz="4" w:space="0" w:color="auto"/>
            </w:tcBorders>
            <w:shd w:val="clear" w:color="auto" w:fill="FFFFFF"/>
            <w:vAlign w:val="bottom"/>
          </w:tcPr>
          <w:p w14:paraId="25C62ACE"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FD-18-E-G13-26/600</w:t>
            </w:r>
          </w:p>
        </w:tc>
        <w:tc>
          <w:tcPr>
            <w:tcW w:w="803" w:type="dxa"/>
            <w:tcBorders>
              <w:top w:val="single" w:sz="4" w:space="0" w:color="auto"/>
              <w:left w:val="single" w:sz="4" w:space="0" w:color="auto"/>
            </w:tcBorders>
            <w:shd w:val="clear" w:color="auto" w:fill="FFFFFF"/>
            <w:vAlign w:val="center"/>
          </w:tcPr>
          <w:p w14:paraId="3E64E9A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18</w:t>
            </w:r>
          </w:p>
        </w:tc>
        <w:tc>
          <w:tcPr>
            <w:tcW w:w="504" w:type="dxa"/>
            <w:tcBorders>
              <w:top w:val="single" w:sz="4" w:space="0" w:color="auto"/>
              <w:left w:val="single" w:sz="4" w:space="0" w:color="auto"/>
            </w:tcBorders>
            <w:shd w:val="clear" w:color="auto" w:fill="FFFFFF"/>
            <w:vAlign w:val="center"/>
          </w:tcPr>
          <w:p w14:paraId="40650DE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16</w:t>
            </w:r>
          </w:p>
        </w:tc>
        <w:tc>
          <w:tcPr>
            <w:tcW w:w="778" w:type="dxa"/>
            <w:tcBorders>
              <w:top w:val="single" w:sz="4" w:space="0" w:color="auto"/>
              <w:left w:val="single" w:sz="4" w:space="0" w:color="auto"/>
            </w:tcBorders>
            <w:shd w:val="clear" w:color="auto" w:fill="FFFFFF"/>
            <w:vAlign w:val="center"/>
          </w:tcPr>
          <w:p w14:paraId="7FD2328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87,7 %</w:t>
            </w:r>
          </w:p>
        </w:tc>
        <w:tc>
          <w:tcPr>
            <w:tcW w:w="773" w:type="dxa"/>
            <w:tcBorders>
              <w:top w:val="single" w:sz="4" w:space="0" w:color="auto"/>
              <w:left w:val="single" w:sz="4" w:space="0" w:color="auto"/>
            </w:tcBorders>
            <w:shd w:val="clear" w:color="auto" w:fill="FFFFFF"/>
            <w:vAlign w:val="center"/>
          </w:tcPr>
          <w:p w14:paraId="3DE92AF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3521984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76,2 %</w:t>
            </w:r>
          </w:p>
        </w:tc>
        <w:tc>
          <w:tcPr>
            <w:tcW w:w="773" w:type="dxa"/>
            <w:tcBorders>
              <w:top w:val="single" w:sz="4" w:space="0" w:color="auto"/>
              <w:left w:val="single" w:sz="4" w:space="0" w:color="auto"/>
            </w:tcBorders>
            <w:shd w:val="clear" w:color="auto" w:fill="FFFFFF"/>
            <w:vAlign w:val="center"/>
          </w:tcPr>
          <w:p w14:paraId="64DA9F4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c>
          <w:tcPr>
            <w:tcW w:w="787" w:type="dxa"/>
            <w:tcBorders>
              <w:top w:val="single" w:sz="4" w:space="0" w:color="auto"/>
              <w:left w:val="single" w:sz="4" w:space="0" w:color="auto"/>
              <w:right w:val="single" w:sz="4" w:space="0" w:color="auto"/>
            </w:tcBorders>
            <w:shd w:val="clear" w:color="auto" w:fill="FFFFFF"/>
            <w:vAlign w:val="center"/>
          </w:tcPr>
          <w:p w14:paraId="321D19F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65,8 %</w:t>
            </w:r>
          </w:p>
        </w:tc>
      </w:tr>
      <w:tr w:rsidR="00CA27E3" w:rsidRPr="00D83000" w14:paraId="16BA23EF" w14:textId="77777777" w:rsidTr="00696F04">
        <w:trPr>
          <w:jc w:val="center"/>
        </w:trPr>
        <w:tc>
          <w:tcPr>
            <w:tcW w:w="993" w:type="dxa"/>
            <w:tcBorders>
              <w:top w:val="single" w:sz="4" w:space="0" w:color="auto"/>
              <w:left w:val="single" w:sz="4" w:space="0" w:color="auto"/>
            </w:tcBorders>
            <w:shd w:val="clear" w:color="auto" w:fill="FFFFFF"/>
            <w:vAlign w:val="bottom"/>
          </w:tcPr>
          <w:p w14:paraId="6474767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T8</w:t>
            </w:r>
          </w:p>
        </w:tc>
        <w:tc>
          <w:tcPr>
            <w:tcW w:w="1177" w:type="dxa"/>
            <w:tcBorders>
              <w:top w:val="single" w:sz="4" w:space="0" w:color="auto"/>
              <w:left w:val="single" w:sz="4" w:space="0" w:color="auto"/>
            </w:tcBorders>
            <w:shd w:val="clear" w:color="auto" w:fill="FFFFFF"/>
            <w:vAlign w:val="bottom"/>
          </w:tcPr>
          <w:p w14:paraId="62F26623"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30</w:t>
            </w:r>
          </w:p>
        </w:tc>
        <w:tc>
          <w:tcPr>
            <w:tcW w:w="2288" w:type="dxa"/>
            <w:tcBorders>
              <w:top w:val="single" w:sz="4" w:space="0" w:color="auto"/>
              <w:left w:val="single" w:sz="4" w:space="0" w:color="auto"/>
            </w:tcBorders>
            <w:shd w:val="clear" w:color="auto" w:fill="FFFFFF"/>
            <w:vAlign w:val="bottom"/>
          </w:tcPr>
          <w:p w14:paraId="0845268F"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FD-30-E-G13-26/900</w:t>
            </w:r>
          </w:p>
        </w:tc>
        <w:tc>
          <w:tcPr>
            <w:tcW w:w="803" w:type="dxa"/>
            <w:tcBorders>
              <w:top w:val="single" w:sz="4" w:space="0" w:color="auto"/>
              <w:left w:val="single" w:sz="4" w:space="0" w:color="auto"/>
            </w:tcBorders>
            <w:shd w:val="clear" w:color="auto" w:fill="FFFFFF"/>
            <w:vAlign w:val="center"/>
          </w:tcPr>
          <w:p w14:paraId="5FE4E74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30</w:t>
            </w:r>
          </w:p>
        </w:tc>
        <w:tc>
          <w:tcPr>
            <w:tcW w:w="504" w:type="dxa"/>
            <w:tcBorders>
              <w:top w:val="single" w:sz="4" w:space="0" w:color="auto"/>
              <w:left w:val="single" w:sz="4" w:space="0" w:color="auto"/>
            </w:tcBorders>
            <w:shd w:val="clear" w:color="auto" w:fill="FFFFFF"/>
            <w:vAlign w:val="center"/>
          </w:tcPr>
          <w:p w14:paraId="6B88A85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24</w:t>
            </w:r>
          </w:p>
        </w:tc>
        <w:tc>
          <w:tcPr>
            <w:tcW w:w="778" w:type="dxa"/>
            <w:tcBorders>
              <w:top w:val="single" w:sz="4" w:space="0" w:color="auto"/>
              <w:left w:val="single" w:sz="4" w:space="0" w:color="auto"/>
            </w:tcBorders>
            <w:shd w:val="clear" w:color="auto" w:fill="FFFFFF"/>
            <w:vAlign w:val="center"/>
          </w:tcPr>
          <w:p w14:paraId="74AFEC5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82,1 %</w:t>
            </w:r>
          </w:p>
        </w:tc>
        <w:tc>
          <w:tcPr>
            <w:tcW w:w="773" w:type="dxa"/>
            <w:tcBorders>
              <w:top w:val="single" w:sz="4" w:space="0" w:color="auto"/>
              <w:left w:val="single" w:sz="4" w:space="0" w:color="auto"/>
            </w:tcBorders>
            <w:shd w:val="clear" w:color="auto" w:fill="FFFFFF"/>
            <w:vAlign w:val="center"/>
          </w:tcPr>
          <w:p w14:paraId="1C0BEAA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77,4 %</w:t>
            </w:r>
          </w:p>
        </w:tc>
        <w:tc>
          <w:tcPr>
            <w:tcW w:w="773" w:type="dxa"/>
            <w:tcBorders>
              <w:top w:val="single" w:sz="4" w:space="0" w:color="auto"/>
              <w:left w:val="single" w:sz="4" w:space="0" w:color="auto"/>
            </w:tcBorders>
            <w:shd w:val="clear" w:color="auto" w:fill="FFFFFF"/>
            <w:vAlign w:val="center"/>
          </w:tcPr>
          <w:p w14:paraId="1034EE8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72,7 %</w:t>
            </w:r>
          </w:p>
        </w:tc>
        <w:tc>
          <w:tcPr>
            <w:tcW w:w="773" w:type="dxa"/>
            <w:tcBorders>
              <w:top w:val="single" w:sz="4" w:space="0" w:color="auto"/>
              <w:left w:val="single" w:sz="4" w:space="0" w:color="auto"/>
            </w:tcBorders>
            <w:shd w:val="clear" w:color="auto" w:fill="FFFFFF"/>
            <w:vAlign w:val="center"/>
          </w:tcPr>
          <w:p w14:paraId="59B00BF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79,2 %</w:t>
            </w:r>
          </w:p>
        </w:tc>
        <w:tc>
          <w:tcPr>
            <w:tcW w:w="787" w:type="dxa"/>
            <w:tcBorders>
              <w:top w:val="single" w:sz="4" w:space="0" w:color="auto"/>
              <w:left w:val="single" w:sz="4" w:space="0" w:color="auto"/>
              <w:right w:val="single" w:sz="4" w:space="0" w:color="auto"/>
            </w:tcBorders>
            <w:shd w:val="clear" w:color="auto" w:fill="FFFFFF"/>
            <w:vAlign w:val="center"/>
          </w:tcPr>
          <w:p w14:paraId="51C892F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75,0 %</w:t>
            </w:r>
          </w:p>
        </w:tc>
      </w:tr>
      <w:tr w:rsidR="00CA27E3" w:rsidRPr="00D83000" w14:paraId="31A1ADA9" w14:textId="77777777" w:rsidTr="00696F04">
        <w:trPr>
          <w:jc w:val="center"/>
        </w:trPr>
        <w:tc>
          <w:tcPr>
            <w:tcW w:w="993" w:type="dxa"/>
            <w:tcBorders>
              <w:top w:val="single" w:sz="4" w:space="0" w:color="auto"/>
              <w:left w:val="single" w:sz="4" w:space="0" w:color="auto"/>
            </w:tcBorders>
            <w:shd w:val="clear" w:color="auto" w:fill="FFFFFF"/>
            <w:vAlign w:val="bottom"/>
          </w:tcPr>
          <w:p w14:paraId="7E014F6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T8</w:t>
            </w:r>
          </w:p>
        </w:tc>
        <w:tc>
          <w:tcPr>
            <w:tcW w:w="1177" w:type="dxa"/>
            <w:tcBorders>
              <w:top w:val="single" w:sz="4" w:space="0" w:color="auto"/>
              <w:left w:val="single" w:sz="4" w:space="0" w:color="auto"/>
            </w:tcBorders>
            <w:shd w:val="clear" w:color="auto" w:fill="FFFFFF"/>
            <w:vAlign w:val="bottom"/>
          </w:tcPr>
          <w:p w14:paraId="134F27FD"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36</w:t>
            </w:r>
          </w:p>
        </w:tc>
        <w:tc>
          <w:tcPr>
            <w:tcW w:w="2288" w:type="dxa"/>
            <w:tcBorders>
              <w:top w:val="single" w:sz="4" w:space="0" w:color="auto"/>
              <w:left w:val="single" w:sz="4" w:space="0" w:color="auto"/>
            </w:tcBorders>
            <w:shd w:val="clear" w:color="auto" w:fill="FFFFFF"/>
            <w:vAlign w:val="bottom"/>
          </w:tcPr>
          <w:p w14:paraId="5EBDD02D"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FD-36-E-G13-26/1200</w:t>
            </w:r>
          </w:p>
        </w:tc>
        <w:tc>
          <w:tcPr>
            <w:tcW w:w="803" w:type="dxa"/>
            <w:tcBorders>
              <w:top w:val="single" w:sz="4" w:space="0" w:color="auto"/>
              <w:left w:val="single" w:sz="4" w:space="0" w:color="auto"/>
            </w:tcBorders>
            <w:shd w:val="clear" w:color="auto" w:fill="FFFFFF"/>
            <w:vAlign w:val="center"/>
          </w:tcPr>
          <w:p w14:paraId="32E8423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36</w:t>
            </w:r>
          </w:p>
        </w:tc>
        <w:tc>
          <w:tcPr>
            <w:tcW w:w="504" w:type="dxa"/>
            <w:tcBorders>
              <w:top w:val="single" w:sz="4" w:space="0" w:color="auto"/>
              <w:left w:val="single" w:sz="4" w:space="0" w:color="auto"/>
            </w:tcBorders>
            <w:shd w:val="clear" w:color="auto" w:fill="FFFFFF"/>
            <w:vAlign w:val="center"/>
          </w:tcPr>
          <w:p w14:paraId="133FFE3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778" w:type="dxa"/>
            <w:tcBorders>
              <w:top w:val="single" w:sz="4" w:space="0" w:color="auto"/>
              <w:left w:val="single" w:sz="4" w:space="0" w:color="auto"/>
            </w:tcBorders>
            <w:shd w:val="clear" w:color="auto" w:fill="FFFFFF"/>
            <w:vAlign w:val="center"/>
          </w:tcPr>
          <w:p w14:paraId="190912A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0C1C3AE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320C5AE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1F0919F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83,4 %</w:t>
            </w:r>
          </w:p>
        </w:tc>
        <w:tc>
          <w:tcPr>
            <w:tcW w:w="787" w:type="dxa"/>
            <w:tcBorders>
              <w:top w:val="single" w:sz="4" w:space="0" w:color="auto"/>
              <w:left w:val="single" w:sz="4" w:space="0" w:color="auto"/>
              <w:right w:val="single" w:sz="4" w:space="0" w:color="auto"/>
            </w:tcBorders>
            <w:shd w:val="clear" w:color="auto" w:fill="FFFFFF"/>
            <w:vAlign w:val="center"/>
          </w:tcPr>
          <w:p w14:paraId="3B366A8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79,5 %</w:t>
            </w:r>
          </w:p>
        </w:tc>
      </w:tr>
      <w:tr w:rsidR="00CA27E3" w:rsidRPr="00D83000" w14:paraId="398252B7" w14:textId="77777777" w:rsidTr="00696F04">
        <w:trPr>
          <w:jc w:val="center"/>
        </w:trPr>
        <w:tc>
          <w:tcPr>
            <w:tcW w:w="993" w:type="dxa"/>
            <w:tcBorders>
              <w:top w:val="single" w:sz="4" w:space="0" w:color="auto"/>
              <w:left w:val="single" w:sz="4" w:space="0" w:color="auto"/>
            </w:tcBorders>
            <w:shd w:val="clear" w:color="auto" w:fill="FFFFFF"/>
            <w:vAlign w:val="bottom"/>
          </w:tcPr>
          <w:p w14:paraId="2290067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T8</w:t>
            </w:r>
          </w:p>
        </w:tc>
        <w:tc>
          <w:tcPr>
            <w:tcW w:w="1177" w:type="dxa"/>
            <w:tcBorders>
              <w:top w:val="single" w:sz="4" w:space="0" w:color="auto"/>
              <w:left w:val="single" w:sz="4" w:space="0" w:color="auto"/>
            </w:tcBorders>
            <w:shd w:val="clear" w:color="auto" w:fill="FFFFFF"/>
            <w:vAlign w:val="bottom"/>
          </w:tcPr>
          <w:p w14:paraId="0A549D16"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38</w:t>
            </w:r>
          </w:p>
        </w:tc>
        <w:tc>
          <w:tcPr>
            <w:tcW w:w="2288" w:type="dxa"/>
            <w:tcBorders>
              <w:top w:val="single" w:sz="4" w:space="0" w:color="auto"/>
              <w:left w:val="single" w:sz="4" w:space="0" w:color="auto"/>
            </w:tcBorders>
            <w:shd w:val="clear" w:color="auto" w:fill="FFFFFF"/>
            <w:vAlign w:val="bottom"/>
          </w:tcPr>
          <w:p w14:paraId="6B1AFBA7"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FD-38-E-G13-26/1050</w:t>
            </w:r>
          </w:p>
        </w:tc>
        <w:tc>
          <w:tcPr>
            <w:tcW w:w="803" w:type="dxa"/>
            <w:tcBorders>
              <w:top w:val="single" w:sz="4" w:space="0" w:color="auto"/>
              <w:left w:val="single" w:sz="4" w:space="0" w:color="auto"/>
            </w:tcBorders>
            <w:shd w:val="clear" w:color="auto" w:fill="FFFFFF"/>
            <w:vAlign w:val="center"/>
          </w:tcPr>
          <w:p w14:paraId="05352B6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38,,5</w:t>
            </w:r>
          </w:p>
        </w:tc>
        <w:tc>
          <w:tcPr>
            <w:tcW w:w="504" w:type="dxa"/>
            <w:tcBorders>
              <w:top w:val="single" w:sz="4" w:space="0" w:color="auto"/>
              <w:left w:val="single" w:sz="4" w:space="0" w:color="auto"/>
            </w:tcBorders>
            <w:shd w:val="clear" w:color="auto" w:fill="FFFFFF"/>
            <w:vAlign w:val="center"/>
          </w:tcPr>
          <w:p w14:paraId="63CE0FD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778" w:type="dxa"/>
            <w:tcBorders>
              <w:top w:val="single" w:sz="4" w:space="0" w:color="auto"/>
              <w:left w:val="single" w:sz="4" w:space="0" w:color="auto"/>
            </w:tcBorders>
            <w:shd w:val="clear" w:color="auto" w:fill="FFFFFF"/>
            <w:vAlign w:val="center"/>
          </w:tcPr>
          <w:p w14:paraId="7343732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87,7 %</w:t>
            </w:r>
          </w:p>
        </w:tc>
        <w:tc>
          <w:tcPr>
            <w:tcW w:w="773" w:type="dxa"/>
            <w:tcBorders>
              <w:top w:val="single" w:sz="4" w:space="0" w:color="auto"/>
              <w:left w:val="single" w:sz="4" w:space="0" w:color="auto"/>
            </w:tcBorders>
            <w:shd w:val="clear" w:color="auto" w:fill="FFFFFF"/>
            <w:vAlign w:val="center"/>
          </w:tcPr>
          <w:p w14:paraId="7DA50E7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40288B6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80,0 %</w:t>
            </w:r>
          </w:p>
        </w:tc>
        <w:tc>
          <w:tcPr>
            <w:tcW w:w="773" w:type="dxa"/>
            <w:tcBorders>
              <w:top w:val="single" w:sz="4" w:space="0" w:color="auto"/>
              <w:left w:val="single" w:sz="4" w:space="0" w:color="auto"/>
            </w:tcBorders>
            <w:shd w:val="clear" w:color="auto" w:fill="FFFFFF"/>
            <w:vAlign w:val="center"/>
          </w:tcPr>
          <w:p w14:paraId="6E77B8D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84,1 %</w:t>
            </w:r>
          </w:p>
        </w:tc>
        <w:tc>
          <w:tcPr>
            <w:tcW w:w="787" w:type="dxa"/>
            <w:tcBorders>
              <w:top w:val="single" w:sz="4" w:space="0" w:color="auto"/>
              <w:left w:val="single" w:sz="4" w:space="0" w:color="auto"/>
              <w:right w:val="single" w:sz="4" w:space="0" w:color="auto"/>
            </w:tcBorders>
            <w:shd w:val="clear" w:color="auto" w:fill="FFFFFF"/>
            <w:vAlign w:val="center"/>
          </w:tcPr>
          <w:p w14:paraId="01FBF21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80,4 %</w:t>
            </w:r>
          </w:p>
        </w:tc>
      </w:tr>
      <w:tr w:rsidR="00CA27E3" w:rsidRPr="00D83000" w14:paraId="6BD6C239" w14:textId="77777777" w:rsidTr="00696F04">
        <w:trPr>
          <w:jc w:val="center"/>
        </w:trPr>
        <w:tc>
          <w:tcPr>
            <w:tcW w:w="993" w:type="dxa"/>
            <w:tcBorders>
              <w:top w:val="single" w:sz="4" w:space="0" w:color="auto"/>
              <w:left w:val="single" w:sz="4" w:space="0" w:color="auto"/>
            </w:tcBorders>
            <w:shd w:val="clear" w:color="auto" w:fill="FFFFFF"/>
            <w:vAlign w:val="bottom"/>
          </w:tcPr>
          <w:p w14:paraId="57ABF67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T8</w:t>
            </w:r>
          </w:p>
        </w:tc>
        <w:tc>
          <w:tcPr>
            <w:tcW w:w="1177" w:type="dxa"/>
            <w:tcBorders>
              <w:top w:val="single" w:sz="4" w:space="0" w:color="auto"/>
              <w:left w:val="single" w:sz="4" w:space="0" w:color="auto"/>
            </w:tcBorders>
            <w:shd w:val="clear" w:color="auto" w:fill="FFFFFF"/>
            <w:vAlign w:val="bottom"/>
          </w:tcPr>
          <w:p w14:paraId="7B1B4F14"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58</w:t>
            </w:r>
          </w:p>
        </w:tc>
        <w:tc>
          <w:tcPr>
            <w:tcW w:w="2288" w:type="dxa"/>
            <w:tcBorders>
              <w:top w:val="single" w:sz="4" w:space="0" w:color="auto"/>
              <w:left w:val="single" w:sz="4" w:space="0" w:color="auto"/>
            </w:tcBorders>
            <w:shd w:val="clear" w:color="auto" w:fill="FFFFFF"/>
            <w:vAlign w:val="bottom"/>
          </w:tcPr>
          <w:p w14:paraId="61B5AB46"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FD-58-E-G13-26/1500</w:t>
            </w:r>
          </w:p>
        </w:tc>
        <w:tc>
          <w:tcPr>
            <w:tcW w:w="803" w:type="dxa"/>
            <w:tcBorders>
              <w:top w:val="single" w:sz="4" w:space="0" w:color="auto"/>
              <w:left w:val="single" w:sz="4" w:space="0" w:color="auto"/>
            </w:tcBorders>
            <w:shd w:val="clear" w:color="auto" w:fill="FFFFFF"/>
            <w:vAlign w:val="center"/>
          </w:tcPr>
          <w:p w14:paraId="117883C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58</w:t>
            </w:r>
          </w:p>
        </w:tc>
        <w:tc>
          <w:tcPr>
            <w:tcW w:w="504" w:type="dxa"/>
            <w:tcBorders>
              <w:top w:val="single" w:sz="4" w:space="0" w:color="auto"/>
              <w:left w:val="single" w:sz="4" w:space="0" w:color="auto"/>
            </w:tcBorders>
            <w:shd w:val="clear" w:color="auto" w:fill="FFFFFF"/>
            <w:vAlign w:val="center"/>
          </w:tcPr>
          <w:p w14:paraId="57636F7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50</w:t>
            </w:r>
          </w:p>
        </w:tc>
        <w:tc>
          <w:tcPr>
            <w:tcW w:w="778" w:type="dxa"/>
            <w:tcBorders>
              <w:top w:val="single" w:sz="4" w:space="0" w:color="auto"/>
              <w:left w:val="single" w:sz="4" w:space="0" w:color="auto"/>
            </w:tcBorders>
            <w:shd w:val="clear" w:color="auto" w:fill="FFFFFF"/>
            <w:vAlign w:val="center"/>
          </w:tcPr>
          <w:p w14:paraId="1CB7CE5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93,,0 %</w:t>
            </w:r>
          </w:p>
        </w:tc>
        <w:tc>
          <w:tcPr>
            <w:tcW w:w="773" w:type="dxa"/>
            <w:tcBorders>
              <w:top w:val="single" w:sz="4" w:space="0" w:color="auto"/>
              <w:left w:val="single" w:sz="4" w:space="0" w:color="auto"/>
            </w:tcBorders>
            <w:shd w:val="clear" w:color="auto" w:fill="FFFFFF"/>
            <w:vAlign w:val="center"/>
          </w:tcPr>
          <w:p w14:paraId="5274D77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90,,9 %</w:t>
            </w:r>
          </w:p>
        </w:tc>
        <w:tc>
          <w:tcPr>
            <w:tcW w:w="773" w:type="dxa"/>
            <w:tcBorders>
              <w:top w:val="single" w:sz="4" w:space="0" w:color="auto"/>
              <w:left w:val="single" w:sz="4" w:space="0" w:color="auto"/>
            </w:tcBorders>
            <w:shd w:val="clear" w:color="auto" w:fill="FFFFFF"/>
            <w:vAlign w:val="center"/>
          </w:tcPr>
          <w:p w14:paraId="677A0E7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84,,7 %</w:t>
            </w:r>
          </w:p>
        </w:tc>
        <w:tc>
          <w:tcPr>
            <w:tcW w:w="773" w:type="dxa"/>
            <w:tcBorders>
              <w:top w:val="single" w:sz="4" w:space="0" w:color="auto"/>
              <w:left w:val="single" w:sz="4" w:space="0" w:color="auto"/>
            </w:tcBorders>
            <w:shd w:val="clear" w:color="auto" w:fill="FFFFFF"/>
            <w:vAlign w:val="center"/>
          </w:tcPr>
          <w:p w14:paraId="50892A0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86,,1 %</w:t>
            </w:r>
          </w:p>
        </w:tc>
        <w:tc>
          <w:tcPr>
            <w:tcW w:w="787" w:type="dxa"/>
            <w:tcBorders>
              <w:top w:val="single" w:sz="4" w:space="0" w:color="auto"/>
              <w:left w:val="single" w:sz="4" w:space="0" w:color="auto"/>
              <w:right w:val="single" w:sz="4" w:space="0" w:color="auto"/>
            </w:tcBorders>
            <w:shd w:val="clear" w:color="auto" w:fill="FFFFFF"/>
            <w:vAlign w:val="center"/>
          </w:tcPr>
          <w:p w14:paraId="391EC0C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82,,2 %</w:t>
            </w:r>
          </w:p>
        </w:tc>
      </w:tr>
      <w:tr w:rsidR="00CA27E3" w:rsidRPr="00D83000" w14:paraId="1E537438" w14:textId="77777777" w:rsidTr="00696F04">
        <w:trPr>
          <w:jc w:val="center"/>
        </w:trPr>
        <w:tc>
          <w:tcPr>
            <w:tcW w:w="993" w:type="dxa"/>
            <w:tcBorders>
              <w:top w:val="single" w:sz="4" w:space="0" w:color="auto"/>
              <w:left w:val="single" w:sz="4" w:space="0" w:color="auto"/>
            </w:tcBorders>
            <w:shd w:val="clear" w:color="auto" w:fill="FFFFFF"/>
            <w:vAlign w:val="center"/>
          </w:tcPr>
          <w:p w14:paraId="28E5F16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lastRenderedPageBreak/>
              <w:t>T8</w:t>
            </w:r>
          </w:p>
        </w:tc>
        <w:tc>
          <w:tcPr>
            <w:tcW w:w="1177" w:type="dxa"/>
            <w:tcBorders>
              <w:top w:val="single" w:sz="4" w:space="0" w:color="auto"/>
              <w:left w:val="single" w:sz="4" w:space="0" w:color="auto"/>
            </w:tcBorders>
            <w:shd w:val="clear" w:color="auto" w:fill="FFFFFF"/>
            <w:vAlign w:val="bottom"/>
          </w:tcPr>
          <w:p w14:paraId="186BD205"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70</w:t>
            </w:r>
          </w:p>
        </w:tc>
        <w:tc>
          <w:tcPr>
            <w:tcW w:w="2288" w:type="dxa"/>
            <w:tcBorders>
              <w:top w:val="single" w:sz="4" w:space="0" w:color="auto"/>
              <w:left w:val="single" w:sz="4" w:space="0" w:color="auto"/>
            </w:tcBorders>
            <w:shd w:val="clear" w:color="auto" w:fill="FFFFFF"/>
            <w:vAlign w:val="bottom"/>
          </w:tcPr>
          <w:p w14:paraId="7B64C11C"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FD-70-E-G13-26/1800</w:t>
            </w:r>
          </w:p>
        </w:tc>
        <w:tc>
          <w:tcPr>
            <w:tcW w:w="803" w:type="dxa"/>
            <w:tcBorders>
              <w:top w:val="single" w:sz="4" w:space="0" w:color="auto"/>
              <w:left w:val="single" w:sz="4" w:space="0" w:color="auto"/>
            </w:tcBorders>
            <w:shd w:val="clear" w:color="auto" w:fill="FFFFFF"/>
            <w:vAlign w:val="center"/>
          </w:tcPr>
          <w:p w14:paraId="6351515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69,,5</w:t>
            </w:r>
          </w:p>
        </w:tc>
        <w:tc>
          <w:tcPr>
            <w:tcW w:w="504" w:type="dxa"/>
            <w:tcBorders>
              <w:top w:val="single" w:sz="4" w:space="0" w:color="auto"/>
              <w:left w:val="single" w:sz="4" w:space="0" w:color="auto"/>
            </w:tcBorders>
            <w:shd w:val="clear" w:color="auto" w:fill="FFFFFF"/>
            <w:vAlign w:val="center"/>
          </w:tcPr>
          <w:p w14:paraId="41A9A44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60</w:t>
            </w:r>
          </w:p>
        </w:tc>
        <w:tc>
          <w:tcPr>
            <w:tcW w:w="778" w:type="dxa"/>
            <w:tcBorders>
              <w:top w:val="single" w:sz="4" w:space="0" w:color="auto"/>
              <w:left w:val="single" w:sz="4" w:space="0" w:color="auto"/>
            </w:tcBorders>
            <w:shd w:val="clear" w:color="auto" w:fill="FFFFFF"/>
            <w:vAlign w:val="center"/>
          </w:tcPr>
          <w:p w14:paraId="240F604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90,,9 %</w:t>
            </w:r>
          </w:p>
        </w:tc>
        <w:tc>
          <w:tcPr>
            <w:tcW w:w="773" w:type="dxa"/>
            <w:tcBorders>
              <w:top w:val="single" w:sz="4" w:space="0" w:color="auto"/>
              <w:left w:val="single" w:sz="4" w:space="0" w:color="auto"/>
            </w:tcBorders>
            <w:shd w:val="clear" w:color="auto" w:fill="FFFFFF"/>
            <w:vAlign w:val="center"/>
          </w:tcPr>
          <w:p w14:paraId="7CED57A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88,,2 %</w:t>
            </w:r>
          </w:p>
        </w:tc>
        <w:tc>
          <w:tcPr>
            <w:tcW w:w="773" w:type="dxa"/>
            <w:tcBorders>
              <w:top w:val="single" w:sz="4" w:space="0" w:color="auto"/>
              <w:left w:val="single" w:sz="4" w:space="0" w:color="auto"/>
            </w:tcBorders>
            <w:shd w:val="clear" w:color="auto" w:fill="FFFFFF"/>
            <w:vAlign w:val="center"/>
          </w:tcPr>
          <w:p w14:paraId="3847EBD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83,,3 %</w:t>
            </w:r>
          </w:p>
        </w:tc>
        <w:tc>
          <w:tcPr>
            <w:tcW w:w="773" w:type="dxa"/>
            <w:tcBorders>
              <w:top w:val="single" w:sz="4" w:space="0" w:color="auto"/>
              <w:left w:val="single" w:sz="4" w:space="0" w:color="auto"/>
            </w:tcBorders>
            <w:shd w:val="clear" w:color="auto" w:fill="FFFFFF"/>
            <w:vAlign w:val="center"/>
          </w:tcPr>
          <w:p w14:paraId="3A3093F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86,,3 %</w:t>
            </w:r>
          </w:p>
        </w:tc>
        <w:tc>
          <w:tcPr>
            <w:tcW w:w="787" w:type="dxa"/>
            <w:tcBorders>
              <w:top w:val="single" w:sz="4" w:space="0" w:color="auto"/>
              <w:left w:val="single" w:sz="4" w:space="0" w:color="auto"/>
              <w:right w:val="single" w:sz="4" w:space="0" w:color="auto"/>
            </w:tcBorders>
            <w:shd w:val="clear" w:color="auto" w:fill="FFFFFF"/>
            <w:vAlign w:val="center"/>
          </w:tcPr>
          <w:p w14:paraId="74A94F4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83,,1 %</w:t>
            </w:r>
          </w:p>
        </w:tc>
      </w:tr>
      <w:tr w:rsidR="00CA27E3" w:rsidRPr="00D83000" w14:paraId="17647D58" w14:textId="77777777" w:rsidTr="00696F04">
        <w:trPr>
          <w:jc w:val="center"/>
        </w:trPr>
        <w:tc>
          <w:tcPr>
            <w:tcW w:w="993" w:type="dxa"/>
            <w:tcBorders>
              <w:top w:val="single" w:sz="4" w:space="0" w:color="auto"/>
              <w:left w:val="single" w:sz="4" w:space="0" w:color="auto"/>
            </w:tcBorders>
            <w:shd w:val="clear" w:color="auto" w:fill="FFFFFF"/>
            <w:vAlign w:val="center"/>
          </w:tcPr>
          <w:p w14:paraId="029E53F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TC-L</w:t>
            </w:r>
          </w:p>
        </w:tc>
        <w:tc>
          <w:tcPr>
            <w:tcW w:w="1177" w:type="dxa"/>
            <w:tcBorders>
              <w:top w:val="single" w:sz="4" w:space="0" w:color="auto"/>
              <w:left w:val="single" w:sz="4" w:space="0" w:color="auto"/>
            </w:tcBorders>
            <w:shd w:val="clear" w:color="auto" w:fill="FFFFFF"/>
            <w:vAlign w:val="bottom"/>
          </w:tcPr>
          <w:p w14:paraId="0F074F52"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18</w:t>
            </w:r>
          </w:p>
        </w:tc>
        <w:tc>
          <w:tcPr>
            <w:tcW w:w="2288" w:type="dxa"/>
            <w:tcBorders>
              <w:top w:val="single" w:sz="4" w:space="0" w:color="auto"/>
              <w:left w:val="single" w:sz="4" w:space="0" w:color="auto"/>
            </w:tcBorders>
            <w:shd w:val="clear" w:color="auto" w:fill="FFFFFF"/>
            <w:vAlign w:val="bottom"/>
          </w:tcPr>
          <w:p w14:paraId="267ABF8E"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FSD-18-E-2G11</w:t>
            </w:r>
          </w:p>
        </w:tc>
        <w:tc>
          <w:tcPr>
            <w:tcW w:w="803" w:type="dxa"/>
            <w:tcBorders>
              <w:top w:val="single" w:sz="4" w:space="0" w:color="auto"/>
              <w:left w:val="single" w:sz="4" w:space="0" w:color="auto"/>
            </w:tcBorders>
            <w:shd w:val="clear" w:color="auto" w:fill="FFFFFF"/>
            <w:vAlign w:val="center"/>
          </w:tcPr>
          <w:p w14:paraId="4E136EF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18</w:t>
            </w:r>
          </w:p>
        </w:tc>
        <w:tc>
          <w:tcPr>
            <w:tcW w:w="504" w:type="dxa"/>
            <w:tcBorders>
              <w:top w:val="single" w:sz="4" w:space="0" w:color="auto"/>
              <w:left w:val="single" w:sz="4" w:space="0" w:color="auto"/>
            </w:tcBorders>
            <w:shd w:val="clear" w:color="auto" w:fill="FFFFFF"/>
            <w:vAlign w:val="center"/>
          </w:tcPr>
          <w:p w14:paraId="5A96004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16</w:t>
            </w:r>
          </w:p>
        </w:tc>
        <w:tc>
          <w:tcPr>
            <w:tcW w:w="778" w:type="dxa"/>
            <w:tcBorders>
              <w:top w:val="single" w:sz="4" w:space="0" w:color="auto"/>
              <w:left w:val="single" w:sz="4" w:space="0" w:color="auto"/>
            </w:tcBorders>
            <w:shd w:val="clear" w:color="auto" w:fill="FFFFFF"/>
            <w:vAlign w:val="center"/>
          </w:tcPr>
          <w:p w14:paraId="4794B2B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87,,7 %</w:t>
            </w:r>
          </w:p>
        </w:tc>
        <w:tc>
          <w:tcPr>
            <w:tcW w:w="773" w:type="dxa"/>
            <w:tcBorders>
              <w:top w:val="single" w:sz="4" w:space="0" w:color="auto"/>
              <w:left w:val="single" w:sz="4" w:space="0" w:color="auto"/>
            </w:tcBorders>
            <w:shd w:val="clear" w:color="auto" w:fill="FFFFFF"/>
            <w:vAlign w:val="center"/>
          </w:tcPr>
          <w:p w14:paraId="2E995FB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4CFAAB2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76,,2 %</w:t>
            </w:r>
          </w:p>
        </w:tc>
        <w:tc>
          <w:tcPr>
            <w:tcW w:w="773" w:type="dxa"/>
            <w:tcBorders>
              <w:top w:val="single" w:sz="4" w:space="0" w:color="auto"/>
              <w:left w:val="single" w:sz="4" w:space="0" w:color="auto"/>
            </w:tcBorders>
            <w:shd w:val="clear" w:color="auto" w:fill="FFFFFF"/>
            <w:vAlign w:val="center"/>
          </w:tcPr>
          <w:p w14:paraId="4784DAA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c>
          <w:tcPr>
            <w:tcW w:w="787" w:type="dxa"/>
            <w:tcBorders>
              <w:top w:val="single" w:sz="4" w:space="0" w:color="auto"/>
              <w:left w:val="single" w:sz="4" w:space="0" w:color="auto"/>
              <w:right w:val="single" w:sz="4" w:space="0" w:color="auto"/>
            </w:tcBorders>
            <w:shd w:val="clear" w:color="auto" w:fill="FFFFFF"/>
            <w:vAlign w:val="center"/>
          </w:tcPr>
          <w:p w14:paraId="4EC5DAB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65,,8 %</w:t>
            </w:r>
          </w:p>
        </w:tc>
      </w:tr>
      <w:tr w:rsidR="00CA27E3" w:rsidRPr="00D83000" w14:paraId="316A3576" w14:textId="77777777" w:rsidTr="00696F04">
        <w:trPr>
          <w:jc w:val="center"/>
        </w:trPr>
        <w:tc>
          <w:tcPr>
            <w:tcW w:w="993" w:type="dxa"/>
            <w:tcBorders>
              <w:top w:val="single" w:sz="4" w:space="0" w:color="auto"/>
              <w:left w:val="single" w:sz="4" w:space="0" w:color="auto"/>
            </w:tcBorders>
            <w:shd w:val="clear" w:color="auto" w:fill="FFFFFF"/>
            <w:vAlign w:val="center"/>
          </w:tcPr>
          <w:p w14:paraId="05294AC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TC-L</w:t>
            </w:r>
          </w:p>
        </w:tc>
        <w:tc>
          <w:tcPr>
            <w:tcW w:w="1177" w:type="dxa"/>
            <w:tcBorders>
              <w:top w:val="single" w:sz="4" w:space="0" w:color="auto"/>
              <w:left w:val="single" w:sz="4" w:space="0" w:color="auto"/>
            </w:tcBorders>
            <w:shd w:val="clear" w:color="auto" w:fill="FFFFFF"/>
            <w:vAlign w:val="bottom"/>
          </w:tcPr>
          <w:p w14:paraId="1C2745EF"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24</w:t>
            </w:r>
          </w:p>
        </w:tc>
        <w:tc>
          <w:tcPr>
            <w:tcW w:w="2288" w:type="dxa"/>
            <w:tcBorders>
              <w:top w:val="single" w:sz="4" w:space="0" w:color="auto"/>
              <w:left w:val="single" w:sz="4" w:space="0" w:color="auto"/>
            </w:tcBorders>
            <w:shd w:val="clear" w:color="auto" w:fill="FFFFFF"/>
            <w:vAlign w:val="bottom"/>
          </w:tcPr>
          <w:p w14:paraId="29B2A2CA"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FSD-24-E-2G11</w:t>
            </w:r>
          </w:p>
        </w:tc>
        <w:tc>
          <w:tcPr>
            <w:tcW w:w="803" w:type="dxa"/>
            <w:tcBorders>
              <w:top w:val="single" w:sz="4" w:space="0" w:color="auto"/>
              <w:left w:val="single" w:sz="4" w:space="0" w:color="auto"/>
            </w:tcBorders>
            <w:shd w:val="clear" w:color="auto" w:fill="FFFFFF"/>
            <w:vAlign w:val="center"/>
          </w:tcPr>
          <w:p w14:paraId="451BE55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24</w:t>
            </w:r>
          </w:p>
        </w:tc>
        <w:tc>
          <w:tcPr>
            <w:tcW w:w="504" w:type="dxa"/>
            <w:tcBorders>
              <w:top w:val="single" w:sz="4" w:space="0" w:color="auto"/>
              <w:left w:val="single" w:sz="4" w:space="0" w:color="auto"/>
            </w:tcBorders>
            <w:shd w:val="clear" w:color="auto" w:fill="FFFFFF"/>
            <w:vAlign w:val="center"/>
          </w:tcPr>
          <w:p w14:paraId="5A3B13A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22</w:t>
            </w:r>
          </w:p>
        </w:tc>
        <w:tc>
          <w:tcPr>
            <w:tcW w:w="778" w:type="dxa"/>
            <w:tcBorders>
              <w:top w:val="single" w:sz="4" w:space="0" w:color="auto"/>
              <w:left w:val="single" w:sz="4" w:space="0" w:color="auto"/>
            </w:tcBorders>
            <w:shd w:val="clear" w:color="auto" w:fill="FFFFFF"/>
            <w:vAlign w:val="center"/>
          </w:tcPr>
          <w:p w14:paraId="276DB29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90,,7 %</w:t>
            </w:r>
          </w:p>
        </w:tc>
        <w:tc>
          <w:tcPr>
            <w:tcW w:w="773" w:type="dxa"/>
            <w:tcBorders>
              <w:top w:val="single" w:sz="4" w:space="0" w:color="auto"/>
              <w:left w:val="single" w:sz="4" w:space="0" w:color="auto"/>
            </w:tcBorders>
            <w:shd w:val="clear" w:color="auto" w:fill="FFFFFF"/>
            <w:vAlign w:val="center"/>
          </w:tcPr>
          <w:p w14:paraId="36699BF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88,,0 %</w:t>
            </w:r>
          </w:p>
        </w:tc>
        <w:tc>
          <w:tcPr>
            <w:tcW w:w="773" w:type="dxa"/>
            <w:tcBorders>
              <w:top w:val="single" w:sz="4" w:space="0" w:color="auto"/>
              <w:left w:val="single" w:sz="4" w:space="0" w:color="auto"/>
            </w:tcBorders>
            <w:shd w:val="clear" w:color="auto" w:fill="FFFFFF"/>
            <w:vAlign w:val="center"/>
          </w:tcPr>
          <w:p w14:paraId="0C91C47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81,,5 %</w:t>
            </w:r>
          </w:p>
        </w:tc>
        <w:tc>
          <w:tcPr>
            <w:tcW w:w="773" w:type="dxa"/>
            <w:tcBorders>
              <w:top w:val="single" w:sz="4" w:space="0" w:color="auto"/>
              <w:left w:val="single" w:sz="4" w:space="0" w:color="auto"/>
            </w:tcBorders>
            <w:shd w:val="clear" w:color="auto" w:fill="FFFFFF"/>
            <w:vAlign w:val="center"/>
          </w:tcPr>
          <w:p w14:paraId="4F2A489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76,,0 %</w:t>
            </w:r>
          </w:p>
        </w:tc>
        <w:tc>
          <w:tcPr>
            <w:tcW w:w="787" w:type="dxa"/>
            <w:tcBorders>
              <w:top w:val="single" w:sz="4" w:space="0" w:color="auto"/>
              <w:left w:val="single" w:sz="4" w:space="0" w:color="auto"/>
              <w:right w:val="single" w:sz="4" w:space="0" w:color="auto"/>
            </w:tcBorders>
            <w:shd w:val="clear" w:color="auto" w:fill="FFFFFF"/>
            <w:vAlign w:val="center"/>
          </w:tcPr>
          <w:p w14:paraId="242EC5E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r>
      <w:tr w:rsidR="00CA27E3" w:rsidRPr="00D83000" w14:paraId="4F425A82" w14:textId="77777777" w:rsidTr="00696F04">
        <w:trPr>
          <w:jc w:val="center"/>
        </w:trPr>
        <w:tc>
          <w:tcPr>
            <w:tcW w:w="993" w:type="dxa"/>
            <w:tcBorders>
              <w:top w:val="single" w:sz="4" w:space="0" w:color="auto"/>
              <w:left w:val="single" w:sz="4" w:space="0" w:color="auto"/>
            </w:tcBorders>
            <w:shd w:val="clear" w:color="auto" w:fill="FFFFFF"/>
            <w:vAlign w:val="center"/>
          </w:tcPr>
          <w:p w14:paraId="5291B8D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TC-L</w:t>
            </w:r>
          </w:p>
        </w:tc>
        <w:tc>
          <w:tcPr>
            <w:tcW w:w="1177" w:type="dxa"/>
            <w:tcBorders>
              <w:top w:val="single" w:sz="4" w:space="0" w:color="auto"/>
              <w:left w:val="single" w:sz="4" w:space="0" w:color="auto"/>
            </w:tcBorders>
            <w:shd w:val="clear" w:color="auto" w:fill="FFFFFF"/>
            <w:vAlign w:val="bottom"/>
          </w:tcPr>
          <w:p w14:paraId="3B6D3386"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36</w:t>
            </w:r>
          </w:p>
        </w:tc>
        <w:tc>
          <w:tcPr>
            <w:tcW w:w="2288" w:type="dxa"/>
            <w:tcBorders>
              <w:top w:val="single" w:sz="4" w:space="0" w:color="auto"/>
              <w:left w:val="single" w:sz="4" w:space="0" w:color="auto"/>
            </w:tcBorders>
            <w:shd w:val="clear" w:color="auto" w:fill="FFFFFF"/>
            <w:vAlign w:val="bottom"/>
          </w:tcPr>
          <w:p w14:paraId="675E7B96"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FSD-36-E-2G11</w:t>
            </w:r>
          </w:p>
        </w:tc>
        <w:tc>
          <w:tcPr>
            <w:tcW w:w="803" w:type="dxa"/>
            <w:tcBorders>
              <w:top w:val="single" w:sz="4" w:space="0" w:color="auto"/>
              <w:left w:val="single" w:sz="4" w:space="0" w:color="auto"/>
            </w:tcBorders>
            <w:shd w:val="clear" w:color="auto" w:fill="FFFFFF"/>
            <w:vAlign w:val="center"/>
          </w:tcPr>
          <w:p w14:paraId="2EB8168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36</w:t>
            </w:r>
          </w:p>
        </w:tc>
        <w:tc>
          <w:tcPr>
            <w:tcW w:w="504" w:type="dxa"/>
            <w:tcBorders>
              <w:top w:val="single" w:sz="4" w:space="0" w:color="auto"/>
              <w:left w:val="single" w:sz="4" w:space="0" w:color="auto"/>
            </w:tcBorders>
            <w:shd w:val="clear" w:color="auto" w:fill="FFFFFF"/>
            <w:vAlign w:val="center"/>
          </w:tcPr>
          <w:p w14:paraId="6744847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778" w:type="dxa"/>
            <w:tcBorders>
              <w:top w:val="single" w:sz="4" w:space="0" w:color="auto"/>
              <w:left w:val="single" w:sz="4" w:space="0" w:color="auto"/>
            </w:tcBorders>
            <w:shd w:val="clear" w:color="auto" w:fill="FFFFFF"/>
            <w:vAlign w:val="center"/>
          </w:tcPr>
          <w:p w14:paraId="4A99CF9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09BEE82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7BDD988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7F325EB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83,,4 %</w:t>
            </w:r>
          </w:p>
        </w:tc>
        <w:tc>
          <w:tcPr>
            <w:tcW w:w="787" w:type="dxa"/>
            <w:tcBorders>
              <w:top w:val="single" w:sz="4" w:space="0" w:color="auto"/>
              <w:left w:val="single" w:sz="4" w:space="0" w:color="auto"/>
              <w:right w:val="single" w:sz="4" w:space="0" w:color="auto"/>
            </w:tcBorders>
            <w:shd w:val="clear" w:color="auto" w:fill="FFFFFF"/>
            <w:vAlign w:val="center"/>
          </w:tcPr>
          <w:p w14:paraId="4A69933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79,,5 %</w:t>
            </w:r>
          </w:p>
        </w:tc>
      </w:tr>
      <w:tr w:rsidR="00CA27E3" w:rsidRPr="00D83000" w14:paraId="2C16F3EF" w14:textId="77777777" w:rsidTr="00696F04">
        <w:trPr>
          <w:jc w:val="center"/>
        </w:trPr>
        <w:tc>
          <w:tcPr>
            <w:tcW w:w="993" w:type="dxa"/>
            <w:tcBorders>
              <w:top w:val="single" w:sz="4" w:space="0" w:color="auto"/>
              <w:left w:val="single" w:sz="4" w:space="0" w:color="auto"/>
            </w:tcBorders>
            <w:shd w:val="clear" w:color="auto" w:fill="FFFFFF"/>
            <w:vAlign w:val="center"/>
          </w:tcPr>
          <w:p w14:paraId="3F9714C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TCF</w:t>
            </w:r>
          </w:p>
        </w:tc>
        <w:tc>
          <w:tcPr>
            <w:tcW w:w="1177" w:type="dxa"/>
            <w:tcBorders>
              <w:top w:val="single" w:sz="4" w:space="0" w:color="auto"/>
              <w:left w:val="single" w:sz="4" w:space="0" w:color="auto"/>
            </w:tcBorders>
            <w:shd w:val="clear" w:color="auto" w:fill="FFFFFF"/>
            <w:vAlign w:val="bottom"/>
          </w:tcPr>
          <w:p w14:paraId="2204F12F"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18</w:t>
            </w:r>
          </w:p>
        </w:tc>
        <w:tc>
          <w:tcPr>
            <w:tcW w:w="2288" w:type="dxa"/>
            <w:tcBorders>
              <w:top w:val="single" w:sz="4" w:space="0" w:color="auto"/>
              <w:left w:val="single" w:sz="4" w:space="0" w:color="auto"/>
            </w:tcBorders>
            <w:shd w:val="clear" w:color="auto" w:fill="FFFFFF"/>
            <w:vAlign w:val="bottom"/>
          </w:tcPr>
          <w:p w14:paraId="32A55837"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FSS-18-E-2G10</w:t>
            </w:r>
          </w:p>
        </w:tc>
        <w:tc>
          <w:tcPr>
            <w:tcW w:w="803" w:type="dxa"/>
            <w:tcBorders>
              <w:top w:val="single" w:sz="4" w:space="0" w:color="auto"/>
              <w:left w:val="single" w:sz="4" w:space="0" w:color="auto"/>
            </w:tcBorders>
            <w:shd w:val="clear" w:color="auto" w:fill="FFFFFF"/>
            <w:vAlign w:val="center"/>
          </w:tcPr>
          <w:p w14:paraId="0C35FC0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18</w:t>
            </w:r>
          </w:p>
        </w:tc>
        <w:tc>
          <w:tcPr>
            <w:tcW w:w="504" w:type="dxa"/>
            <w:tcBorders>
              <w:top w:val="single" w:sz="4" w:space="0" w:color="auto"/>
              <w:left w:val="single" w:sz="4" w:space="0" w:color="auto"/>
            </w:tcBorders>
            <w:shd w:val="clear" w:color="auto" w:fill="FFFFFF"/>
            <w:vAlign w:val="center"/>
          </w:tcPr>
          <w:p w14:paraId="0E12DF1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16</w:t>
            </w:r>
          </w:p>
        </w:tc>
        <w:tc>
          <w:tcPr>
            <w:tcW w:w="778" w:type="dxa"/>
            <w:tcBorders>
              <w:top w:val="single" w:sz="4" w:space="0" w:color="auto"/>
              <w:left w:val="single" w:sz="4" w:space="0" w:color="auto"/>
            </w:tcBorders>
            <w:shd w:val="clear" w:color="auto" w:fill="FFFFFF"/>
            <w:vAlign w:val="center"/>
          </w:tcPr>
          <w:p w14:paraId="0505CFA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87,,7 %</w:t>
            </w:r>
          </w:p>
        </w:tc>
        <w:tc>
          <w:tcPr>
            <w:tcW w:w="773" w:type="dxa"/>
            <w:tcBorders>
              <w:top w:val="single" w:sz="4" w:space="0" w:color="auto"/>
              <w:left w:val="single" w:sz="4" w:space="0" w:color="auto"/>
            </w:tcBorders>
            <w:shd w:val="clear" w:color="auto" w:fill="FFFFFF"/>
            <w:vAlign w:val="center"/>
          </w:tcPr>
          <w:p w14:paraId="4AFAE52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16369DB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76,,2 %</w:t>
            </w:r>
          </w:p>
        </w:tc>
        <w:tc>
          <w:tcPr>
            <w:tcW w:w="773" w:type="dxa"/>
            <w:tcBorders>
              <w:top w:val="single" w:sz="4" w:space="0" w:color="auto"/>
              <w:left w:val="single" w:sz="4" w:space="0" w:color="auto"/>
            </w:tcBorders>
            <w:shd w:val="clear" w:color="auto" w:fill="FFFFFF"/>
            <w:vAlign w:val="center"/>
          </w:tcPr>
          <w:p w14:paraId="484DD31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c>
          <w:tcPr>
            <w:tcW w:w="787" w:type="dxa"/>
            <w:tcBorders>
              <w:top w:val="single" w:sz="4" w:space="0" w:color="auto"/>
              <w:left w:val="single" w:sz="4" w:space="0" w:color="auto"/>
              <w:right w:val="single" w:sz="4" w:space="0" w:color="auto"/>
            </w:tcBorders>
            <w:shd w:val="clear" w:color="auto" w:fill="FFFFFF"/>
            <w:vAlign w:val="center"/>
          </w:tcPr>
          <w:p w14:paraId="6CA90AF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65,,8 %</w:t>
            </w:r>
          </w:p>
        </w:tc>
      </w:tr>
      <w:tr w:rsidR="00CA27E3" w:rsidRPr="00D83000" w14:paraId="5DDF670A" w14:textId="77777777" w:rsidTr="00696F04">
        <w:trPr>
          <w:jc w:val="center"/>
        </w:trPr>
        <w:tc>
          <w:tcPr>
            <w:tcW w:w="993" w:type="dxa"/>
            <w:tcBorders>
              <w:top w:val="single" w:sz="4" w:space="0" w:color="auto"/>
              <w:left w:val="single" w:sz="4" w:space="0" w:color="auto"/>
            </w:tcBorders>
            <w:shd w:val="clear" w:color="auto" w:fill="FFFFFF"/>
            <w:vAlign w:val="center"/>
          </w:tcPr>
          <w:p w14:paraId="0798ECD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TCF</w:t>
            </w:r>
          </w:p>
        </w:tc>
        <w:tc>
          <w:tcPr>
            <w:tcW w:w="1177" w:type="dxa"/>
            <w:tcBorders>
              <w:top w:val="single" w:sz="4" w:space="0" w:color="auto"/>
              <w:left w:val="single" w:sz="4" w:space="0" w:color="auto"/>
            </w:tcBorders>
            <w:shd w:val="clear" w:color="auto" w:fill="FFFFFF"/>
            <w:vAlign w:val="bottom"/>
          </w:tcPr>
          <w:p w14:paraId="10C3E0B6"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24</w:t>
            </w:r>
          </w:p>
        </w:tc>
        <w:tc>
          <w:tcPr>
            <w:tcW w:w="2288" w:type="dxa"/>
            <w:tcBorders>
              <w:top w:val="single" w:sz="4" w:space="0" w:color="auto"/>
              <w:left w:val="single" w:sz="4" w:space="0" w:color="auto"/>
            </w:tcBorders>
            <w:shd w:val="clear" w:color="auto" w:fill="FFFFFF"/>
            <w:vAlign w:val="bottom"/>
          </w:tcPr>
          <w:p w14:paraId="4590545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FSS-24-E-2G10</w:t>
            </w:r>
          </w:p>
        </w:tc>
        <w:tc>
          <w:tcPr>
            <w:tcW w:w="803" w:type="dxa"/>
            <w:tcBorders>
              <w:top w:val="single" w:sz="4" w:space="0" w:color="auto"/>
              <w:left w:val="single" w:sz="4" w:space="0" w:color="auto"/>
            </w:tcBorders>
            <w:shd w:val="clear" w:color="auto" w:fill="FFFFFF"/>
            <w:vAlign w:val="center"/>
          </w:tcPr>
          <w:p w14:paraId="4D00B6F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24</w:t>
            </w:r>
          </w:p>
        </w:tc>
        <w:tc>
          <w:tcPr>
            <w:tcW w:w="504" w:type="dxa"/>
            <w:tcBorders>
              <w:top w:val="single" w:sz="4" w:space="0" w:color="auto"/>
              <w:left w:val="single" w:sz="4" w:space="0" w:color="auto"/>
            </w:tcBorders>
            <w:shd w:val="clear" w:color="auto" w:fill="FFFFFF"/>
            <w:vAlign w:val="center"/>
          </w:tcPr>
          <w:p w14:paraId="2F7728D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22</w:t>
            </w:r>
          </w:p>
        </w:tc>
        <w:tc>
          <w:tcPr>
            <w:tcW w:w="778" w:type="dxa"/>
            <w:tcBorders>
              <w:top w:val="single" w:sz="4" w:space="0" w:color="auto"/>
              <w:left w:val="single" w:sz="4" w:space="0" w:color="auto"/>
            </w:tcBorders>
            <w:shd w:val="clear" w:color="auto" w:fill="FFFFFF"/>
            <w:vAlign w:val="center"/>
          </w:tcPr>
          <w:p w14:paraId="0967CD6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90,,7 %</w:t>
            </w:r>
          </w:p>
        </w:tc>
        <w:tc>
          <w:tcPr>
            <w:tcW w:w="773" w:type="dxa"/>
            <w:tcBorders>
              <w:top w:val="single" w:sz="4" w:space="0" w:color="auto"/>
              <w:left w:val="single" w:sz="4" w:space="0" w:color="auto"/>
            </w:tcBorders>
            <w:shd w:val="clear" w:color="auto" w:fill="FFFFFF"/>
            <w:vAlign w:val="center"/>
          </w:tcPr>
          <w:p w14:paraId="6E3EB7F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88,,0 %</w:t>
            </w:r>
          </w:p>
        </w:tc>
        <w:tc>
          <w:tcPr>
            <w:tcW w:w="773" w:type="dxa"/>
            <w:tcBorders>
              <w:top w:val="single" w:sz="4" w:space="0" w:color="auto"/>
              <w:left w:val="single" w:sz="4" w:space="0" w:color="auto"/>
            </w:tcBorders>
            <w:shd w:val="clear" w:color="auto" w:fill="FFFFFF"/>
            <w:vAlign w:val="center"/>
          </w:tcPr>
          <w:p w14:paraId="77243B4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81,,5 %</w:t>
            </w:r>
          </w:p>
        </w:tc>
        <w:tc>
          <w:tcPr>
            <w:tcW w:w="773" w:type="dxa"/>
            <w:tcBorders>
              <w:top w:val="single" w:sz="4" w:space="0" w:color="auto"/>
              <w:left w:val="single" w:sz="4" w:space="0" w:color="auto"/>
            </w:tcBorders>
            <w:shd w:val="clear" w:color="auto" w:fill="FFFFFF"/>
            <w:vAlign w:val="center"/>
          </w:tcPr>
          <w:p w14:paraId="4402BD4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76,,0 %</w:t>
            </w:r>
          </w:p>
        </w:tc>
        <w:tc>
          <w:tcPr>
            <w:tcW w:w="787" w:type="dxa"/>
            <w:tcBorders>
              <w:top w:val="single" w:sz="4" w:space="0" w:color="auto"/>
              <w:left w:val="single" w:sz="4" w:space="0" w:color="auto"/>
              <w:right w:val="single" w:sz="4" w:space="0" w:color="auto"/>
            </w:tcBorders>
            <w:shd w:val="clear" w:color="auto" w:fill="FFFFFF"/>
            <w:vAlign w:val="center"/>
          </w:tcPr>
          <w:p w14:paraId="3824265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r>
      <w:tr w:rsidR="00CA27E3" w:rsidRPr="00D83000" w14:paraId="45B722C8" w14:textId="77777777" w:rsidTr="00696F04">
        <w:trPr>
          <w:jc w:val="center"/>
        </w:trPr>
        <w:tc>
          <w:tcPr>
            <w:tcW w:w="993" w:type="dxa"/>
            <w:tcBorders>
              <w:top w:val="single" w:sz="4" w:space="0" w:color="auto"/>
              <w:left w:val="single" w:sz="4" w:space="0" w:color="auto"/>
            </w:tcBorders>
            <w:shd w:val="clear" w:color="auto" w:fill="FFFFFF"/>
            <w:vAlign w:val="center"/>
          </w:tcPr>
          <w:p w14:paraId="5E80D48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TCF</w:t>
            </w:r>
          </w:p>
        </w:tc>
        <w:tc>
          <w:tcPr>
            <w:tcW w:w="1177" w:type="dxa"/>
            <w:tcBorders>
              <w:top w:val="single" w:sz="4" w:space="0" w:color="auto"/>
              <w:left w:val="single" w:sz="4" w:space="0" w:color="auto"/>
            </w:tcBorders>
            <w:shd w:val="clear" w:color="auto" w:fill="FFFFFF"/>
            <w:vAlign w:val="bottom"/>
          </w:tcPr>
          <w:p w14:paraId="0F654BF5"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36</w:t>
            </w:r>
          </w:p>
        </w:tc>
        <w:tc>
          <w:tcPr>
            <w:tcW w:w="2288" w:type="dxa"/>
            <w:tcBorders>
              <w:top w:val="single" w:sz="4" w:space="0" w:color="auto"/>
              <w:left w:val="single" w:sz="4" w:space="0" w:color="auto"/>
            </w:tcBorders>
            <w:shd w:val="clear" w:color="auto" w:fill="FFFFFF"/>
            <w:vAlign w:val="bottom"/>
          </w:tcPr>
          <w:p w14:paraId="3C1FA97B"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FSS-36-E-2G10</w:t>
            </w:r>
          </w:p>
        </w:tc>
        <w:tc>
          <w:tcPr>
            <w:tcW w:w="803" w:type="dxa"/>
            <w:tcBorders>
              <w:top w:val="single" w:sz="4" w:space="0" w:color="auto"/>
              <w:left w:val="single" w:sz="4" w:space="0" w:color="auto"/>
            </w:tcBorders>
            <w:shd w:val="clear" w:color="auto" w:fill="FFFFFF"/>
            <w:vAlign w:val="center"/>
          </w:tcPr>
          <w:p w14:paraId="25B5A55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36</w:t>
            </w:r>
          </w:p>
        </w:tc>
        <w:tc>
          <w:tcPr>
            <w:tcW w:w="504" w:type="dxa"/>
            <w:tcBorders>
              <w:top w:val="single" w:sz="4" w:space="0" w:color="auto"/>
              <w:left w:val="single" w:sz="4" w:space="0" w:color="auto"/>
            </w:tcBorders>
            <w:shd w:val="clear" w:color="auto" w:fill="FFFFFF"/>
            <w:vAlign w:val="center"/>
          </w:tcPr>
          <w:p w14:paraId="44956D7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778" w:type="dxa"/>
            <w:tcBorders>
              <w:top w:val="single" w:sz="4" w:space="0" w:color="auto"/>
              <w:left w:val="single" w:sz="4" w:space="0" w:color="auto"/>
            </w:tcBorders>
            <w:shd w:val="clear" w:color="auto" w:fill="FFFFFF"/>
            <w:vAlign w:val="center"/>
          </w:tcPr>
          <w:p w14:paraId="3394A30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683E291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33BC2FE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5585854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83,,4 %</w:t>
            </w:r>
          </w:p>
        </w:tc>
        <w:tc>
          <w:tcPr>
            <w:tcW w:w="787" w:type="dxa"/>
            <w:tcBorders>
              <w:top w:val="single" w:sz="4" w:space="0" w:color="auto"/>
              <w:left w:val="single" w:sz="4" w:space="0" w:color="auto"/>
              <w:right w:val="single" w:sz="4" w:space="0" w:color="auto"/>
            </w:tcBorders>
            <w:shd w:val="clear" w:color="auto" w:fill="FFFFFF"/>
            <w:vAlign w:val="center"/>
          </w:tcPr>
          <w:p w14:paraId="7E56097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79,,5 %</w:t>
            </w:r>
          </w:p>
        </w:tc>
      </w:tr>
      <w:tr w:rsidR="00CA27E3" w:rsidRPr="00D83000" w14:paraId="44F7F2B9" w14:textId="77777777" w:rsidTr="00696F04">
        <w:trPr>
          <w:jc w:val="center"/>
        </w:trPr>
        <w:tc>
          <w:tcPr>
            <w:tcW w:w="993" w:type="dxa"/>
            <w:tcBorders>
              <w:top w:val="single" w:sz="4" w:space="0" w:color="auto"/>
              <w:left w:val="single" w:sz="4" w:space="0" w:color="auto"/>
              <w:bottom w:val="single" w:sz="4" w:space="0" w:color="auto"/>
            </w:tcBorders>
            <w:shd w:val="clear" w:color="auto" w:fill="FFFFFF"/>
            <w:vAlign w:val="center"/>
          </w:tcPr>
          <w:p w14:paraId="1DBE1DD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TC-D /</w:t>
            </w:r>
          </w:p>
        </w:tc>
        <w:tc>
          <w:tcPr>
            <w:tcW w:w="1177" w:type="dxa"/>
            <w:tcBorders>
              <w:top w:val="single" w:sz="4" w:space="0" w:color="auto"/>
              <w:left w:val="single" w:sz="4" w:space="0" w:color="auto"/>
              <w:bottom w:val="single" w:sz="4" w:space="0" w:color="auto"/>
            </w:tcBorders>
            <w:shd w:val="clear" w:color="auto" w:fill="FFFFFF"/>
            <w:vAlign w:val="bottom"/>
          </w:tcPr>
          <w:p w14:paraId="218A6F29"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10</w:t>
            </w:r>
          </w:p>
        </w:tc>
        <w:tc>
          <w:tcPr>
            <w:tcW w:w="2288" w:type="dxa"/>
            <w:tcBorders>
              <w:top w:val="single" w:sz="4" w:space="0" w:color="auto"/>
              <w:left w:val="single" w:sz="4" w:space="0" w:color="auto"/>
              <w:bottom w:val="single" w:sz="4" w:space="0" w:color="auto"/>
            </w:tcBorders>
            <w:shd w:val="clear" w:color="auto" w:fill="FFFFFF"/>
            <w:vAlign w:val="bottom"/>
          </w:tcPr>
          <w:p w14:paraId="56D72D05"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FSQ-10-E-G24q=1</w:t>
            </w:r>
          </w:p>
        </w:tc>
        <w:tc>
          <w:tcPr>
            <w:tcW w:w="803" w:type="dxa"/>
            <w:tcBorders>
              <w:top w:val="single" w:sz="4" w:space="0" w:color="auto"/>
              <w:left w:val="single" w:sz="4" w:space="0" w:color="auto"/>
              <w:bottom w:val="single" w:sz="4" w:space="0" w:color="auto"/>
            </w:tcBorders>
            <w:shd w:val="clear" w:color="auto" w:fill="FFFFFF"/>
            <w:vAlign w:val="center"/>
          </w:tcPr>
          <w:p w14:paraId="17E6EA5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10</w:t>
            </w:r>
          </w:p>
        </w:tc>
        <w:tc>
          <w:tcPr>
            <w:tcW w:w="504" w:type="dxa"/>
            <w:tcBorders>
              <w:top w:val="single" w:sz="4" w:space="0" w:color="auto"/>
              <w:left w:val="single" w:sz="4" w:space="0" w:color="auto"/>
              <w:bottom w:val="single" w:sz="4" w:space="0" w:color="auto"/>
            </w:tcBorders>
            <w:shd w:val="clear" w:color="auto" w:fill="FFFFFF"/>
            <w:vAlign w:val="center"/>
          </w:tcPr>
          <w:p w14:paraId="10B8D71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9,5</w:t>
            </w:r>
          </w:p>
        </w:tc>
        <w:tc>
          <w:tcPr>
            <w:tcW w:w="778" w:type="dxa"/>
            <w:tcBorders>
              <w:top w:val="single" w:sz="4" w:space="0" w:color="auto"/>
              <w:left w:val="single" w:sz="4" w:space="0" w:color="auto"/>
              <w:bottom w:val="single" w:sz="4" w:space="0" w:color="auto"/>
            </w:tcBorders>
            <w:shd w:val="clear" w:color="auto" w:fill="FFFFFF"/>
            <w:vAlign w:val="center"/>
          </w:tcPr>
          <w:p w14:paraId="1E1F30E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89,,4 %</w:t>
            </w:r>
          </w:p>
        </w:tc>
        <w:tc>
          <w:tcPr>
            <w:tcW w:w="773" w:type="dxa"/>
            <w:tcBorders>
              <w:top w:val="single" w:sz="4" w:space="0" w:color="auto"/>
              <w:left w:val="single" w:sz="4" w:space="0" w:color="auto"/>
              <w:bottom w:val="single" w:sz="4" w:space="0" w:color="auto"/>
            </w:tcBorders>
            <w:shd w:val="clear" w:color="auto" w:fill="FFFFFF"/>
            <w:vAlign w:val="center"/>
          </w:tcPr>
          <w:p w14:paraId="2DA4726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86,,4 %</w:t>
            </w:r>
          </w:p>
        </w:tc>
        <w:tc>
          <w:tcPr>
            <w:tcW w:w="773" w:type="dxa"/>
            <w:tcBorders>
              <w:top w:val="single" w:sz="4" w:space="0" w:color="auto"/>
              <w:left w:val="single" w:sz="4" w:space="0" w:color="auto"/>
              <w:bottom w:val="single" w:sz="4" w:space="0" w:color="auto"/>
            </w:tcBorders>
            <w:shd w:val="clear" w:color="auto" w:fill="FFFFFF"/>
            <w:vAlign w:val="center"/>
          </w:tcPr>
          <w:p w14:paraId="18C49FE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73,,1 %</w:t>
            </w:r>
          </w:p>
        </w:tc>
        <w:tc>
          <w:tcPr>
            <w:tcW w:w="773" w:type="dxa"/>
            <w:tcBorders>
              <w:top w:val="single" w:sz="4" w:space="0" w:color="auto"/>
              <w:left w:val="single" w:sz="4" w:space="0" w:color="auto"/>
              <w:bottom w:val="single" w:sz="4" w:space="0" w:color="auto"/>
            </w:tcBorders>
            <w:shd w:val="clear" w:color="auto" w:fill="FFFFFF"/>
            <w:vAlign w:val="center"/>
          </w:tcPr>
          <w:p w14:paraId="4A36F7E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67,,9 %</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39D1E98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59,,4 %</w:t>
            </w:r>
          </w:p>
        </w:tc>
      </w:tr>
      <w:tr w:rsidR="00CA27E3" w:rsidRPr="00D83000" w14:paraId="10A04F76"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7277C8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DE</w:t>
            </w:r>
          </w:p>
        </w:tc>
        <w:tc>
          <w:tcPr>
            <w:tcW w:w="1177" w:type="dxa"/>
            <w:tcBorders>
              <w:top w:val="single" w:sz="4" w:space="0" w:color="auto"/>
              <w:left w:val="single" w:sz="4" w:space="0" w:color="auto"/>
            </w:tcBorders>
            <w:shd w:val="clear" w:color="auto" w:fill="FFFFFF"/>
          </w:tcPr>
          <w:p w14:paraId="40E0E7F0" w14:textId="77777777" w:rsidR="00CA27E3" w:rsidRPr="00D83000" w:rsidRDefault="00CA27E3" w:rsidP="00D83000">
            <w:pPr>
              <w:spacing w:after="120"/>
              <w:rPr>
                <w:rFonts w:ascii="Sylfaen" w:hAnsi="Sylfaen" w:cs="Sylfaen"/>
                <w:sz w:val="16"/>
                <w:szCs w:val="16"/>
              </w:rPr>
            </w:pPr>
          </w:p>
        </w:tc>
        <w:tc>
          <w:tcPr>
            <w:tcW w:w="2288" w:type="dxa"/>
            <w:tcBorders>
              <w:top w:val="single" w:sz="4" w:space="0" w:color="auto"/>
              <w:left w:val="single" w:sz="4" w:space="0" w:color="auto"/>
            </w:tcBorders>
            <w:shd w:val="clear" w:color="auto" w:fill="FFFFFF"/>
            <w:vAlign w:val="bottom"/>
          </w:tcPr>
          <w:p w14:paraId="0F2EB224"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FSQ-10-I-G24d=1</w:t>
            </w:r>
          </w:p>
        </w:tc>
        <w:tc>
          <w:tcPr>
            <w:tcW w:w="803" w:type="dxa"/>
            <w:tcBorders>
              <w:top w:val="single" w:sz="4" w:space="0" w:color="auto"/>
              <w:left w:val="single" w:sz="4" w:space="0" w:color="auto"/>
            </w:tcBorders>
            <w:shd w:val="clear" w:color="auto" w:fill="FFFFFF"/>
            <w:vAlign w:val="center"/>
          </w:tcPr>
          <w:p w14:paraId="0D74BB4A" w14:textId="77777777" w:rsidR="00CA27E3" w:rsidRPr="00D83000" w:rsidRDefault="00CA27E3" w:rsidP="00696F04">
            <w:pPr>
              <w:spacing w:after="120"/>
              <w:jc w:val="center"/>
              <w:rPr>
                <w:rFonts w:ascii="Sylfaen" w:hAnsi="Sylfaen" w:cs="Sylfaen"/>
                <w:sz w:val="16"/>
                <w:szCs w:val="16"/>
              </w:rPr>
            </w:pPr>
          </w:p>
        </w:tc>
        <w:tc>
          <w:tcPr>
            <w:tcW w:w="504" w:type="dxa"/>
            <w:tcBorders>
              <w:top w:val="single" w:sz="4" w:space="0" w:color="auto"/>
              <w:left w:val="single" w:sz="4" w:space="0" w:color="auto"/>
            </w:tcBorders>
            <w:shd w:val="clear" w:color="auto" w:fill="FFFFFF"/>
            <w:vAlign w:val="center"/>
          </w:tcPr>
          <w:p w14:paraId="5241BFCD" w14:textId="77777777" w:rsidR="00CA27E3" w:rsidRPr="00D83000" w:rsidRDefault="00CA27E3" w:rsidP="00696F04">
            <w:pPr>
              <w:spacing w:after="120"/>
              <w:jc w:val="center"/>
              <w:rPr>
                <w:rFonts w:ascii="Sylfaen" w:hAnsi="Sylfaen" w:cs="Sylfaen"/>
                <w:sz w:val="16"/>
                <w:szCs w:val="16"/>
              </w:rPr>
            </w:pPr>
          </w:p>
        </w:tc>
        <w:tc>
          <w:tcPr>
            <w:tcW w:w="778" w:type="dxa"/>
            <w:tcBorders>
              <w:top w:val="single" w:sz="4" w:space="0" w:color="auto"/>
              <w:left w:val="single" w:sz="4" w:space="0" w:color="auto"/>
            </w:tcBorders>
            <w:shd w:val="clear" w:color="auto" w:fill="FFFFFF"/>
            <w:vAlign w:val="center"/>
          </w:tcPr>
          <w:p w14:paraId="3F6804F9" w14:textId="77777777" w:rsidR="00CA27E3" w:rsidRPr="00D83000" w:rsidRDefault="00CA27E3" w:rsidP="00696F04">
            <w:pPr>
              <w:spacing w:after="120"/>
              <w:jc w:val="center"/>
              <w:rPr>
                <w:rFonts w:ascii="Sylfaen" w:hAnsi="Sylfaen" w:cs="Sylfaen"/>
                <w:sz w:val="16"/>
                <w:szCs w:val="16"/>
              </w:rPr>
            </w:pPr>
          </w:p>
        </w:tc>
        <w:tc>
          <w:tcPr>
            <w:tcW w:w="773" w:type="dxa"/>
            <w:tcBorders>
              <w:top w:val="single" w:sz="4" w:space="0" w:color="auto"/>
              <w:left w:val="single" w:sz="4" w:space="0" w:color="auto"/>
            </w:tcBorders>
            <w:shd w:val="clear" w:color="auto" w:fill="FFFFFF"/>
            <w:vAlign w:val="center"/>
          </w:tcPr>
          <w:p w14:paraId="149394B5" w14:textId="77777777" w:rsidR="00CA27E3" w:rsidRPr="00D83000" w:rsidRDefault="00CA27E3" w:rsidP="00696F04">
            <w:pPr>
              <w:spacing w:after="120"/>
              <w:jc w:val="center"/>
              <w:rPr>
                <w:rFonts w:ascii="Sylfaen" w:hAnsi="Sylfaen" w:cs="Sylfaen"/>
                <w:sz w:val="16"/>
                <w:szCs w:val="16"/>
              </w:rPr>
            </w:pPr>
          </w:p>
        </w:tc>
        <w:tc>
          <w:tcPr>
            <w:tcW w:w="773" w:type="dxa"/>
            <w:tcBorders>
              <w:top w:val="single" w:sz="4" w:space="0" w:color="auto"/>
              <w:left w:val="single" w:sz="4" w:space="0" w:color="auto"/>
            </w:tcBorders>
            <w:shd w:val="clear" w:color="auto" w:fill="FFFFFF"/>
            <w:vAlign w:val="center"/>
          </w:tcPr>
          <w:p w14:paraId="7CBCABD5" w14:textId="77777777" w:rsidR="00CA27E3" w:rsidRPr="00D83000" w:rsidRDefault="00CA27E3" w:rsidP="00696F04">
            <w:pPr>
              <w:spacing w:after="120"/>
              <w:jc w:val="center"/>
              <w:rPr>
                <w:rFonts w:ascii="Sylfaen" w:hAnsi="Sylfaen" w:cs="Sylfaen"/>
                <w:sz w:val="16"/>
                <w:szCs w:val="16"/>
              </w:rPr>
            </w:pPr>
          </w:p>
        </w:tc>
        <w:tc>
          <w:tcPr>
            <w:tcW w:w="773" w:type="dxa"/>
            <w:tcBorders>
              <w:top w:val="single" w:sz="4" w:space="0" w:color="auto"/>
              <w:left w:val="single" w:sz="4" w:space="0" w:color="auto"/>
            </w:tcBorders>
            <w:shd w:val="clear" w:color="auto" w:fill="FFFFFF"/>
            <w:vAlign w:val="center"/>
          </w:tcPr>
          <w:p w14:paraId="6D19008A" w14:textId="77777777" w:rsidR="00CA27E3" w:rsidRPr="00D83000" w:rsidRDefault="00CA27E3" w:rsidP="00696F04">
            <w:pPr>
              <w:spacing w:after="120"/>
              <w:jc w:val="center"/>
              <w:rPr>
                <w:rFonts w:ascii="Sylfaen" w:hAnsi="Sylfaen" w:cs="Sylfaen"/>
                <w:sz w:val="16"/>
                <w:szCs w:val="16"/>
              </w:rPr>
            </w:pPr>
          </w:p>
        </w:tc>
        <w:tc>
          <w:tcPr>
            <w:tcW w:w="787" w:type="dxa"/>
            <w:tcBorders>
              <w:top w:val="single" w:sz="4" w:space="0" w:color="auto"/>
              <w:left w:val="single" w:sz="4" w:space="0" w:color="auto"/>
              <w:right w:val="single" w:sz="4" w:space="0" w:color="auto"/>
            </w:tcBorders>
            <w:shd w:val="clear" w:color="auto" w:fill="FFFFFF"/>
            <w:vAlign w:val="center"/>
          </w:tcPr>
          <w:p w14:paraId="73369934" w14:textId="77777777" w:rsidR="00CA27E3" w:rsidRPr="00D83000" w:rsidRDefault="00CA27E3" w:rsidP="00696F04">
            <w:pPr>
              <w:spacing w:after="120"/>
              <w:jc w:val="center"/>
              <w:rPr>
                <w:rFonts w:ascii="Sylfaen" w:hAnsi="Sylfaen" w:cs="Sylfaen"/>
                <w:sz w:val="16"/>
                <w:szCs w:val="16"/>
              </w:rPr>
            </w:pPr>
          </w:p>
        </w:tc>
      </w:tr>
      <w:tr w:rsidR="00CA27E3" w:rsidRPr="00D83000" w14:paraId="5A8CAAFC"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115272C" w14:textId="77777777" w:rsidR="00CA27E3" w:rsidRPr="00D83000" w:rsidRDefault="00696F04" w:rsidP="00696F04">
            <w:pPr>
              <w:pStyle w:val="a4"/>
              <w:shd w:val="clear" w:color="auto" w:fill="auto"/>
              <w:spacing w:after="120" w:line="240" w:lineRule="auto"/>
              <w:ind w:firstLine="0"/>
              <w:jc w:val="center"/>
              <w:rPr>
                <w:rFonts w:ascii="Sylfaen" w:hAnsi="Sylfaen" w:cs="Sylfaen"/>
                <w:sz w:val="16"/>
                <w:szCs w:val="16"/>
              </w:rPr>
            </w:pPr>
            <w:r>
              <w:rPr>
                <w:rFonts w:ascii="Sylfaen" w:hAnsi="Sylfaen"/>
                <w:sz w:val="16"/>
                <w:szCs w:val="16"/>
              </w:rPr>
              <w:t>TC-D/</w:t>
            </w:r>
            <w:r w:rsidR="00CA27E3" w:rsidRPr="00D83000">
              <w:rPr>
                <w:rFonts w:ascii="Sylfaen" w:hAnsi="Sylfaen"/>
                <w:sz w:val="16"/>
                <w:szCs w:val="16"/>
              </w:rPr>
              <w:t>DE</w:t>
            </w:r>
          </w:p>
        </w:tc>
        <w:tc>
          <w:tcPr>
            <w:tcW w:w="1177" w:type="dxa"/>
            <w:tcBorders>
              <w:top w:val="single" w:sz="4" w:space="0" w:color="auto"/>
              <w:left w:val="single" w:sz="4" w:space="0" w:color="auto"/>
            </w:tcBorders>
            <w:shd w:val="clear" w:color="auto" w:fill="FFFFFF"/>
            <w:vAlign w:val="center"/>
          </w:tcPr>
          <w:p w14:paraId="538CC3DC"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13</w:t>
            </w:r>
          </w:p>
        </w:tc>
        <w:tc>
          <w:tcPr>
            <w:tcW w:w="2288" w:type="dxa"/>
            <w:tcBorders>
              <w:top w:val="single" w:sz="4" w:space="0" w:color="auto"/>
              <w:left w:val="single" w:sz="4" w:space="0" w:color="auto"/>
            </w:tcBorders>
            <w:shd w:val="clear" w:color="auto" w:fill="FFFFFF"/>
            <w:vAlign w:val="bottom"/>
          </w:tcPr>
          <w:p w14:paraId="5A42B8F2"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FSQ-13-E-G24q=1</w:t>
            </w:r>
          </w:p>
          <w:p w14:paraId="4CBDF694"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FSQ-13-I-G24d=1</w:t>
            </w:r>
          </w:p>
        </w:tc>
        <w:tc>
          <w:tcPr>
            <w:tcW w:w="803" w:type="dxa"/>
            <w:tcBorders>
              <w:top w:val="single" w:sz="4" w:space="0" w:color="auto"/>
              <w:left w:val="single" w:sz="4" w:space="0" w:color="auto"/>
            </w:tcBorders>
            <w:shd w:val="clear" w:color="auto" w:fill="FFFFFF"/>
            <w:vAlign w:val="center"/>
          </w:tcPr>
          <w:p w14:paraId="2EA95D5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13</w:t>
            </w:r>
          </w:p>
        </w:tc>
        <w:tc>
          <w:tcPr>
            <w:tcW w:w="504" w:type="dxa"/>
            <w:tcBorders>
              <w:top w:val="single" w:sz="4" w:space="0" w:color="auto"/>
              <w:left w:val="single" w:sz="4" w:space="0" w:color="auto"/>
            </w:tcBorders>
            <w:shd w:val="clear" w:color="auto" w:fill="FFFFFF"/>
            <w:vAlign w:val="center"/>
          </w:tcPr>
          <w:p w14:paraId="326F8B3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12,5</w:t>
            </w:r>
          </w:p>
        </w:tc>
        <w:tc>
          <w:tcPr>
            <w:tcW w:w="778" w:type="dxa"/>
            <w:tcBorders>
              <w:top w:val="single" w:sz="4" w:space="0" w:color="auto"/>
              <w:left w:val="single" w:sz="4" w:space="0" w:color="auto"/>
            </w:tcBorders>
            <w:shd w:val="clear" w:color="auto" w:fill="FFFFFF"/>
            <w:vAlign w:val="center"/>
          </w:tcPr>
          <w:p w14:paraId="7C3C429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91,,7 %</w:t>
            </w:r>
          </w:p>
        </w:tc>
        <w:tc>
          <w:tcPr>
            <w:tcW w:w="773" w:type="dxa"/>
            <w:tcBorders>
              <w:top w:val="single" w:sz="4" w:space="0" w:color="auto"/>
              <w:left w:val="single" w:sz="4" w:space="0" w:color="auto"/>
            </w:tcBorders>
            <w:shd w:val="clear" w:color="auto" w:fill="FFFFFF"/>
            <w:vAlign w:val="center"/>
          </w:tcPr>
          <w:p w14:paraId="2ED3D95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89,,3 %</w:t>
            </w:r>
          </w:p>
        </w:tc>
        <w:tc>
          <w:tcPr>
            <w:tcW w:w="773" w:type="dxa"/>
            <w:tcBorders>
              <w:top w:val="single" w:sz="4" w:space="0" w:color="auto"/>
              <w:left w:val="single" w:sz="4" w:space="0" w:color="auto"/>
            </w:tcBorders>
            <w:shd w:val="clear" w:color="auto" w:fill="FFFFFF"/>
            <w:vAlign w:val="center"/>
          </w:tcPr>
          <w:p w14:paraId="104514C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78,,1 %</w:t>
            </w:r>
          </w:p>
        </w:tc>
        <w:tc>
          <w:tcPr>
            <w:tcW w:w="773" w:type="dxa"/>
            <w:tcBorders>
              <w:top w:val="single" w:sz="4" w:space="0" w:color="auto"/>
              <w:left w:val="single" w:sz="4" w:space="0" w:color="auto"/>
            </w:tcBorders>
            <w:shd w:val="clear" w:color="auto" w:fill="FFFFFF"/>
            <w:vAlign w:val="center"/>
          </w:tcPr>
          <w:p w14:paraId="453BD98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72,,6 %</w:t>
            </w:r>
          </w:p>
        </w:tc>
        <w:tc>
          <w:tcPr>
            <w:tcW w:w="787" w:type="dxa"/>
            <w:tcBorders>
              <w:top w:val="single" w:sz="4" w:space="0" w:color="auto"/>
              <w:left w:val="single" w:sz="4" w:space="0" w:color="auto"/>
              <w:right w:val="single" w:sz="4" w:space="0" w:color="auto"/>
            </w:tcBorders>
            <w:shd w:val="clear" w:color="auto" w:fill="FFFFFF"/>
            <w:vAlign w:val="center"/>
          </w:tcPr>
          <w:p w14:paraId="2415272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65,,0 %</w:t>
            </w:r>
          </w:p>
        </w:tc>
      </w:tr>
      <w:tr w:rsidR="00CA27E3" w:rsidRPr="00D83000" w14:paraId="3A12D4B2"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618863E1" w14:textId="77777777" w:rsidR="00CA27E3" w:rsidRPr="00D83000" w:rsidRDefault="00696F04" w:rsidP="00696F04">
            <w:pPr>
              <w:pStyle w:val="a4"/>
              <w:shd w:val="clear" w:color="auto" w:fill="auto"/>
              <w:spacing w:after="120" w:line="240" w:lineRule="auto"/>
              <w:ind w:firstLine="0"/>
              <w:jc w:val="center"/>
              <w:rPr>
                <w:rFonts w:ascii="Sylfaen" w:hAnsi="Sylfaen" w:cs="Sylfaen"/>
                <w:sz w:val="16"/>
                <w:szCs w:val="16"/>
              </w:rPr>
            </w:pPr>
            <w:r>
              <w:rPr>
                <w:rFonts w:ascii="Sylfaen" w:hAnsi="Sylfaen"/>
                <w:sz w:val="16"/>
                <w:szCs w:val="16"/>
              </w:rPr>
              <w:t>TC-D/</w:t>
            </w:r>
            <w:r w:rsidR="00CA27E3" w:rsidRPr="00D83000">
              <w:rPr>
                <w:rFonts w:ascii="Sylfaen" w:hAnsi="Sylfaen"/>
                <w:sz w:val="16"/>
                <w:szCs w:val="16"/>
              </w:rPr>
              <w:t>DE</w:t>
            </w:r>
          </w:p>
        </w:tc>
        <w:tc>
          <w:tcPr>
            <w:tcW w:w="1177" w:type="dxa"/>
            <w:tcBorders>
              <w:top w:val="single" w:sz="4" w:space="0" w:color="auto"/>
              <w:left w:val="single" w:sz="4" w:space="0" w:color="auto"/>
            </w:tcBorders>
            <w:shd w:val="clear" w:color="auto" w:fill="FFFFFF"/>
            <w:vAlign w:val="center"/>
          </w:tcPr>
          <w:p w14:paraId="486CA2E0"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18</w:t>
            </w:r>
          </w:p>
        </w:tc>
        <w:tc>
          <w:tcPr>
            <w:tcW w:w="2288" w:type="dxa"/>
            <w:tcBorders>
              <w:top w:val="single" w:sz="4" w:space="0" w:color="auto"/>
              <w:left w:val="single" w:sz="4" w:space="0" w:color="auto"/>
            </w:tcBorders>
            <w:shd w:val="clear" w:color="auto" w:fill="FFFFFF"/>
            <w:vAlign w:val="bottom"/>
          </w:tcPr>
          <w:p w14:paraId="0AB15A0C"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FSQ-18-E-G24q=2</w:t>
            </w:r>
          </w:p>
          <w:p w14:paraId="50D83CB3"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FSQ-18-I-G24d=2</w:t>
            </w:r>
          </w:p>
        </w:tc>
        <w:tc>
          <w:tcPr>
            <w:tcW w:w="803" w:type="dxa"/>
            <w:tcBorders>
              <w:top w:val="single" w:sz="4" w:space="0" w:color="auto"/>
              <w:left w:val="single" w:sz="4" w:space="0" w:color="auto"/>
            </w:tcBorders>
            <w:shd w:val="clear" w:color="auto" w:fill="FFFFFF"/>
            <w:vAlign w:val="center"/>
          </w:tcPr>
          <w:p w14:paraId="129D7DA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18</w:t>
            </w:r>
          </w:p>
        </w:tc>
        <w:tc>
          <w:tcPr>
            <w:tcW w:w="504" w:type="dxa"/>
            <w:tcBorders>
              <w:top w:val="single" w:sz="4" w:space="0" w:color="auto"/>
              <w:left w:val="single" w:sz="4" w:space="0" w:color="auto"/>
            </w:tcBorders>
            <w:shd w:val="clear" w:color="auto" w:fill="FFFFFF"/>
            <w:vAlign w:val="center"/>
          </w:tcPr>
          <w:p w14:paraId="3EEAA60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16,5</w:t>
            </w:r>
          </w:p>
        </w:tc>
        <w:tc>
          <w:tcPr>
            <w:tcW w:w="778" w:type="dxa"/>
            <w:tcBorders>
              <w:top w:val="single" w:sz="4" w:space="0" w:color="auto"/>
              <w:left w:val="single" w:sz="4" w:space="0" w:color="auto"/>
            </w:tcBorders>
            <w:shd w:val="clear" w:color="auto" w:fill="FFFFFF"/>
            <w:vAlign w:val="center"/>
          </w:tcPr>
          <w:p w14:paraId="4AF0D22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89,8 %</w:t>
            </w:r>
          </w:p>
        </w:tc>
        <w:tc>
          <w:tcPr>
            <w:tcW w:w="773" w:type="dxa"/>
            <w:tcBorders>
              <w:top w:val="single" w:sz="4" w:space="0" w:color="auto"/>
              <w:left w:val="single" w:sz="4" w:space="0" w:color="auto"/>
            </w:tcBorders>
            <w:shd w:val="clear" w:color="auto" w:fill="FFFFFF"/>
            <w:vAlign w:val="center"/>
          </w:tcPr>
          <w:p w14:paraId="13BC14E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86,8 %</w:t>
            </w:r>
          </w:p>
        </w:tc>
        <w:tc>
          <w:tcPr>
            <w:tcW w:w="773" w:type="dxa"/>
            <w:tcBorders>
              <w:top w:val="single" w:sz="4" w:space="0" w:color="auto"/>
              <w:left w:val="single" w:sz="4" w:space="0" w:color="auto"/>
            </w:tcBorders>
            <w:shd w:val="clear" w:color="auto" w:fill="FFFFFF"/>
            <w:vAlign w:val="center"/>
          </w:tcPr>
          <w:p w14:paraId="317B258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78,6 %</w:t>
            </w:r>
          </w:p>
        </w:tc>
        <w:tc>
          <w:tcPr>
            <w:tcW w:w="773" w:type="dxa"/>
            <w:tcBorders>
              <w:top w:val="single" w:sz="4" w:space="0" w:color="auto"/>
              <w:left w:val="single" w:sz="4" w:space="0" w:color="auto"/>
            </w:tcBorders>
            <w:shd w:val="clear" w:color="auto" w:fill="FFFFFF"/>
            <w:vAlign w:val="center"/>
          </w:tcPr>
          <w:p w14:paraId="5C5C9C8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c>
          <w:tcPr>
            <w:tcW w:w="787" w:type="dxa"/>
            <w:tcBorders>
              <w:top w:val="single" w:sz="4" w:space="0" w:color="auto"/>
              <w:left w:val="single" w:sz="4" w:space="0" w:color="auto"/>
              <w:right w:val="single" w:sz="4" w:space="0" w:color="auto"/>
            </w:tcBorders>
            <w:shd w:val="clear" w:color="auto" w:fill="FFFFFF"/>
            <w:vAlign w:val="center"/>
          </w:tcPr>
          <w:p w14:paraId="67EE3FC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65,8 %</w:t>
            </w:r>
          </w:p>
        </w:tc>
      </w:tr>
      <w:tr w:rsidR="00CA27E3" w:rsidRPr="00D83000" w14:paraId="355EDDE1"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F768B19"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TC-D/</w:t>
            </w:r>
            <w:r w:rsidR="00CA27E3" w:rsidRPr="00D83000">
              <w:rPr>
                <w:rFonts w:ascii="Sylfaen" w:hAnsi="Sylfaen"/>
                <w:sz w:val="16"/>
                <w:szCs w:val="16"/>
              </w:rPr>
              <w:t>DE</w:t>
            </w:r>
          </w:p>
        </w:tc>
        <w:tc>
          <w:tcPr>
            <w:tcW w:w="1177" w:type="dxa"/>
            <w:tcBorders>
              <w:top w:val="single" w:sz="4" w:space="0" w:color="auto"/>
              <w:left w:val="single" w:sz="4" w:space="0" w:color="auto"/>
            </w:tcBorders>
            <w:shd w:val="clear" w:color="auto" w:fill="FFFFFF"/>
            <w:vAlign w:val="center"/>
          </w:tcPr>
          <w:p w14:paraId="01C34781"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26</w:t>
            </w:r>
          </w:p>
        </w:tc>
        <w:tc>
          <w:tcPr>
            <w:tcW w:w="2288" w:type="dxa"/>
            <w:tcBorders>
              <w:top w:val="single" w:sz="4" w:space="0" w:color="auto"/>
              <w:left w:val="single" w:sz="4" w:space="0" w:color="auto"/>
            </w:tcBorders>
            <w:shd w:val="clear" w:color="auto" w:fill="FFFFFF"/>
            <w:vAlign w:val="bottom"/>
          </w:tcPr>
          <w:p w14:paraId="3B9AD86F"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FSQ-26-E-G24q=3</w:t>
            </w:r>
          </w:p>
          <w:p w14:paraId="3E6DF97C"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FSQ-26-I-G24d=3</w:t>
            </w:r>
          </w:p>
        </w:tc>
        <w:tc>
          <w:tcPr>
            <w:tcW w:w="803" w:type="dxa"/>
            <w:tcBorders>
              <w:top w:val="single" w:sz="4" w:space="0" w:color="auto"/>
              <w:left w:val="single" w:sz="4" w:space="0" w:color="auto"/>
            </w:tcBorders>
            <w:shd w:val="clear" w:color="auto" w:fill="FFFFFF"/>
            <w:vAlign w:val="center"/>
          </w:tcPr>
          <w:p w14:paraId="1C08EEC1"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26</w:t>
            </w:r>
          </w:p>
        </w:tc>
        <w:tc>
          <w:tcPr>
            <w:tcW w:w="504" w:type="dxa"/>
            <w:tcBorders>
              <w:top w:val="single" w:sz="4" w:space="0" w:color="auto"/>
              <w:left w:val="single" w:sz="4" w:space="0" w:color="auto"/>
            </w:tcBorders>
            <w:shd w:val="clear" w:color="auto" w:fill="FFFFFF"/>
            <w:vAlign w:val="center"/>
          </w:tcPr>
          <w:p w14:paraId="1DBC1A6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24</w:t>
            </w:r>
          </w:p>
        </w:tc>
        <w:tc>
          <w:tcPr>
            <w:tcW w:w="778" w:type="dxa"/>
            <w:tcBorders>
              <w:top w:val="single" w:sz="4" w:space="0" w:color="auto"/>
              <w:left w:val="single" w:sz="4" w:space="0" w:color="auto"/>
            </w:tcBorders>
            <w:shd w:val="clear" w:color="auto" w:fill="FFFFFF"/>
            <w:vAlign w:val="center"/>
          </w:tcPr>
          <w:p w14:paraId="544D0B4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2AB5747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0E40AC8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82,,8 %</w:t>
            </w:r>
          </w:p>
        </w:tc>
        <w:tc>
          <w:tcPr>
            <w:tcW w:w="773" w:type="dxa"/>
            <w:tcBorders>
              <w:top w:val="single" w:sz="4" w:space="0" w:color="auto"/>
              <w:left w:val="single" w:sz="4" w:space="0" w:color="auto"/>
            </w:tcBorders>
            <w:shd w:val="clear" w:color="auto" w:fill="FFFFFF"/>
            <w:vAlign w:val="center"/>
          </w:tcPr>
          <w:p w14:paraId="6227879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77,,2 %</w:t>
            </w:r>
          </w:p>
        </w:tc>
        <w:tc>
          <w:tcPr>
            <w:tcW w:w="787" w:type="dxa"/>
            <w:tcBorders>
              <w:top w:val="single" w:sz="4" w:space="0" w:color="auto"/>
              <w:left w:val="single" w:sz="4" w:space="0" w:color="auto"/>
              <w:right w:val="single" w:sz="4" w:space="0" w:color="auto"/>
            </w:tcBorders>
            <w:shd w:val="clear" w:color="auto" w:fill="FFFFFF"/>
            <w:vAlign w:val="center"/>
          </w:tcPr>
          <w:p w14:paraId="21898FD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72,,6 %</w:t>
            </w:r>
          </w:p>
        </w:tc>
      </w:tr>
      <w:tr w:rsidR="00CA27E3" w:rsidRPr="00D83000" w14:paraId="437F9AFB"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1372C6E0"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TC-T/</w:t>
            </w:r>
            <w:r w:rsidR="00CA27E3" w:rsidRPr="00D83000">
              <w:rPr>
                <w:rFonts w:ascii="Sylfaen" w:hAnsi="Sylfaen"/>
                <w:sz w:val="16"/>
                <w:szCs w:val="16"/>
              </w:rPr>
              <w:t>TE</w:t>
            </w:r>
          </w:p>
        </w:tc>
        <w:tc>
          <w:tcPr>
            <w:tcW w:w="1177" w:type="dxa"/>
            <w:tcBorders>
              <w:top w:val="single" w:sz="4" w:space="0" w:color="auto"/>
              <w:left w:val="single" w:sz="4" w:space="0" w:color="auto"/>
            </w:tcBorders>
            <w:shd w:val="clear" w:color="auto" w:fill="FFFFFF"/>
            <w:vAlign w:val="center"/>
          </w:tcPr>
          <w:p w14:paraId="35443373"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13</w:t>
            </w:r>
          </w:p>
        </w:tc>
        <w:tc>
          <w:tcPr>
            <w:tcW w:w="2288" w:type="dxa"/>
            <w:tcBorders>
              <w:top w:val="single" w:sz="4" w:space="0" w:color="auto"/>
              <w:left w:val="single" w:sz="4" w:space="0" w:color="auto"/>
            </w:tcBorders>
            <w:shd w:val="clear" w:color="auto" w:fill="FFFFFF"/>
          </w:tcPr>
          <w:p w14:paraId="1476A5D6"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FSM-13-E-GX24q=1</w:t>
            </w:r>
          </w:p>
          <w:p w14:paraId="26C4BB2A"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FSM-13-I-GX24d=1</w:t>
            </w:r>
          </w:p>
        </w:tc>
        <w:tc>
          <w:tcPr>
            <w:tcW w:w="803" w:type="dxa"/>
            <w:tcBorders>
              <w:top w:val="single" w:sz="4" w:space="0" w:color="auto"/>
              <w:left w:val="single" w:sz="4" w:space="0" w:color="auto"/>
            </w:tcBorders>
            <w:shd w:val="clear" w:color="auto" w:fill="FFFFFF"/>
            <w:vAlign w:val="center"/>
          </w:tcPr>
          <w:p w14:paraId="644D0B7A"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13</w:t>
            </w:r>
          </w:p>
        </w:tc>
        <w:tc>
          <w:tcPr>
            <w:tcW w:w="504" w:type="dxa"/>
            <w:tcBorders>
              <w:top w:val="single" w:sz="4" w:space="0" w:color="auto"/>
              <w:left w:val="single" w:sz="4" w:space="0" w:color="auto"/>
            </w:tcBorders>
            <w:shd w:val="clear" w:color="auto" w:fill="FFFFFF"/>
            <w:vAlign w:val="center"/>
          </w:tcPr>
          <w:p w14:paraId="7ABE43A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12,,5</w:t>
            </w:r>
          </w:p>
        </w:tc>
        <w:tc>
          <w:tcPr>
            <w:tcW w:w="778" w:type="dxa"/>
            <w:tcBorders>
              <w:top w:val="single" w:sz="4" w:space="0" w:color="auto"/>
              <w:left w:val="single" w:sz="4" w:space="0" w:color="auto"/>
            </w:tcBorders>
            <w:shd w:val="clear" w:color="auto" w:fill="FFFFFF"/>
            <w:vAlign w:val="center"/>
          </w:tcPr>
          <w:p w14:paraId="7035381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91,,7 %</w:t>
            </w:r>
          </w:p>
        </w:tc>
        <w:tc>
          <w:tcPr>
            <w:tcW w:w="773" w:type="dxa"/>
            <w:tcBorders>
              <w:top w:val="single" w:sz="4" w:space="0" w:color="auto"/>
              <w:left w:val="single" w:sz="4" w:space="0" w:color="auto"/>
            </w:tcBorders>
            <w:shd w:val="clear" w:color="auto" w:fill="FFFFFF"/>
            <w:vAlign w:val="center"/>
          </w:tcPr>
          <w:p w14:paraId="44B520E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89,,3 %</w:t>
            </w:r>
          </w:p>
        </w:tc>
        <w:tc>
          <w:tcPr>
            <w:tcW w:w="773" w:type="dxa"/>
            <w:tcBorders>
              <w:top w:val="single" w:sz="4" w:space="0" w:color="auto"/>
              <w:left w:val="single" w:sz="4" w:space="0" w:color="auto"/>
            </w:tcBorders>
            <w:shd w:val="clear" w:color="auto" w:fill="FFFFFF"/>
            <w:vAlign w:val="center"/>
          </w:tcPr>
          <w:p w14:paraId="73BCC67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78,,1 %</w:t>
            </w:r>
          </w:p>
        </w:tc>
        <w:tc>
          <w:tcPr>
            <w:tcW w:w="773" w:type="dxa"/>
            <w:tcBorders>
              <w:top w:val="single" w:sz="4" w:space="0" w:color="auto"/>
              <w:left w:val="single" w:sz="4" w:space="0" w:color="auto"/>
            </w:tcBorders>
            <w:shd w:val="clear" w:color="auto" w:fill="FFFFFF"/>
            <w:vAlign w:val="center"/>
          </w:tcPr>
          <w:p w14:paraId="2C17919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72,,6 %</w:t>
            </w:r>
          </w:p>
        </w:tc>
        <w:tc>
          <w:tcPr>
            <w:tcW w:w="787" w:type="dxa"/>
            <w:tcBorders>
              <w:top w:val="single" w:sz="4" w:space="0" w:color="auto"/>
              <w:left w:val="single" w:sz="4" w:space="0" w:color="auto"/>
              <w:right w:val="single" w:sz="4" w:space="0" w:color="auto"/>
            </w:tcBorders>
            <w:shd w:val="clear" w:color="auto" w:fill="FFFFFF"/>
            <w:vAlign w:val="center"/>
          </w:tcPr>
          <w:p w14:paraId="1F38075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65,,0 %</w:t>
            </w:r>
          </w:p>
        </w:tc>
      </w:tr>
      <w:tr w:rsidR="00CA27E3" w:rsidRPr="00D83000" w14:paraId="4092E16E"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1169765D"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TC-T/</w:t>
            </w:r>
            <w:r w:rsidR="00CA27E3" w:rsidRPr="00D83000">
              <w:rPr>
                <w:rFonts w:ascii="Sylfaen" w:hAnsi="Sylfaen"/>
                <w:sz w:val="16"/>
                <w:szCs w:val="16"/>
              </w:rPr>
              <w:t>TE</w:t>
            </w:r>
          </w:p>
        </w:tc>
        <w:tc>
          <w:tcPr>
            <w:tcW w:w="1177" w:type="dxa"/>
            <w:tcBorders>
              <w:top w:val="single" w:sz="4" w:space="0" w:color="auto"/>
              <w:left w:val="single" w:sz="4" w:space="0" w:color="auto"/>
            </w:tcBorders>
            <w:shd w:val="clear" w:color="auto" w:fill="FFFFFF"/>
            <w:vAlign w:val="center"/>
          </w:tcPr>
          <w:p w14:paraId="15EE85D6"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18</w:t>
            </w:r>
          </w:p>
        </w:tc>
        <w:tc>
          <w:tcPr>
            <w:tcW w:w="2288" w:type="dxa"/>
            <w:tcBorders>
              <w:top w:val="single" w:sz="4" w:space="0" w:color="auto"/>
              <w:left w:val="single" w:sz="4" w:space="0" w:color="auto"/>
            </w:tcBorders>
            <w:shd w:val="clear" w:color="auto" w:fill="FFFFFF"/>
            <w:vAlign w:val="bottom"/>
          </w:tcPr>
          <w:p w14:paraId="7A91111F"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FSM-18-E-GX24q=2</w:t>
            </w:r>
          </w:p>
          <w:p w14:paraId="2A4ABCD0"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FSM-18-I-GX24d=2</w:t>
            </w:r>
          </w:p>
        </w:tc>
        <w:tc>
          <w:tcPr>
            <w:tcW w:w="803" w:type="dxa"/>
            <w:tcBorders>
              <w:top w:val="single" w:sz="4" w:space="0" w:color="auto"/>
              <w:left w:val="single" w:sz="4" w:space="0" w:color="auto"/>
            </w:tcBorders>
            <w:shd w:val="clear" w:color="auto" w:fill="FFFFFF"/>
            <w:vAlign w:val="center"/>
          </w:tcPr>
          <w:p w14:paraId="103A366E"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18</w:t>
            </w:r>
          </w:p>
        </w:tc>
        <w:tc>
          <w:tcPr>
            <w:tcW w:w="504" w:type="dxa"/>
            <w:tcBorders>
              <w:top w:val="single" w:sz="4" w:space="0" w:color="auto"/>
              <w:left w:val="single" w:sz="4" w:space="0" w:color="auto"/>
            </w:tcBorders>
            <w:shd w:val="clear" w:color="auto" w:fill="FFFFFF"/>
            <w:vAlign w:val="center"/>
          </w:tcPr>
          <w:p w14:paraId="2446DCA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16,,5</w:t>
            </w:r>
          </w:p>
        </w:tc>
        <w:tc>
          <w:tcPr>
            <w:tcW w:w="778" w:type="dxa"/>
            <w:tcBorders>
              <w:top w:val="single" w:sz="4" w:space="0" w:color="auto"/>
              <w:left w:val="single" w:sz="4" w:space="0" w:color="auto"/>
            </w:tcBorders>
            <w:shd w:val="clear" w:color="auto" w:fill="FFFFFF"/>
            <w:vAlign w:val="center"/>
          </w:tcPr>
          <w:p w14:paraId="4D8B991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89,,8 %</w:t>
            </w:r>
          </w:p>
        </w:tc>
        <w:tc>
          <w:tcPr>
            <w:tcW w:w="773" w:type="dxa"/>
            <w:tcBorders>
              <w:top w:val="single" w:sz="4" w:space="0" w:color="auto"/>
              <w:left w:val="single" w:sz="4" w:space="0" w:color="auto"/>
            </w:tcBorders>
            <w:shd w:val="clear" w:color="auto" w:fill="FFFFFF"/>
            <w:vAlign w:val="center"/>
          </w:tcPr>
          <w:p w14:paraId="7F7D819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86,,8 %</w:t>
            </w:r>
          </w:p>
        </w:tc>
        <w:tc>
          <w:tcPr>
            <w:tcW w:w="773" w:type="dxa"/>
            <w:tcBorders>
              <w:top w:val="single" w:sz="4" w:space="0" w:color="auto"/>
              <w:left w:val="single" w:sz="4" w:space="0" w:color="auto"/>
            </w:tcBorders>
            <w:shd w:val="clear" w:color="auto" w:fill="FFFFFF"/>
            <w:vAlign w:val="center"/>
          </w:tcPr>
          <w:p w14:paraId="0CE257F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78,,6 %</w:t>
            </w:r>
          </w:p>
        </w:tc>
        <w:tc>
          <w:tcPr>
            <w:tcW w:w="773" w:type="dxa"/>
            <w:tcBorders>
              <w:top w:val="single" w:sz="4" w:space="0" w:color="auto"/>
              <w:left w:val="single" w:sz="4" w:space="0" w:color="auto"/>
            </w:tcBorders>
            <w:shd w:val="clear" w:color="auto" w:fill="FFFFFF"/>
            <w:vAlign w:val="center"/>
          </w:tcPr>
          <w:p w14:paraId="6254DF1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c>
          <w:tcPr>
            <w:tcW w:w="787" w:type="dxa"/>
            <w:tcBorders>
              <w:top w:val="single" w:sz="4" w:space="0" w:color="auto"/>
              <w:left w:val="single" w:sz="4" w:space="0" w:color="auto"/>
              <w:right w:val="single" w:sz="4" w:space="0" w:color="auto"/>
            </w:tcBorders>
            <w:shd w:val="clear" w:color="auto" w:fill="FFFFFF"/>
            <w:vAlign w:val="center"/>
          </w:tcPr>
          <w:p w14:paraId="6D00539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65,,8 %</w:t>
            </w:r>
          </w:p>
        </w:tc>
      </w:tr>
      <w:tr w:rsidR="00CA27E3" w:rsidRPr="00D83000" w14:paraId="2663D0AC"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5DDF0742"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TC-T/</w:t>
            </w:r>
            <w:r w:rsidR="00CA27E3"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center"/>
          </w:tcPr>
          <w:p w14:paraId="5026680F"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26</w:t>
            </w:r>
          </w:p>
        </w:tc>
        <w:tc>
          <w:tcPr>
            <w:tcW w:w="2288" w:type="dxa"/>
            <w:tcBorders>
              <w:top w:val="single" w:sz="4" w:space="0" w:color="auto"/>
              <w:left w:val="single" w:sz="4" w:space="0" w:color="auto"/>
            </w:tcBorders>
            <w:shd w:val="clear" w:color="auto" w:fill="FFFFFF"/>
            <w:vAlign w:val="bottom"/>
          </w:tcPr>
          <w:p w14:paraId="6C72F5AB"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FSM-26-E-GX24q=3</w:t>
            </w:r>
          </w:p>
          <w:p w14:paraId="11478262"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FSM-26-I-GX24d=3</w:t>
            </w:r>
          </w:p>
        </w:tc>
        <w:tc>
          <w:tcPr>
            <w:tcW w:w="803" w:type="dxa"/>
            <w:tcBorders>
              <w:top w:val="single" w:sz="4" w:space="0" w:color="auto"/>
              <w:left w:val="single" w:sz="4" w:space="0" w:color="auto"/>
            </w:tcBorders>
            <w:shd w:val="clear" w:color="auto" w:fill="FFFFFF"/>
            <w:vAlign w:val="center"/>
          </w:tcPr>
          <w:p w14:paraId="7F619462"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26,,5</w:t>
            </w:r>
          </w:p>
        </w:tc>
        <w:tc>
          <w:tcPr>
            <w:tcW w:w="504" w:type="dxa"/>
            <w:tcBorders>
              <w:top w:val="single" w:sz="4" w:space="0" w:color="auto"/>
              <w:left w:val="single" w:sz="4" w:space="0" w:color="auto"/>
            </w:tcBorders>
            <w:shd w:val="clear" w:color="auto" w:fill="FFFFFF"/>
            <w:vAlign w:val="center"/>
          </w:tcPr>
          <w:p w14:paraId="5D8668F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24</w:t>
            </w:r>
          </w:p>
        </w:tc>
        <w:tc>
          <w:tcPr>
            <w:tcW w:w="778" w:type="dxa"/>
            <w:tcBorders>
              <w:top w:val="single" w:sz="4" w:space="0" w:color="auto"/>
              <w:left w:val="single" w:sz="4" w:space="0" w:color="auto"/>
            </w:tcBorders>
            <w:shd w:val="clear" w:color="auto" w:fill="FFFFFF"/>
            <w:vAlign w:val="center"/>
          </w:tcPr>
          <w:p w14:paraId="0874AA6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7EBA553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4D63D50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82,,8 %</w:t>
            </w:r>
          </w:p>
        </w:tc>
        <w:tc>
          <w:tcPr>
            <w:tcW w:w="773" w:type="dxa"/>
            <w:tcBorders>
              <w:top w:val="single" w:sz="4" w:space="0" w:color="auto"/>
              <w:left w:val="single" w:sz="4" w:space="0" w:color="auto"/>
            </w:tcBorders>
            <w:shd w:val="clear" w:color="auto" w:fill="FFFFFF"/>
            <w:vAlign w:val="center"/>
          </w:tcPr>
          <w:p w14:paraId="09EF5FD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77,,5 %</w:t>
            </w:r>
          </w:p>
        </w:tc>
        <w:tc>
          <w:tcPr>
            <w:tcW w:w="787" w:type="dxa"/>
            <w:tcBorders>
              <w:top w:val="single" w:sz="4" w:space="0" w:color="auto"/>
              <w:left w:val="single" w:sz="4" w:space="0" w:color="auto"/>
              <w:right w:val="single" w:sz="4" w:space="0" w:color="auto"/>
            </w:tcBorders>
            <w:shd w:val="clear" w:color="auto" w:fill="FFFFFF"/>
            <w:vAlign w:val="center"/>
          </w:tcPr>
          <w:p w14:paraId="3F3D1BE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73,,0 %</w:t>
            </w:r>
          </w:p>
        </w:tc>
      </w:tr>
      <w:tr w:rsidR="00CA27E3" w:rsidRPr="00D83000" w14:paraId="3D7335ED"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5E491DF7"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TC-DD</w:t>
            </w:r>
            <w:r w:rsidR="00CA27E3" w:rsidRPr="00D83000">
              <w:rPr>
                <w:rFonts w:ascii="Sylfaen" w:hAnsi="Sylfaen"/>
                <w:sz w:val="16"/>
                <w:szCs w:val="16"/>
              </w:rPr>
              <w:t>/DDE</w:t>
            </w:r>
          </w:p>
        </w:tc>
        <w:tc>
          <w:tcPr>
            <w:tcW w:w="1177" w:type="dxa"/>
            <w:tcBorders>
              <w:top w:val="single" w:sz="4" w:space="0" w:color="auto"/>
              <w:left w:val="single" w:sz="4" w:space="0" w:color="auto"/>
            </w:tcBorders>
            <w:shd w:val="clear" w:color="auto" w:fill="FFFFFF"/>
            <w:vAlign w:val="center"/>
          </w:tcPr>
          <w:p w14:paraId="360F7183"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10</w:t>
            </w:r>
          </w:p>
        </w:tc>
        <w:tc>
          <w:tcPr>
            <w:tcW w:w="2288" w:type="dxa"/>
            <w:tcBorders>
              <w:top w:val="single" w:sz="4" w:space="0" w:color="auto"/>
              <w:left w:val="single" w:sz="4" w:space="0" w:color="auto"/>
            </w:tcBorders>
            <w:shd w:val="clear" w:color="auto" w:fill="FFFFFF"/>
            <w:vAlign w:val="bottom"/>
          </w:tcPr>
          <w:p w14:paraId="09826DD5"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FSS-10-E-GR10q</w:t>
            </w:r>
          </w:p>
          <w:p w14:paraId="6BBC438B"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FSS-10-L/P/H-GR10q</w:t>
            </w:r>
          </w:p>
        </w:tc>
        <w:tc>
          <w:tcPr>
            <w:tcW w:w="803" w:type="dxa"/>
            <w:tcBorders>
              <w:top w:val="single" w:sz="4" w:space="0" w:color="auto"/>
              <w:left w:val="single" w:sz="4" w:space="0" w:color="auto"/>
            </w:tcBorders>
            <w:shd w:val="clear" w:color="auto" w:fill="FFFFFF"/>
            <w:vAlign w:val="center"/>
          </w:tcPr>
          <w:p w14:paraId="30780A0F"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10,,5</w:t>
            </w:r>
          </w:p>
        </w:tc>
        <w:tc>
          <w:tcPr>
            <w:tcW w:w="504" w:type="dxa"/>
            <w:tcBorders>
              <w:top w:val="single" w:sz="4" w:space="0" w:color="auto"/>
              <w:left w:val="single" w:sz="4" w:space="0" w:color="auto"/>
            </w:tcBorders>
            <w:shd w:val="clear" w:color="auto" w:fill="FFFFFF"/>
            <w:vAlign w:val="center"/>
          </w:tcPr>
          <w:p w14:paraId="08269DE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9,,5</w:t>
            </w:r>
          </w:p>
        </w:tc>
        <w:tc>
          <w:tcPr>
            <w:tcW w:w="778" w:type="dxa"/>
            <w:tcBorders>
              <w:top w:val="single" w:sz="4" w:space="0" w:color="auto"/>
              <w:left w:val="single" w:sz="4" w:space="0" w:color="auto"/>
            </w:tcBorders>
            <w:shd w:val="clear" w:color="auto" w:fill="FFFFFF"/>
            <w:vAlign w:val="center"/>
          </w:tcPr>
          <w:p w14:paraId="4C850A4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86,,4 %</w:t>
            </w:r>
          </w:p>
        </w:tc>
        <w:tc>
          <w:tcPr>
            <w:tcW w:w="773" w:type="dxa"/>
            <w:tcBorders>
              <w:top w:val="single" w:sz="4" w:space="0" w:color="auto"/>
              <w:left w:val="single" w:sz="4" w:space="0" w:color="auto"/>
            </w:tcBorders>
            <w:shd w:val="clear" w:color="auto" w:fill="FFFFFF"/>
            <w:vAlign w:val="center"/>
          </w:tcPr>
          <w:p w14:paraId="26E716D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82,,6 %</w:t>
            </w:r>
          </w:p>
        </w:tc>
        <w:tc>
          <w:tcPr>
            <w:tcW w:w="773" w:type="dxa"/>
            <w:tcBorders>
              <w:top w:val="single" w:sz="4" w:space="0" w:color="auto"/>
              <w:left w:val="single" w:sz="4" w:space="0" w:color="auto"/>
            </w:tcBorders>
            <w:shd w:val="clear" w:color="auto" w:fill="FFFFFF"/>
            <w:vAlign w:val="center"/>
          </w:tcPr>
          <w:p w14:paraId="0A63E49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70,,4 %</w:t>
            </w:r>
          </w:p>
        </w:tc>
        <w:tc>
          <w:tcPr>
            <w:tcW w:w="773" w:type="dxa"/>
            <w:tcBorders>
              <w:top w:val="single" w:sz="4" w:space="0" w:color="auto"/>
              <w:left w:val="single" w:sz="4" w:space="0" w:color="auto"/>
            </w:tcBorders>
            <w:shd w:val="clear" w:color="auto" w:fill="FFFFFF"/>
            <w:vAlign w:val="center"/>
          </w:tcPr>
          <w:p w14:paraId="3544337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68,,8 %</w:t>
            </w:r>
          </w:p>
        </w:tc>
        <w:tc>
          <w:tcPr>
            <w:tcW w:w="787" w:type="dxa"/>
            <w:tcBorders>
              <w:top w:val="single" w:sz="4" w:space="0" w:color="auto"/>
              <w:left w:val="single" w:sz="4" w:space="0" w:color="auto"/>
              <w:right w:val="single" w:sz="4" w:space="0" w:color="auto"/>
            </w:tcBorders>
            <w:shd w:val="clear" w:color="auto" w:fill="FFFFFF"/>
            <w:vAlign w:val="center"/>
          </w:tcPr>
          <w:p w14:paraId="14773D3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60,,5 %</w:t>
            </w:r>
          </w:p>
        </w:tc>
      </w:tr>
      <w:tr w:rsidR="00CA27E3" w:rsidRPr="00D83000" w14:paraId="6CD348C2"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07E896A0"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TC-DD</w:t>
            </w:r>
            <w:r w:rsidR="00CA27E3" w:rsidRPr="00D83000">
              <w:rPr>
                <w:rFonts w:ascii="Sylfaen" w:hAnsi="Sylfaen"/>
                <w:sz w:val="16"/>
                <w:szCs w:val="16"/>
              </w:rPr>
              <w:t>/DDE</w:t>
            </w:r>
          </w:p>
        </w:tc>
        <w:tc>
          <w:tcPr>
            <w:tcW w:w="1177" w:type="dxa"/>
            <w:tcBorders>
              <w:top w:val="single" w:sz="4" w:space="0" w:color="auto"/>
              <w:left w:val="single" w:sz="4" w:space="0" w:color="auto"/>
            </w:tcBorders>
            <w:shd w:val="clear" w:color="auto" w:fill="FFFFFF"/>
            <w:vAlign w:val="center"/>
          </w:tcPr>
          <w:p w14:paraId="00E71D38"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16</w:t>
            </w:r>
          </w:p>
        </w:tc>
        <w:tc>
          <w:tcPr>
            <w:tcW w:w="2288" w:type="dxa"/>
            <w:tcBorders>
              <w:top w:val="single" w:sz="4" w:space="0" w:color="auto"/>
              <w:left w:val="single" w:sz="4" w:space="0" w:color="auto"/>
            </w:tcBorders>
            <w:shd w:val="clear" w:color="auto" w:fill="FFFFFF"/>
            <w:vAlign w:val="bottom"/>
          </w:tcPr>
          <w:p w14:paraId="3D589D73"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FSS-16-E-GR10q</w:t>
            </w:r>
          </w:p>
          <w:p w14:paraId="0B9D0FC9"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FSS-16-I-GR8</w:t>
            </w:r>
          </w:p>
          <w:p w14:paraId="23734A25"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FSS-16-L/P/H-GR10q</w:t>
            </w:r>
          </w:p>
        </w:tc>
        <w:tc>
          <w:tcPr>
            <w:tcW w:w="803" w:type="dxa"/>
            <w:tcBorders>
              <w:top w:val="single" w:sz="4" w:space="0" w:color="auto"/>
              <w:left w:val="single" w:sz="4" w:space="0" w:color="auto"/>
            </w:tcBorders>
            <w:shd w:val="clear" w:color="auto" w:fill="FFFFFF"/>
            <w:vAlign w:val="center"/>
          </w:tcPr>
          <w:p w14:paraId="18F022CB"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16</w:t>
            </w:r>
          </w:p>
        </w:tc>
        <w:tc>
          <w:tcPr>
            <w:tcW w:w="504" w:type="dxa"/>
            <w:tcBorders>
              <w:top w:val="single" w:sz="4" w:space="0" w:color="auto"/>
              <w:left w:val="single" w:sz="4" w:space="0" w:color="auto"/>
            </w:tcBorders>
            <w:shd w:val="clear" w:color="auto" w:fill="FFFFFF"/>
            <w:vAlign w:val="center"/>
          </w:tcPr>
          <w:p w14:paraId="4F7385C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15</w:t>
            </w:r>
          </w:p>
        </w:tc>
        <w:tc>
          <w:tcPr>
            <w:tcW w:w="778" w:type="dxa"/>
            <w:tcBorders>
              <w:top w:val="single" w:sz="4" w:space="0" w:color="auto"/>
              <w:left w:val="single" w:sz="4" w:space="0" w:color="auto"/>
            </w:tcBorders>
            <w:shd w:val="clear" w:color="auto" w:fill="FFFFFF"/>
            <w:vAlign w:val="center"/>
          </w:tcPr>
          <w:p w14:paraId="1DE13BA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87,,0 %</w:t>
            </w:r>
          </w:p>
        </w:tc>
        <w:tc>
          <w:tcPr>
            <w:tcW w:w="773" w:type="dxa"/>
            <w:tcBorders>
              <w:top w:val="single" w:sz="4" w:space="0" w:color="auto"/>
              <w:left w:val="single" w:sz="4" w:space="0" w:color="auto"/>
            </w:tcBorders>
            <w:shd w:val="clear" w:color="auto" w:fill="FFFFFF"/>
            <w:vAlign w:val="center"/>
          </w:tcPr>
          <w:p w14:paraId="64BA4D4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83,,3 %</w:t>
            </w:r>
          </w:p>
        </w:tc>
        <w:tc>
          <w:tcPr>
            <w:tcW w:w="773" w:type="dxa"/>
            <w:tcBorders>
              <w:top w:val="single" w:sz="4" w:space="0" w:color="auto"/>
              <w:left w:val="single" w:sz="4" w:space="0" w:color="auto"/>
            </w:tcBorders>
            <w:shd w:val="clear" w:color="auto" w:fill="FFFFFF"/>
            <w:vAlign w:val="center"/>
          </w:tcPr>
          <w:p w14:paraId="5A32C3C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75,,0 %</w:t>
            </w:r>
          </w:p>
        </w:tc>
        <w:tc>
          <w:tcPr>
            <w:tcW w:w="773" w:type="dxa"/>
            <w:tcBorders>
              <w:top w:val="single" w:sz="4" w:space="0" w:color="auto"/>
              <w:left w:val="single" w:sz="4" w:space="0" w:color="auto"/>
            </w:tcBorders>
            <w:shd w:val="clear" w:color="auto" w:fill="FFFFFF"/>
            <w:vAlign w:val="center"/>
          </w:tcPr>
          <w:p w14:paraId="688D8B3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72,,4 %</w:t>
            </w:r>
          </w:p>
        </w:tc>
        <w:tc>
          <w:tcPr>
            <w:tcW w:w="787" w:type="dxa"/>
            <w:tcBorders>
              <w:top w:val="single" w:sz="4" w:space="0" w:color="auto"/>
              <w:left w:val="single" w:sz="4" w:space="0" w:color="auto"/>
              <w:right w:val="single" w:sz="4" w:space="0" w:color="auto"/>
            </w:tcBorders>
            <w:shd w:val="clear" w:color="auto" w:fill="FFFFFF"/>
            <w:vAlign w:val="center"/>
          </w:tcPr>
          <w:p w14:paraId="1922F30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66,,1 %</w:t>
            </w:r>
          </w:p>
        </w:tc>
      </w:tr>
      <w:tr w:rsidR="00CA27E3" w:rsidRPr="00D83000" w14:paraId="4B4E94F5"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009B312B" w14:textId="77777777" w:rsidR="00CA27E3" w:rsidRPr="00D83000" w:rsidRDefault="00696F04" w:rsidP="00696F04">
            <w:pPr>
              <w:pStyle w:val="a4"/>
              <w:shd w:val="clear" w:color="auto" w:fill="auto"/>
              <w:spacing w:after="60" w:line="240" w:lineRule="auto"/>
              <w:ind w:firstLine="0"/>
              <w:jc w:val="center"/>
              <w:rPr>
                <w:rFonts w:ascii="Sylfaen" w:hAnsi="Sylfaen" w:cs="Sylfaen"/>
                <w:sz w:val="16"/>
                <w:szCs w:val="16"/>
              </w:rPr>
            </w:pPr>
            <w:r>
              <w:rPr>
                <w:rFonts w:ascii="Sylfaen" w:hAnsi="Sylfaen"/>
                <w:sz w:val="16"/>
                <w:szCs w:val="16"/>
              </w:rPr>
              <w:t>TC-DD</w:t>
            </w:r>
            <w:r w:rsidR="00CA27E3" w:rsidRPr="00D83000">
              <w:rPr>
                <w:rFonts w:ascii="Sylfaen" w:hAnsi="Sylfaen"/>
                <w:sz w:val="16"/>
                <w:szCs w:val="16"/>
              </w:rPr>
              <w:t>/DDE</w:t>
            </w:r>
          </w:p>
        </w:tc>
        <w:tc>
          <w:tcPr>
            <w:tcW w:w="1177" w:type="dxa"/>
            <w:tcBorders>
              <w:top w:val="single" w:sz="4" w:space="0" w:color="auto"/>
              <w:left w:val="single" w:sz="4" w:space="0" w:color="auto"/>
            </w:tcBorders>
            <w:shd w:val="clear" w:color="auto" w:fill="FFFFFF"/>
            <w:vAlign w:val="center"/>
          </w:tcPr>
          <w:p w14:paraId="5CB9E74E" w14:textId="77777777" w:rsidR="00CA27E3" w:rsidRPr="00D83000" w:rsidRDefault="00CA27E3" w:rsidP="00696F04">
            <w:pPr>
              <w:pStyle w:val="a4"/>
              <w:shd w:val="clear" w:color="auto" w:fill="auto"/>
              <w:spacing w:after="60" w:line="240" w:lineRule="auto"/>
              <w:ind w:firstLine="320"/>
              <w:jc w:val="both"/>
              <w:rPr>
                <w:rFonts w:ascii="Sylfaen" w:hAnsi="Sylfaen" w:cs="Sylfaen"/>
                <w:sz w:val="16"/>
                <w:szCs w:val="16"/>
              </w:rPr>
            </w:pPr>
            <w:r w:rsidRPr="00D83000">
              <w:rPr>
                <w:rFonts w:ascii="Sylfaen" w:hAnsi="Sylfaen"/>
                <w:sz w:val="16"/>
                <w:szCs w:val="16"/>
              </w:rPr>
              <w:t>21</w:t>
            </w:r>
          </w:p>
        </w:tc>
        <w:tc>
          <w:tcPr>
            <w:tcW w:w="2288" w:type="dxa"/>
            <w:tcBorders>
              <w:top w:val="single" w:sz="4" w:space="0" w:color="auto"/>
              <w:left w:val="single" w:sz="4" w:space="0" w:color="auto"/>
            </w:tcBorders>
            <w:shd w:val="clear" w:color="auto" w:fill="FFFFFF"/>
            <w:vAlign w:val="bottom"/>
          </w:tcPr>
          <w:p w14:paraId="62EB8D60"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FSS-21-E-GR10q</w:t>
            </w:r>
          </w:p>
          <w:p w14:paraId="019B92B7"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FSS-21-L/P/H-GR10q</w:t>
            </w:r>
          </w:p>
        </w:tc>
        <w:tc>
          <w:tcPr>
            <w:tcW w:w="803" w:type="dxa"/>
            <w:tcBorders>
              <w:top w:val="single" w:sz="4" w:space="0" w:color="auto"/>
              <w:left w:val="single" w:sz="4" w:space="0" w:color="auto"/>
            </w:tcBorders>
            <w:shd w:val="clear" w:color="auto" w:fill="FFFFFF"/>
            <w:vAlign w:val="center"/>
          </w:tcPr>
          <w:p w14:paraId="48582D1A"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21</w:t>
            </w:r>
          </w:p>
        </w:tc>
        <w:tc>
          <w:tcPr>
            <w:tcW w:w="504" w:type="dxa"/>
            <w:tcBorders>
              <w:top w:val="single" w:sz="4" w:space="0" w:color="auto"/>
              <w:left w:val="single" w:sz="4" w:space="0" w:color="auto"/>
            </w:tcBorders>
            <w:shd w:val="clear" w:color="auto" w:fill="FFFFFF"/>
            <w:vAlign w:val="center"/>
          </w:tcPr>
          <w:p w14:paraId="79C7283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19,,5</w:t>
            </w:r>
          </w:p>
        </w:tc>
        <w:tc>
          <w:tcPr>
            <w:tcW w:w="778" w:type="dxa"/>
            <w:tcBorders>
              <w:top w:val="single" w:sz="4" w:space="0" w:color="auto"/>
              <w:left w:val="single" w:sz="4" w:space="0" w:color="auto"/>
            </w:tcBorders>
            <w:shd w:val="clear" w:color="auto" w:fill="FFFFFF"/>
            <w:vAlign w:val="center"/>
          </w:tcPr>
          <w:p w14:paraId="685FCA1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89,,7 %</w:t>
            </w:r>
          </w:p>
        </w:tc>
        <w:tc>
          <w:tcPr>
            <w:tcW w:w="773" w:type="dxa"/>
            <w:tcBorders>
              <w:top w:val="single" w:sz="4" w:space="0" w:color="auto"/>
              <w:left w:val="single" w:sz="4" w:space="0" w:color="auto"/>
            </w:tcBorders>
            <w:shd w:val="clear" w:color="auto" w:fill="FFFFFF"/>
            <w:vAlign w:val="center"/>
          </w:tcPr>
          <w:p w14:paraId="3DD96A1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86,,7 %</w:t>
            </w:r>
          </w:p>
        </w:tc>
        <w:tc>
          <w:tcPr>
            <w:tcW w:w="773" w:type="dxa"/>
            <w:tcBorders>
              <w:top w:val="single" w:sz="4" w:space="0" w:color="auto"/>
              <w:left w:val="single" w:sz="4" w:space="0" w:color="auto"/>
            </w:tcBorders>
            <w:shd w:val="clear" w:color="auto" w:fill="FFFFFF"/>
            <w:vAlign w:val="center"/>
          </w:tcPr>
          <w:p w14:paraId="58C8C17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78,,0 %</w:t>
            </w:r>
          </w:p>
        </w:tc>
        <w:tc>
          <w:tcPr>
            <w:tcW w:w="773" w:type="dxa"/>
            <w:tcBorders>
              <w:top w:val="single" w:sz="4" w:space="0" w:color="auto"/>
              <w:left w:val="single" w:sz="4" w:space="0" w:color="auto"/>
            </w:tcBorders>
            <w:shd w:val="clear" w:color="auto" w:fill="FFFFFF"/>
            <w:vAlign w:val="center"/>
          </w:tcPr>
          <w:p w14:paraId="28B3A1E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73,,9 %</w:t>
            </w:r>
          </w:p>
        </w:tc>
        <w:tc>
          <w:tcPr>
            <w:tcW w:w="787" w:type="dxa"/>
            <w:tcBorders>
              <w:top w:val="single" w:sz="4" w:space="0" w:color="auto"/>
              <w:left w:val="single" w:sz="4" w:space="0" w:color="auto"/>
              <w:right w:val="single" w:sz="4" w:space="0" w:color="auto"/>
            </w:tcBorders>
            <w:shd w:val="clear" w:color="auto" w:fill="FFFFFF"/>
            <w:vAlign w:val="center"/>
          </w:tcPr>
          <w:p w14:paraId="0E576F1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68,,8 %</w:t>
            </w:r>
          </w:p>
        </w:tc>
      </w:tr>
      <w:tr w:rsidR="00CA27E3" w:rsidRPr="00D83000" w14:paraId="6A990943"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20B56AA6" w14:textId="77777777" w:rsidR="00CA27E3" w:rsidRPr="00D83000" w:rsidRDefault="00696F04" w:rsidP="00696F04">
            <w:pPr>
              <w:pStyle w:val="a4"/>
              <w:shd w:val="clear" w:color="auto" w:fill="auto"/>
              <w:spacing w:after="120" w:line="240" w:lineRule="auto"/>
              <w:ind w:firstLine="0"/>
              <w:jc w:val="center"/>
              <w:rPr>
                <w:rFonts w:ascii="Sylfaen" w:hAnsi="Sylfaen" w:cs="Sylfaen"/>
                <w:sz w:val="16"/>
                <w:szCs w:val="16"/>
              </w:rPr>
            </w:pPr>
            <w:r>
              <w:rPr>
                <w:rFonts w:ascii="Sylfaen" w:hAnsi="Sylfaen"/>
                <w:sz w:val="16"/>
                <w:szCs w:val="16"/>
              </w:rPr>
              <w:t>TC-DD</w:t>
            </w:r>
            <w:r w:rsidR="00CA27E3" w:rsidRPr="00D83000">
              <w:rPr>
                <w:rFonts w:ascii="Sylfaen" w:hAnsi="Sylfaen"/>
                <w:sz w:val="16"/>
                <w:szCs w:val="16"/>
              </w:rPr>
              <w:t>/DDE</w:t>
            </w:r>
          </w:p>
        </w:tc>
        <w:tc>
          <w:tcPr>
            <w:tcW w:w="1177" w:type="dxa"/>
            <w:tcBorders>
              <w:top w:val="single" w:sz="4" w:space="0" w:color="auto"/>
              <w:left w:val="single" w:sz="4" w:space="0" w:color="auto"/>
            </w:tcBorders>
            <w:shd w:val="clear" w:color="auto" w:fill="FFFFFF"/>
            <w:vAlign w:val="center"/>
          </w:tcPr>
          <w:p w14:paraId="6AC92E81"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28</w:t>
            </w:r>
          </w:p>
        </w:tc>
        <w:tc>
          <w:tcPr>
            <w:tcW w:w="2288" w:type="dxa"/>
            <w:tcBorders>
              <w:top w:val="single" w:sz="4" w:space="0" w:color="auto"/>
              <w:left w:val="single" w:sz="4" w:space="0" w:color="auto"/>
            </w:tcBorders>
            <w:shd w:val="clear" w:color="auto" w:fill="FFFFFF"/>
            <w:vAlign w:val="bottom"/>
          </w:tcPr>
          <w:p w14:paraId="430A00A7"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FSS-28-E-GR10q</w:t>
            </w:r>
          </w:p>
          <w:p w14:paraId="71C7CED2"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FSS-28-I-GR8</w:t>
            </w:r>
          </w:p>
          <w:p w14:paraId="19564B6C"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FSS-28-L/P/H-GR10q</w:t>
            </w:r>
          </w:p>
        </w:tc>
        <w:tc>
          <w:tcPr>
            <w:tcW w:w="803" w:type="dxa"/>
            <w:tcBorders>
              <w:top w:val="single" w:sz="4" w:space="0" w:color="auto"/>
              <w:left w:val="single" w:sz="4" w:space="0" w:color="auto"/>
            </w:tcBorders>
            <w:shd w:val="clear" w:color="auto" w:fill="FFFFFF"/>
            <w:vAlign w:val="center"/>
          </w:tcPr>
          <w:p w14:paraId="1E982EE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28</w:t>
            </w:r>
          </w:p>
        </w:tc>
        <w:tc>
          <w:tcPr>
            <w:tcW w:w="504" w:type="dxa"/>
            <w:tcBorders>
              <w:top w:val="single" w:sz="4" w:space="0" w:color="auto"/>
              <w:left w:val="single" w:sz="4" w:space="0" w:color="auto"/>
            </w:tcBorders>
            <w:shd w:val="clear" w:color="auto" w:fill="FFFFFF"/>
            <w:vAlign w:val="center"/>
          </w:tcPr>
          <w:p w14:paraId="4F4BFE0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24,5</w:t>
            </w:r>
          </w:p>
        </w:tc>
        <w:tc>
          <w:tcPr>
            <w:tcW w:w="778" w:type="dxa"/>
            <w:tcBorders>
              <w:top w:val="single" w:sz="4" w:space="0" w:color="auto"/>
              <w:left w:val="single" w:sz="4" w:space="0" w:color="auto"/>
            </w:tcBorders>
            <w:shd w:val="clear" w:color="auto" w:fill="FFFFFF"/>
            <w:vAlign w:val="center"/>
          </w:tcPr>
          <w:p w14:paraId="315D2F8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89,,1 %</w:t>
            </w:r>
          </w:p>
        </w:tc>
        <w:tc>
          <w:tcPr>
            <w:tcW w:w="773" w:type="dxa"/>
            <w:tcBorders>
              <w:top w:val="single" w:sz="4" w:space="0" w:color="auto"/>
              <w:left w:val="single" w:sz="4" w:space="0" w:color="auto"/>
            </w:tcBorders>
            <w:shd w:val="clear" w:color="auto" w:fill="FFFFFF"/>
            <w:vAlign w:val="center"/>
          </w:tcPr>
          <w:p w14:paraId="5EF537D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86,,0 %</w:t>
            </w:r>
          </w:p>
        </w:tc>
        <w:tc>
          <w:tcPr>
            <w:tcW w:w="773" w:type="dxa"/>
            <w:tcBorders>
              <w:top w:val="single" w:sz="4" w:space="0" w:color="auto"/>
              <w:left w:val="single" w:sz="4" w:space="0" w:color="auto"/>
            </w:tcBorders>
            <w:shd w:val="clear" w:color="auto" w:fill="FFFFFF"/>
            <w:vAlign w:val="center"/>
          </w:tcPr>
          <w:p w14:paraId="006C1F3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80,,3 %</w:t>
            </w:r>
          </w:p>
        </w:tc>
        <w:tc>
          <w:tcPr>
            <w:tcW w:w="773" w:type="dxa"/>
            <w:tcBorders>
              <w:top w:val="single" w:sz="4" w:space="0" w:color="auto"/>
              <w:left w:val="single" w:sz="4" w:space="0" w:color="auto"/>
            </w:tcBorders>
            <w:shd w:val="clear" w:color="auto" w:fill="FFFFFF"/>
            <w:vAlign w:val="center"/>
          </w:tcPr>
          <w:p w14:paraId="4EF6D20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78,,2 %</w:t>
            </w:r>
          </w:p>
        </w:tc>
        <w:tc>
          <w:tcPr>
            <w:tcW w:w="787" w:type="dxa"/>
            <w:tcBorders>
              <w:top w:val="single" w:sz="4" w:space="0" w:color="auto"/>
              <w:left w:val="single" w:sz="4" w:space="0" w:color="auto"/>
              <w:right w:val="single" w:sz="4" w:space="0" w:color="auto"/>
            </w:tcBorders>
            <w:shd w:val="clear" w:color="auto" w:fill="FFFFFF"/>
            <w:vAlign w:val="center"/>
          </w:tcPr>
          <w:p w14:paraId="6DE44E3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73,,9 %</w:t>
            </w:r>
          </w:p>
        </w:tc>
      </w:tr>
      <w:tr w:rsidR="00CA27E3" w:rsidRPr="00D83000" w14:paraId="0F52F63E"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0C055098" w14:textId="77777777" w:rsidR="00CA27E3" w:rsidRPr="00D83000" w:rsidRDefault="00696F04" w:rsidP="00696F04">
            <w:pPr>
              <w:pStyle w:val="a4"/>
              <w:shd w:val="clear" w:color="auto" w:fill="auto"/>
              <w:spacing w:after="120" w:line="240" w:lineRule="auto"/>
              <w:ind w:firstLine="0"/>
              <w:jc w:val="center"/>
              <w:rPr>
                <w:rFonts w:ascii="Sylfaen" w:hAnsi="Sylfaen" w:cs="Sylfaen"/>
                <w:sz w:val="16"/>
                <w:szCs w:val="16"/>
              </w:rPr>
            </w:pPr>
            <w:r>
              <w:rPr>
                <w:rFonts w:ascii="Sylfaen" w:hAnsi="Sylfaen"/>
                <w:sz w:val="16"/>
                <w:szCs w:val="16"/>
              </w:rPr>
              <w:t>TC-DD</w:t>
            </w:r>
            <w:r w:rsidR="00CA27E3" w:rsidRPr="00D83000">
              <w:rPr>
                <w:rFonts w:ascii="Sylfaen" w:hAnsi="Sylfaen"/>
                <w:sz w:val="16"/>
                <w:szCs w:val="16"/>
              </w:rPr>
              <w:t>/DDE</w:t>
            </w:r>
          </w:p>
        </w:tc>
        <w:tc>
          <w:tcPr>
            <w:tcW w:w="1177" w:type="dxa"/>
            <w:tcBorders>
              <w:top w:val="single" w:sz="4" w:space="0" w:color="auto"/>
              <w:left w:val="single" w:sz="4" w:space="0" w:color="auto"/>
            </w:tcBorders>
            <w:shd w:val="clear" w:color="auto" w:fill="FFFFFF"/>
            <w:vAlign w:val="center"/>
          </w:tcPr>
          <w:p w14:paraId="42F1975C"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38</w:t>
            </w:r>
          </w:p>
        </w:tc>
        <w:tc>
          <w:tcPr>
            <w:tcW w:w="2288" w:type="dxa"/>
            <w:tcBorders>
              <w:top w:val="single" w:sz="4" w:space="0" w:color="auto"/>
              <w:left w:val="single" w:sz="4" w:space="0" w:color="auto"/>
            </w:tcBorders>
            <w:shd w:val="clear" w:color="auto" w:fill="FFFFFF"/>
            <w:vAlign w:val="bottom"/>
          </w:tcPr>
          <w:p w14:paraId="49486A7B"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FSS-38-E-GR10q</w:t>
            </w:r>
          </w:p>
          <w:p w14:paraId="7A29C427"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FSS-38-L/P/H-GR10q</w:t>
            </w:r>
          </w:p>
        </w:tc>
        <w:tc>
          <w:tcPr>
            <w:tcW w:w="803" w:type="dxa"/>
            <w:tcBorders>
              <w:top w:val="single" w:sz="4" w:space="0" w:color="auto"/>
              <w:left w:val="single" w:sz="4" w:space="0" w:color="auto"/>
            </w:tcBorders>
            <w:shd w:val="clear" w:color="auto" w:fill="FFFFFF"/>
            <w:vAlign w:val="center"/>
          </w:tcPr>
          <w:p w14:paraId="2F56F35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38,,5</w:t>
            </w:r>
          </w:p>
        </w:tc>
        <w:tc>
          <w:tcPr>
            <w:tcW w:w="504" w:type="dxa"/>
            <w:tcBorders>
              <w:top w:val="single" w:sz="4" w:space="0" w:color="auto"/>
              <w:left w:val="single" w:sz="4" w:space="0" w:color="auto"/>
            </w:tcBorders>
            <w:shd w:val="clear" w:color="auto" w:fill="FFFFFF"/>
            <w:vAlign w:val="center"/>
          </w:tcPr>
          <w:p w14:paraId="35C2557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34,,5</w:t>
            </w:r>
          </w:p>
        </w:tc>
        <w:tc>
          <w:tcPr>
            <w:tcW w:w="778" w:type="dxa"/>
            <w:tcBorders>
              <w:top w:val="single" w:sz="4" w:space="0" w:color="auto"/>
              <w:left w:val="single" w:sz="4" w:space="0" w:color="auto"/>
            </w:tcBorders>
            <w:shd w:val="clear" w:color="auto" w:fill="FFFFFF"/>
            <w:vAlign w:val="center"/>
          </w:tcPr>
          <w:p w14:paraId="7B551ED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92,,0 %</w:t>
            </w:r>
          </w:p>
        </w:tc>
        <w:tc>
          <w:tcPr>
            <w:tcW w:w="773" w:type="dxa"/>
            <w:tcBorders>
              <w:top w:val="single" w:sz="4" w:space="0" w:color="auto"/>
              <w:left w:val="single" w:sz="4" w:space="0" w:color="auto"/>
            </w:tcBorders>
            <w:shd w:val="clear" w:color="auto" w:fill="FFFFFF"/>
            <w:vAlign w:val="center"/>
          </w:tcPr>
          <w:p w14:paraId="0B8D77A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89,,6 %</w:t>
            </w:r>
          </w:p>
        </w:tc>
        <w:tc>
          <w:tcPr>
            <w:tcW w:w="773" w:type="dxa"/>
            <w:tcBorders>
              <w:top w:val="single" w:sz="4" w:space="0" w:color="auto"/>
              <w:left w:val="single" w:sz="4" w:space="0" w:color="auto"/>
            </w:tcBorders>
            <w:shd w:val="clear" w:color="auto" w:fill="FFFFFF"/>
            <w:vAlign w:val="center"/>
          </w:tcPr>
          <w:p w14:paraId="4D32F44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85,,2 %</w:t>
            </w:r>
          </w:p>
        </w:tc>
        <w:tc>
          <w:tcPr>
            <w:tcW w:w="773" w:type="dxa"/>
            <w:tcBorders>
              <w:top w:val="single" w:sz="4" w:space="0" w:color="auto"/>
              <w:left w:val="single" w:sz="4" w:space="0" w:color="auto"/>
            </w:tcBorders>
            <w:shd w:val="clear" w:color="auto" w:fill="FFFFFF"/>
            <w:vAlign w:val="center"/>
          </w:tcPr>
          <w:p w14:paraId="36D2997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84,1 %</w:t>
            </w:r>
          </w:p>
        </w:tc>
        <w:tc>
          <w:tcPr>
            <w:tcW w:w="787" w:type="dxa"/>
            <w:tcBorders>
              <w:top w:val="single" w:sz="4" w:space="0" w:color="auto"/>
              <w:left w:val="single" w:sz="4" w:space="0" w:color="auto"/>
              <w:right w:val="single" w:sz="4" w:space="0" w:color="auto"/>
            </w:tcBorders>
            <w:shd w:val="clear" w:color="auto" w:fill="FFFFFF"/>
            <w:vAlign w:val="center"/>
          </w:tcPr>
          <w:p w14:paraId="485566B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80,,4 %</w:t>
            </w:r>
          </w:p>
        </w:tc>
      </w:tr>
      <w:tr w:rsidR="00CA27E3" w:rsidRPr="00D83000" w14:paraId="7DFE9582"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CBD67F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w:t>
            </w:r>
          </w:p>
        </w:tc>
        <w:tc>
          <w:tcPr>
            <w:tcW w:w="1177" w:type="dxa"/>
            <w:tcBorders>
              <w:top w:val="single" w:sz="4" w:space="0" w:color="auto"/>
              <w:left w:val="single" w:sz="4" w:space="0" w:color="auto"/>
            </w:tcBorders>
            <w:shd w:val="clear" w:color="auto" w:fill="FFFFFF"/>
            <w:vAlign w:val="center"/>
          </w:tcPr>
          <w:p w14:paraId="094B28FC"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w:t>
            </w:r>
          </w:p>
        </w:tc>
        <w:tc>
          <w:tcPr>
            <w:tcW w:w="2288" w:type="dxa"/>
            <w:tcBorders>
              <w:top w:val="single" w:sz="4" w:space="0" w:color="auto"/>
              <w:left w:val="single" w:sz="4" w:space="0" w:color="auto"/>
            </w:tcBorders>
            <w:shd w:val="clear" w:color="auto" w:fill="FFFFFF"/>
          </w:tcPr>
          <w:p w14:paraId="236FF788"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FSD-5-I-G23</w:t>
            </w:r>
          </w:p>
          <w:p w14:paraId="1977E7C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FSD-5-E-2G7</w:t>
            </w:r>
          </w:p>
        </w:tc>
        <w:tc>
          <w:tcPr>
            <w:tcW w:w="803" w:type="dxa"/>
            <w:tcBorders>
              <w:top w:val="single" w:sz="4" w:space="0" w:color="auto"/>
              <w:left w:val="single" w:sz="4" w:space="0" w:color="auto"/>
            </w:tcBorders>
            <w:shd w:val="clear" w:color="auto" w:fill="FFFFFF"/>
            <w:vAlign w:val="center"/>
          </w:tcPr>
          <w:p w14:paraId="2803D98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5,,4</w:t>
            </w:r>
          </w:p>
        </w:tc>
        <w:tc>
          <w:tcPr>
            <w:tcW w:w="504" w:type="dxa"/>
            <w:tcBorders>
              <w:top w:val="single" w:sz="4" w:space="0" w:color="auto"/>
              <w:left w:val="single" w:sz="4" w:space="0" w:color="auto"/>
            </w:tcBorders>
            <w:shd w:val="clear" w:color="auto" w:fill="FFFFFF"/>
            <w:vAlign w:val="center"/>
          </w:tcPr>
          <w:p w14:paraId="36BC927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w:t>
            </w:r>
          </w:p>
        </w:tc>
        <w:tc>
          <w:tcPr>
            <w:tcW w:w="778" w:type="dxa"/>
            <w:tcBorders>
              <w:top w:val="single" w:sz="4" w:space="0" w:color="auto"/>
              <w:left w:val="single" w:sz="4" w:space="0" w:color="auto"/>
            </w:tcBorders>
            <w:shd w:val="clear" w:color="auto" w:fill="FFFFFF"/>
            <w:vAlign w:val="center"/>
          </w:tcPr>
          <w:p w14:paraId="7B4ACBB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72,,7 %</w:t>
            </w:r>
          </w:p>
        </w:tc>
        <w:tc>
          <w:tcPr>
            <w:tcW w:w="773" w:type="dxa"/>
            <w:tcBorders>
              <w:top w:val="single" w:sz="4" w:space="0" w:color="auto"/>
              <w:left w:val="single" w:sz="4" w:space="0" w:color="auto"/>
            </w:tcBorders>
            <w:shd w:val="clear" w:color="auto" w:fill="FFFFFF"/>
            <w:vAlign w:val="center"/>
          </w:tcPr>
          <w:p w14:paraId="7F7552E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66,,7 %</w:t>
            </w:r>
          </w:p>
        </w:tc>
        <w:tc>
          <w:tcPr>
            <w:tcW w:w="773" w:type="dxa"/>
            <w:tcBorders>
              <w:top w:val="single" w:sz="4" w:space="0" w:color="auto"/>
              <w:left w:val="single" w:sz="4" w:space="0" w:color="auto"/>
            </w:tcBorders>
            <w:shd w:val="clear" w:color="auto" w:fill="FFFFFF"/>
            <w:vAlign w:val="center"/>
          </w:tcPr>
          <w:p w14:paraId="52FAC08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58,,8 %</w:t>
            </w:r>
          </w:p>
        </w:tc>
        <w:tc>
          <w:tcPr>
            <w:tcW w:w="773" w:type="dxa"/>
            <w:tcBorders>
              <w:top w:val="single" w:sz="4" w:space="0" w:color="auto"/>
              <w:left w:val="single" w:sz="4" w:space="0" w:color="auto"/>
            </w:tcBorders>
            <w:shd w:val="clear" w:color="auto" w:fill="FFFFFF"/>
            <w:vAlign w:val="center"/>
          </w:tcPr>
          <w:p w14:paraId="78B9266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49,,3 %</w:t>
            </w:r>
          </w:p>
        </w:tc>
        <w:tc>
          <w:tcPr>
            <w:tcW w:w="787" w:type="dxa"/>
            <w:tcBorders>
              <w:top w:val="single" w:sz="4" w:space="0" w:color="auto"/>
              <w:left w:val="single" w:sz="4" w:space="0" w:color="auto"/>
              <w:right w:val="single" w:sz="4" w:space="0" w:color="auto"/>
            </w:tcBorders>
            <w:shd w:val="clear" w:color="auto" w:fill="FFFFFF"/>
            <w:vAlign w:val="center"/>
          </w:tcPr>
          <w:p w14:paraId="7203271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41,,4 %</w:t>
            </w:r>
          </w:p>
        </w:tc>
      </w:tr>
      <w:tr w:rsidR="00CA27E3" w:rsidRPr="00D83000" w14:paraId="1EBEEE3C"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2ABA907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w:t>
            </w:r>
          </w:p>
        </w:tc>
        <w:tc>
          <w:tcPr>
            <w:tcW w:w="1177" w:type="dxa"/>
            <w:tcBorders>
              <w:top w:val="single" w:sz="4" w:space="0" w:color="auto"/>
              <w:left w:val="single" w:sz="4" w:space="0" w:color="auto"/>
            </w:tcBorders>
            <w:shd w:val="clear" w:color="auto" w:fill="FFFFFF"/>
            <w:vAlign w:val="center"/>
          </w:tcPr>
          <w:p w14:paraId="52440E66"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7</w:t>
            </w:r>
          </w:p>
        </w:tc>
        <w:tc>
          <w:tcPr>
            <w:tcW w:w="2288" w:type="dxa"/>
            <w:tcBorders>
              <w:top w:val="single" w:sz="4" w:space="0" w:color="auto"/>
              <w:left w:val="single" w:sz="4" w:space="0" w:color="auto"/>
            </w:tcBorders>
            <w:shd w:val="clear" w:color="auto" w:fill="FFFFFF"/>
          </w:tcPr>
          <w:p w14:paraId="17E9469C"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FSD-7-I-G23</w:t>
            </w:r>
          </w:p>
          <w:p w14:paraId="6B468332"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FSD-7-E-2G7</w:t>
            </w:r>
          </w:p>
        </w:tc>
        <w:tc>
          <w:tcPr>
            <w:tcW w:w="803" w:type="dxa"/>
            <w:tcBorders>
              <w:top w:val="single" w:sz="4" w:space="0" w:color="auto"/>
              <w:left w:val="single" w:sz="4" w:space="0" w:color="auto"/>
            </w:tcBorders>
            <w:shd w:val="clear" w:color="auto" w:fill="FFFFFF"/>
            <w:vAlign w:val="center"/>
          </w:tcPr>
          <w:p w14:paraId="0B23FBA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w:t>
            </w:r>
          </w:p>
        </w:tc>
        <w:tc>
          <w:tcPr>
            <w:tcW w:w="504" w:type="dxa"/>
            <w:tcBorders>
              <w:top w:val="single" w:sz="4" w:space="0" w:color="auto"/>
              <w:left w:val="single" w:sz="4" w:space="0" w:color="auto"/>
            </w:tcBorders>
            <w:shd w:val="clear" w:color="auto" w:fill="FFFFFF"/>
            <w:vAlign w:val="center"/>
          </w:tcPr>
          <w:p w14:paraId="7E7A952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w:t>
            </w:r>
          </w:p>
        </w:tc>
        <w:tc>
          <w:tcPr>
            <w:tcW w:w="778" w:type="dxa"/>
            <w:tcBorders>
              <w:top w:val="single" w:sz="4" w:space="0" w:color="auto"/>
              <w:left w:val="single" w:sz="4" w:space="0" w:color="auto"/>
            </w:tcBorders>
            <w:shd w:val="clear" w:color="auto" w:fill="FFFFFF"/>
            <w:vAlign w:val="center"/>
          </w:tcPr>
          <w:p w14:paraId="3FB9D92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77,6 %</w:t>
            </w:r>
          </w:p>
        </w:tc>
        <w:tc>
          <w:tcPr>
            <w:tcW w:w="773" w:type="dxa"/>
            <w:tcBorders>
              <w:top w:val="single" w:sz="4" w:space="0" w:color="auto"/>
              <w:left w:val="single" w:sz="4" w:space="0" w:color="auto"/>
            </w:tcBorders>
            <w:shd w:val="clear" w:color="auto" w:fill="FFFFFF"/>
            <w:vAlign w:val="center"/>
          </w:tcPr>
          <w:p w14:paraId="57CDA10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72,2 %</w:t>
            </w:r>
          </w:p>
        </w:tc>
        <w:tc>
          <w:tcPr>
            <w:tcW w:w="773" w:type="dxa"/>
            <w:tcBorders>
              <w:top w:val="single" w:sz="4" w:space="0" w:color="auto"/>
              <w:left w:val="single" w:sz="4" w:space="0" w:color="auto"/>
            </w:tcBorders>
            <w:shd w:val="clear" w:color="auto" w:fill="FFFFFF"/>
            <w:vAlign w:val="center"/>
          </w:tcPr>
          <w:p w14:paraId="06A7C29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65,0 %</w:t>
            </w:r>
          </w:p>
        </w:tc>
        <w:tc>
          <w:tcPr>
            <w:tcW w:w="773" w:type="dxa"/>
            <w:tcBorders>
              <w:top w:val="single" w:sz="4" w:space="0" w:color="auto"/>
              <w:left w:val="single" w:sz="4" w:space="0" w:color="auto"/>
            </w:tcBorders>
            <w:shd w:val="clear" w:color="auto" w:fill="FFFFFF"/>
            <w:vAlign w:val="center"/>
          </w:tcPr>
          <w:p w14:paraId="6CE1F3E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55,7 %</w:t>
            </w:r>
          </w:p>
        </w:tc>
        <w:tc>
          <w:tcPr>
            <w:tcW w:w="787" w:type="dxa"/>
            <w:tcBorders>
              <w:top w:val="single" w:sz="4" w:space="0" w:color="auto"/>
              <w:left w:val="single" w:sz="4" w:space="0" w:color="auto"/>
              <w:right w:val="single" w:sz="4" w:space="0" w:color="auto"/>
            </w:tcBorders>
            <w:shd w:val="clear" w:color="auto" w:fill="FFFFFF"/>
            <w:vAlign w:val="center"/>
          </w:tcPr>
          <w:p w14:paraId="3356A9D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47,8 %</w:t>
            </w:r>
          </w:p>
        </w:tc>
      </w:tr>
      <w:tr w:rsidR="00CA27E3" w:rsidRPr="00D83000" w14:paraId="341646AD"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1DC625B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lastRenderedPageBreak/>
              <w:t>TC</w:t>
            </w:r>
          </w:p>
        </w:tc>
        <w:tc>
          <w:tcPr>
            <w:tcW w:w="1177" w:type="dxa"/>
            <w:tcBorders>
              <w:top w:val="single" w:sz="4" w:space="0" w:color="auto"/>
              <w:left w:val="single" w:sz="4" w:space="0" w:color="auto"/>
            </w:tcBorders>
            <w:shd w:val="clear" w:color="auto" w:fill="FFFFFF"/>
            <w:vAlign w:val="center"/>
          </w:tcPr>
          <w:p w14:paraId="55A11CD1"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w:t>
            </w:r>
          </w:p>
        </w:tc>
        <w:tc>
          <w:tcPr>
            <w:tcW w:w="2288" w:type="dxa"/>
            <w:tcBorders>
              <w:top w:val="single" w:sz="4" w:space="0" w:color="auto"/>
              <w:left w:val="single" w:sz="4" w:space="0" w:color="auto"/>
            </w:tcBorders>
            <w:shd w:val="clear" w:color="auto" w:fill="FFFFFF"/>
          </w:tcPr>
          <w:p w14:paraId="20DB6122"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FSD-9-I-G23</w:t>
            </w:r>
          </w:p>
          <w:p w14:paraId="1B2A1BB6"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FSD-9-E-2G7</w:t>
            </w:r>
          </w:p>
        </w:tc>
        <w:tc>
          <w:tcPr>
            <w:tcW w:w="803" w:type="dxa"/>
            <w:tcBorders>
              <w:top w:val="single" w:sz="4" w:space="0" w:color="auto"/>
              <w:left w:val="single" w:sz="4" w:space="0" w:color="auto"/>
            </w:tcBorders>
            <w:shd w:val="clear" w:color="auto" w:fill="FFFFFF"/>
            <w:vAlign w:val="center"/>
          </w:tcPr>
          <w:p w14:paraId="3975DE1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w:t>
            </w:r>
          </w:p>
        </w:tc>
        <w:tc>
          <w:tcPr>
            <w:tcW w:w="504" w:type="dxa"/>
            <w:tcBorders>
              <w:top w:val="single" w:sz="4" w:space="0" w:color="auto"/>
              <w:left w:val="single" w:sz="4" w:space="0" w:color="auto"/>
            </w:tcBorders>
            <w:shd w:val="clear" w:color="auto" w:fill="FFFFFF"/>
            <w:vAlign w:val="center"/>
          </w:tcPr>
          <w:p w14:paraId="79D63BC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w:t>
            </w:r>
          </w:p>
        </w:tc>
        <w:tc>
          <w:tcPr>
            <w:tcW w:w="778" w:type="dxa"/>
            <w:tcBorders>
              <w:top w:val="single" w:sz="4" w:space="0" w:color="auto"/>
              <w:left w:val="single" w:sz="4" w:space="0" w:color="auto"/>
            </w:tcBorders>
            <w:shd w:val="clear" w:color="auto" w:fill="FFFFFF"/>
            <w:vAlign w:val="center"/>
          </w:tcPr>
          <w:p w14:paraId="2ABFFAD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78,0 %</w:t>
            </w:r>
          </w:p>
        </w:tc>
        <w:tc>
          <w:tcPr>
            <w:tcW w:w="773" w:type="dxa"/>
            <w:tcBorders>
              <w:top w:val="single" w:sz="4" w:space="0" w:color="auto"/>
              <w:left w:val="single" w:sz="4" w:space="0" w:color="auto"/>
            </w:tcBorders>
            <w:shd w:val="clear" w:color="auto" w:fill="FFFFFF"/>
            <w:vAlign w:val="center"/>
          </w:tcPr>
          <w:p w14:paraId="2206D0C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72,7 %</w:t>
            </w:r>
          </w:p>
        </w:tc>
        <w:tc>
          <w:tcPr>
            <w:tcW w:w="773" w:type="dxa"/>
            <w:tcBorders>
              <w:top w:val="single" w:sz="4" w:space="0" w:color="auto"/>
              <w:left w:val="single" w:sz="4" w:space="0" w:color="auto"/>
            </w:tcBorders>
            <w:shd w:val="clear" w:color="auto" w:fill="FFFFFF"/>
            <w:vAlign w:val="center"/>
          </w:tcPr>
          <w:p w14:paraId="7A83ADB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66,7 %</w:t>
            </w:r>
          </w:p>
        </w:tc>
        <w:tc>
          <w:tcPr>
            <w:tcW w:w="773" w:type="dxa"/>
            <w:tcBorders>
              <w:top w:val="single" w:sz="4" w:space="0" w:color="auto"/>
              <w:left w:val="single" w:sz="4" w:space="0" w:color="auto"/>
            </w:tcBorders>
            <w:shd w:val="clear" w:color="auto" w:fill="FFFFFF"/>
            <w:vAlign w:val="center"/>
          </w:tcPr>
          <w:p w14:paraId="28AB4BE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60,3 %</w:t>
            </w:r>
          </w:p>
        </w:tc>
        <w:tc>
          <w:tcPr>
            <w:tcW w:w="787" w:type="dxa"/>
            <w:tcBorders>
              <w:top w:val="single" w:sz="4" w:space="0" w:color="auto"/>
              <w:left w:val="single" w:sz="4" w:space="0" w:color="auto"/>
              <w:right w:val="single" w:sz="4" w:space="0" w:color="auto"/>
            </w:tcBorders>
            <w:shd w:val="clear" w:color="auto" w:fill="FFFFFF"/>
            <w:vAlign w:val="center"/>
          </w:tcPr>
          <w:p w14:paraId="4E8A8B7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52,6 %</w:t>
            </w:r>
          </w:p>
        </w:tc>
      </w:tr>
      <w:tr w:rsidR="00CA27E3" w:rsidRPr="00D83000" w14:paraId="56C395DE"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55A235E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w:t>
            </w:r>
          </w:p>
        </w:tc>
        <w:tc>
          <w:tcPr>
            <w:tcW w:w="1177" w:type="dxa"/>
            <w:tcBorders>
              <w:top w:val="single" w:sz="4" w:space="0" w:color="auto"/>
              <w:left w:val="single" w:sz="4" w:space="0" w:color="auto"/>
            </w:tcBorders>
            <w:shd w:val="clear" w:color="auto" w:fill="FFFFFF"/>
            <w:vAlign w:val="center"/>
          </w:tcPr>
          <w:p w14:paraId="4AFA138A"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11</w:t>
            </w:r>
          </w:p>
        </w:tc>
        <w:tc>
          <w:tcPr>
            <w:tcW w:w="2288" w:type="dxa"/>
            <w:tcBorders>
              <w:top w:val="single" w:sz="4" w:space="0" w:color="auto"/>
              <w:left w:val="single" w:sz="4" w:space="0" w:color="auto"/>
            </w:tcBorders>
            <w:shd w:val="clear" w:color="auto" w:fill="FFFFFF"/>
          </w:tcPr>
          <w:p w14:paraId="76CC794F"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FSD-11-I-G23</w:t>
            </w:r>
          </w:p>
          <w:p w14:paraId="1D56C64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FSD-11-E-2G7</w:t>
            </w:r>
          </w:p>
        </w:tc>
        <w:tc>
          <w:tcPr>
            <w:tcW w:w="803" w:type="dxa"/>
            <w:tcBorders>
              <w:top w:val="single" w:sz="4" w:space="0" w:color="auto"/>
              <w:left w:val="single" w:sz="4" w:space="0" w:color="auto"/>
            </w:tcBorders>
            <w:shd w:val="clear" w:color="auto" w:fill="FFFFFF"/>
            <w:vAlign w:val="center"/>
          </w:tcPr>
          <w:p w14:paraId="2501984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11,8</w:t>
            </w:r>
          </w:p>
        </w:tc>
        <w:tc>
          <w:tcPr>
            <w:tcW w:w="504" w:type="dxa"/>
            <w:tcBorders>
              <w:top w:val="single" w:sz="4" w:space="0" w:color="auto"/>
              <w:left w:val="single" w:sz="4" w:space="0" w:color="auto"/>
            </w:tcBorders>
            <w:shd w:val="clear" w:color="auto" w:fill="FFFFFF"/>
            <w:vAlign w:val="center"/>
          </w:tcPr>
          <w:p w14:paraId="493C2A7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11</w:t>
            </w:r>
          </w:p>
        </w:tc>
        <w:tc>
          <w:tcPr>
            <w:tcW w:w="778" w:type="dxa"/>
            <w:tcBorders>
              <w:top w:val="single" w:sz="4" w:space="0" w:color="auto"/>
              <w:left w:val="single" w:sz="4" w:space="0" w:color="auto"/>
            </w:tcBorders>
            <w:shd w:val="clear" w:color="auto" w:fill="FFFFFF"/>
            <w:vAlign w:val="center"/>
          </w:tcPr>
          <w:p w14:paraId="24352FE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83,0 %</w:t>
            </w:r>
          </w:p>
        </w:tc>
        <w:tc>
          <w:tcPr>
            <w:tcW w:w="773" w:type="dxa"/>
            <w:tcBorders>
              <w:top w:val="single" w:sz="4" w:space="0" w:color="auto"/>
              <w:left w:val="single" w:sz="4" w:space="0" w:color="auto"/>
            </w:tcBorders>
            <w:shd w:val="clear" w:color="auto" w:fill="FFFFFF"/>
            <w:vAlign w:val="center"/>
          </w:tcPr>
          <w:p w14:paraId="277B9E9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78,6 %</w:t>
            </w:r>
          </w:p>
        </w:tc>
        <w:tc>
          <w:tcPr>
            <w:tcW w:w="773" w:type="dxa"/>
            <w:tcBorders>
              <w:top w:val="single" w:sz="4" w:space="0" w:color="auto"/>
              <w:left w:val="single" w:sz="4" w:space="0" w:color="auto"/>
            </w:tcBorders>
            <w:shd w:val="clear" w:color="auto" w:fill="FFFFFF"/>
            <w:vAlign w:val="center"/>
          </w:tcPr>
          <w:p w14:paraId="4C80C3E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73,3 %</w:t>
            </w:r>
          </w:p>
        </w:tc>
        <w:tc>
          <w:tcPr>
            <w:tcW w:w="773" w:type="dxa"/>
            <w:tcBorders>
              <w:top w:val="single" w:sz="4" w:space="0" w:color="auto"/>
              <w:left w:val="single" w:sz="4" w:space="0" w:color="auto"/>
            </w:tcBorders>
            <w:shd w:val="clear" w:color="auto" w:fill="FFFFFF"/>
            <w:vAlign w:val="center"/>
          </w:tcPr>
          <w:p w14:paraId="02E7563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66,7 %</w:t>
            </w:r>
          </w:p>
        </w:tc>
        <w:tc>
          <w:tcPr>
            <w:tcW w:w="787" w:type="dxa"/>
            <w:tcBorders>
              <w:top w:val="single" w:sz="4" w:space="0" w:color="auto"/>
              <w:left w:val="single" w:sz="4" w:space="0" w:color="auto"/>
              <w:right w:val="single" w:sz="4" w:space="0" w:color="auto"/>
            </w:tcBorders>
            <w:shd w:val="clear" w:color="auto" w:fill="FFFFFF"/>
            <w:vAlign w:val="center"/>
          </w:tcPr>
          <w:p w14:paraId="7FE3871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59,6 %</w:t>
            </w:r>
          </w:p>
        </w:tc>
      </w:tr>
      <w:tr w:rsidR="00CA27E3" w:rsidRPr="00D83000" w14:paraId="343F4FE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28593BE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w:t>
            </w:r>
          </w:p>
        </w:tc>
        <w:tc>
          <w:tcPr>
            <w:tcW w:w="1177" w:type="dxa"/>
            <w:tcBorders>
              <w:top w:val="single" w:sz="4" w:space="0" w:color="auto"/>
              <w:left w:val="single" w:sz="4" w:space="0" w:color="auto"/>
            </w:tcBorders>
            <w:shd w:val="clear" w:color="auto" w:fill="FFFFFF"/>
            <w:vAlign w:val="bottom"/>
          </w:tcPr>
          <w:p w14:paraId="025B764B"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4</w:t>
            </w:r>
          </w:p>
        </w:tc>
        <w:tc>
          <w:tcPr>
            <w:tcW w:w="2288" w:type="dxa"/>
            <w:tcBorders>
              <w:top w:val="single" w:sz="4" w:space="0" w:color="auto"/>
              <w:left w:val="single" w:sz="4" w:space="0" w:color="auto"/>
            </w:tcBorders>
            <w:shd w:val="clear" w:color="auto" w:fill="FFFFFF"/>
            <w:vAlign w:val="bottom"/>
          </w:tcPr>
          <w:p w14:paraId="09D5D445"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FD-4-E-G5-16/150</w:t>
            </w:r>
          </w:p>
        </w:tc>
        <w:tc>
          <w:tcPr>
            <w:tcW w:w="803" w:type="dxa"/>
            <w:tcBorders>
              <w:top w:val="single" w:sz="4" w:space="0" w:color="auto"/>
              <w:left w:val="single" w:sz="4" w:space="0" w:color="auto"/>
            </w:tcBorders>
            <w:shd w:val="clear" w:color="auto" w:fill="FFFFFF"/>
            <w:vAlign w:val="center"/>
          </w:tcPr>
          <w:p w14:paraId="6B3D174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4,5</w:t>
            </w:r>
          </w:p>
        </w:tc>
        <w:tc>
          <w:tcPr>
            <w:tcW w:w="504" w:type="dxa"/>
            <w:tcBorders>
              <w:top w:val="single" w:sz="4" w:space="0" w:color="auto"/>
              <w:left w:val="single" w:sz="4" w:space="0" w:color="auto"/>
            </w:tcBorders>
            <w:shd w:val="clear" w:color="auto" w:fill="FFFFFF"/>
            <w:vAlign w:val="center"/>
          </w:tcPr>
          <w:p w14:paraId="21B4240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3,6</w:t>
            </w:r>
          </w:p>
        </w:tc>
        <w:tc>
          <w:tcPr>
            <w:tcW w:w="778" w:type="dxa"/>
            <w:tcBorders>
              <w:top w:val="single" w:sz="4" w:space="0" w:color="auto"/>
              <w:left w:val="single" w:sz="4" w:space="0" w:color="auto"/>
            </w:tcBorders>
            <w:shd w:val="clear" w:color="auto" w:fill="FFFFFF"/>
            <w:vAlign w:val="center"/>
          </w:tcPr>
          <w:p w14:paraId="16D718A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64,9 %</w:t>
            </w:r>
          </w:p>
        </w:tc>
        <w:tc>
          <w:tcPr>
            <w:tcW w:w="773" w:type="dxa"/>
            <w:tcBorders>
              <w:top w:val="single" w:sz="4" w:space="0" w:color="auto"/>
              <w:left w:val="single" w:sz="4" w:space="0" w:color="auto"/>
            </w:tcBorders>
            <w:shd w:val="clear" w:color="auto" w:fill="FFFFFF"/>
            <w:vAlign w:val="center"/>
          </w:tcPr>
          <w:p w14:paraId="54D99F0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58,1 %</w:t>
            </w:r>
          </w:p>
        </w:tc>
        <w:tc>
          <w:tcPr>
            <w:tcW w:w="773" w:type="dxa"/>
            <w:tcBorders>
              <w:top w:val="single" w:sz="4" w:space="0" w:color="auto"/>
              <w:left w:val="single" w:sz="4" w:space="0" w:color="auto"/>
            </w:tcBorders>
            <w:shd w:val="clear" w:color="auto" w:fill="FFFFFF"/>
            <w:vAlign w:val="center"/>
          </w:tcPr>
          <w:p w14:paraId="3BB699A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50,0 %</w:t>
            </w:r>
          </w:p>
        </w:tc>
        <w:tc>
          <w:tcPr>
            <w:tcW w:w="773" w:type="dxa"/>
            <w:tcBorders>
              <w:top w:val="single" w:sz="4" w:space="0" w:color="auto"/>
              <w:left w:val="single" w:sz="4" w:space="0" w:color="auto"/>
            </w:tcBorders>
            <w:shd w:val="clear" w:color="auto" w:fill="FFFFFF"/>
            <w:vAlign w:val="center"/>
          </w:tcPr>
          <w:p w14:paraId="6731416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45,0 %</w:t>
            </w:r>
          </w:p>
        </w:tc>
        <w:tc>
          <w:tcPr>
            <w:tcW w:w="787" w:type="dxa"/>
            <w:tcBorders>
              <w:top w:val="single" w:sz="4" w:space="0" w:color="auto"/>
              <w:left w:val="single" w:sz="4" w:space="0" w:color="auto"/>
              <w:right w:val="single" w:sz="4" w:space="0" w:color="auto"/>
            </w:tcBorders>
            <w:shd w:val="clear" w:color="auto" w:fill="FFFFFF"/>
            <w:vAlign w:val="center"/>
          </w:tcPr>
          <w:p w14:paraId="67A807C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37,2 %</w:t>
            </w:r>
          </w:p>
        </w:tc>
      </w:tr>
      <w:tr w:rsidR="00CA27E3" w:rsidRPr="00D83000" w14:paraId="4539549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7BEA5A3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w:t>
            </w:r>
          </w:p>
        </w:tc>
        <w:tc>
          <w:tcPr>
            <w:tcW w:w="1177" w:type="dxa"/>
            <w:tcBorders>
              <w:top w:val="single" w:sz="4" w:space="0" w:color="auto"/>
              <w:left w:val="single" w:sz="4" w:space="0" w:color="auto"/>
            </w:tcBorders>
            <w:shd w:val="clear" w:color="auto" w:fill="FFFFFF"/>
            <w:vAlign w:val="bottom"/>
          </w:tcPr>
          <w:p w14:paraId="6893DA60"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w:t>
            </w:r>
          </w:p>
        </w:tc>
        <w:tc>
          <w:tcPr>
            <w:tcW w:w="2288" w:type="dxa"/>
            <w:tcBorders>
              <w:top w:val="single" w:sz="4" w:space="0" w:color="auto"/>
              <w:left w:val="single" w:sz="4" w:space="0" w:color="auto"/>
            </w:tcBorders>
            <w:shd w:val="clear" w:color="auto" w:fill="FFFFFF"/>
            <w:vAlign w:val="bottom"/>
          </w:tcPr>
          <w:p w14:paraId="0B2D9262"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FD-6-E-G5-16/225</w:t>
            </w:r>
          </w:p>
        </w:tc>
        <w:tc>
          <w:tcPr>
            <w:tcW w:w="803" w:type="dxa"/>
            <w:tcBorders>
              <w:top w:val="single" w:sz="4" w:space="0" w:color="auto"/>
              <w:left w:val="single" w:sz="4" w:space="0" w:color="auto"/>
            </w:tcBorders>
            <w:shd w:val="clear" w:color="auto" w:fill="FFFFFF"/>
            <w:vAlign w:val="center"/>
          </w:tcPr>
          <w:p w14:paraId="6E55769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w:t>
            </w:r>
          </w:p>
        </w:tc>
        <w:tc>
          <w:tcPr>
            <w:tcW w:w="504" w:type="dxa"/>
            <w:tcBorders>
              <w:top w:val="single" w:sz="4" w:space="0" w:color="auto"/>
              <w:left w:val="single" w:sz="4" w:space="0" w:color="auto"/>
            </w:tcBorders>
            <w:shd w:val="clear" w:color="auto" w:fill="FFFFFF"/>
            <w:vAlign w:val="center"/>
          </w:tcPr>
          <w:p w14:paraId="5FB3798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5,4</w:t>
            </w:r>
          </w:p>
        </w:tc>
        <w:tc>
          <w:tcPr>
            <w:tcW w:w="778" w:type="dxa"/>
            <w:tcBorders>
              <w:top w:val="single" w:sz="4" w:space="0" w:color="auto"/>
              <w:left w:val="single" w:sz="4" w:space="0" w:color="auto"/>
            </w:tcBorders>
            <w:shd w:val="clear" w:color="auto" w:fill="FFFFFF"/>
            <w:vAlign w:val="center"/>
          </w:tcPr>
          <w:p w14:paraId="03497DC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71,3 %</w:t>
            </w:r>
          </w:p>
        </w:tc>
        <w:tc>
          <w:tcPr>
            <w:tcW w:w="773" w:type="dxa"/>
            <w:tcBorders>
              <w:top w:val="single" w:sz="4" w:space="0" w:color="auto"/>
              <w:left w:val="single" w:sz="4" w:space="0" w:color="auto"/>
            </w:tcBorders>
            <w:shd w:val="clear" w:color="auto" w:fill="FFFFFF"/>
            <w:vAlign w:val="center"/>
          </w:tcPr>
          <w:p w14:paraId="356AA69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65,1 %</w:t>
            </w:r>
          </w:p>
        </w:tc>
        <w:tc>
          <w:tcPr>
            <w:tcW w:w="773" w:type="dxa"/>
            <w:tcBorders>
              <w:top w:val="single" w:sz="4" w:space="0" w:color="auto"/>
              <w:left w:val="single" w:sz="4" w:space="0" w:color="auto"/>
            </w:tcBorders>
            <w:shd w:val="clear" w:color="auto" w:fill="FFFFFF"/>
            <w:vAlign w:val="center"/>
          </w:tcPr>
          <w:p w14:paraId="5786A9C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58,1 %</w:t>
            </w:r>
          </w:p>
        </w:tc>
        <w:tc>
          <w:tcPr>
            <w:tcW w:w="773" w:type="dxa"/>
            <w:tcBorders>
              <w:top w:val="single" w:sz="4" w:space="0" w:color="auto"/>
              <w:left w:val="single" w:sz="4" w:space="0" w:color="auto"/>
            </w:tcBorders>
            <w:shd w:val="clear" w:color="auto" w:fill="FFFFFF"/>
            <w:vAlign w:val="center"/>
          </w:tcPr>
          <w:p w14:paraId="642C38D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51,8 %</w:t>
            </w:r>
          </w:p>
        </w:tc>
        <w:tc>
          <w:tcPr>
            <w:tcW w:w="787" w:type="dxa"/>
            <w:tcBorders>
              <w:top w:val="single" w:sz="4" w:space="0" w:color="auto"/>
              <w:left w:val="single" w:sz="4" w:space="0" w:color="auto"/>
              <w:right w:val="single" w:sz="4" w:space="0" w:color="auto"/>
            </w:tcBorders>
            <w:shd w:val="clear" w:color="auto" w:fill="FFFFFF"/>
            <w:vAlign w:val="center"/>
          </w:tcPr>
          <w:p w14:paraId="0F8D927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43,8 %</w:t>
            </w:r>
          </w:p>
        </w:tc>
      </w:tr>
      <w:tr w:rsidR="00CA27E3" w:rsidRPr="00D83000" w14:paraId="1A23379B"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43702CB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w:t>
            </w:r>
          </w:p>
        </w:tc>
        <w:tc>
          <w:tcPr>
            <w:tcW w:w="1177" w:type="dxa"/>
            <w:tcBorders>
              <w:top w:val="single" w:sz="4" w:space="0" w:color="auto"/>
              <w:left w:val="single" w:sz="4" w:space="0" w:color="auto"/>
            </w:tcBorders>
            <w:shd w:val="clear" w:color="auto" w:fill="FFFFFF"/>
            <w:vAlign w:val="bottom"/>
          </w:tcPr>
          <w:p w14:paraId="4170DB06"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w:t>
            </w:r>
          </w:p>
        </w:tc>
        <w:tc>
          <w:tcPr>
            <w:tcW w:w="2288" w:type="dxa"/>
            <w:tcBorders>
              <w:top w:val="single" w:sz="4" w:space="0" w:color="auto"/>
              <w:left w:val="single" w:sz="4" w:space="0" w:color="auto"/>
            </w:tcBorders>
            <w:shd w:val="clear" w:color="auto" w:fill="FFFFFF"/>
            <w:vAlign w:val="bottom"/>
          </w:tcPr>
          <w:p w14:paraId="218F4DE6"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FD-8-E-G5-16/300</w:t>
            </w:r>
          </w:p>
        </w:tc>
        <w:tc>
          <w:tcPr>
            <w:tcW w:w="803" w:type="dxa"/>
            <w:tcBorders>
              <w:top w:val="single" w:sz="4" w:space="0" w:color="auto"/>
              <w:left w:val="single" w:sz="4" w:space="0" w:color="auto"/>
            </w:tcBorders>
            <w:shd w:val="clear" w:color="auto" w:fill="FFFFFF"/>
            <w:vAlign w:val="center"/>
          </w:tcPr>
          <w:p w14:paraId="11AC266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7,1</w:t>
            </w:r>
          </w:p>
        </w:tc>
        <w:tc>
          <w:tcPr>
            <w:tcW w:w="504" w:type="dxa"/>
            <w:tcBorders>
              <w:top w:val="single" w:sz="4" w:space="0" w:color="auto"/>
              <w:left w:val="single" w:sz="4" w:space="0" w:color="auto"/>
            </w:tcBorders>
            <w:shd w:val="clear" w:color="auto" w:fill="FFFFFF"/>
            <w:vAlign w:val="center"/>
          </w:tcPr>
          <w:p w14:paraId="144B147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7,5</w:t>
            </w:r>
          </w:p>
        </w:tc>
        <w:tc>
          <w:tcPr>
            <w:tcW w:w="778" w:type="dxa"/>
            <w:tcBorders>
              <w:top w:val="single" w:sz="4" w:space="0" w:color="auto"/>
              <w:left w:val="single" w:sz="4" w:space="0" w:color="auto"/>
            </w:tcBorders>
            <w:shd w:val="clear" w:color="auto" w:fill="FFFFFF"/>
            <w:vAlign w:val="center"/>
          </w:tcPr>
          <w:p w14:paraId="1F5BFBA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69,9 %</w:t>
            </w:r>
          </w:p>
        </w:tc>
        <w:tc>
          <w:tcPr>
            <w:tcW w:w="773" w:type="dxa"/>
            <w:tcBorders>
              <w:top w:val="single" w:sz="4" w:space="0" w:color="auto"/>
              <w:left w:val="single" w:sz="4" w:space="0" w:color="auto"/>
            </w:tcBorders>
            <w:shd w:val="clear" w:color="auto" w:fill="FFFFFF"/>
            <w:vAlign w:val="center"/>
          </w:tcPr>
          <w:p w14:paraId="26D2363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63,6 %</w:t>
            </w:r>
          </w:p>
        </w:tc>
        <w:tc>
          <w:tcPr>
            <w:tcW w:w="773" w:type="dxa"/>
            <w:tcBorders>
              <w:top w:val="single" w:sz="4" w:space="0" w:color="auto"/>
              <w:left w:val="single" w:sz="4" w:space="0" w:color="auto"/>
            </w:tcBorders>
            <w:shd w:val="clear" w:color="auto" w:fill="FFFFFF"/>
            <w:vAlign w:val="center"/>
          </w:tcPr>
          <w:p w14:paraId="6977DD0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58,6 %</w:t>
            </w:r>
          </w:p>
        </w:tc>
        <w:tc>
          <w:tcPr>
            <w:tcW w:w="773" w:type="dxa"/>
            <w:tcBorders>
              <w:top w:val="single" w:sz="4" w:space="0" w:color="auto"/>
              <w:left w:val="single" w:sz="4" w:space="0" w:color="auto"/>
            </w:tcBorders>
            <w:shd w:val="clear" w:color="auto" w:fill="FFFFFF"/>
            <w:vAlign w:val="center"/>
          </w:tcPr>
          <w:p w14:paraId="36678D6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48,9 %</w:t>
            </w:r>
          </w:p>
        </w:tc>
        <w:tc>
          <w:tcPr>
            <w:tcW w:w="787" w:type="dxa"/>
            <w:tcBorders>
              <w:top w:val="single" w:sz="4" w:space="0" w:color="auto"/>
              <w:left w:val="single" w:sz="4" w:space="0" w:color="auto"/>
              <w:right w:val="single" w:sz="4" w:space="0" w:color="auto"/>
            </w:tcBorders>
            <w:shd w:val="clear" w:color="auto" w:fill="FFFFFF"/>
            <w:vAlign w:val="center"/>
          </w:tcPr>
          <w:p w14:paraId="3DA911F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42,7 %</w:t>
            </w:r>
          </w:p>
        </w:tc>
      </w:tr>
      <w:tr w:rsidR="00CA27E3" w:rsidRPr="00D83000" w14:paraId="08581B72"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5418E6F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w:t>
            </w:r>
          </w:p>
        </w:tc>
        <w:tc>
          <w:tcPr>
            <w:tcW w:w="1177" w:type="dxa"/>
            <w:tcBorders>
              <w:top w:val="single" w:sz="4" w:space="0" w:color="auto"/>
              <w:left w:val="single" w:sz="4" w:space="0" w:color="auto"/>
            </w:tcBorders>
            <w:shd w:val="clear" w:color="auto" w:fill="FFFFFF"/>
            <w:vAlign w:val="bottom"/>
          </w:tcPr>
          <w:p w14:paraId="5A623BCB"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13</w:t>
            </w:r>
          </w:p>
        </w:tc>
        <w:tc>
          <w:tcPr>
            <w:tcW w:w="2288" w:type="dxa"/>
            <w:tcBorders>
              <w:top w:val="single" w:sz="4" w:space="0" w:color="auto"/>
              <w:left w:val="single" w:sz="4" w:space="0" w:color="auto"/>
            </w:tcBorders>
            <w:shd w:val="clear" w:color="auto" w:fill="FFFFFF"/>
            <w:vAlign w:val="bottom"/>
          </w:tcPr>
          <w:p w14:paraId="059CCA51"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FD-13-E-G5-16/525</w:t>
            </w:r>
          </w:p>
        </w:tc>
        <w:tc>
          <w:tcPr>
            <w:tcW w:w="803" w:type="dxa"/>
            <w:tcBorders>
              <w:top w:val="single" w:sz="4" w:space="0" w:color="auto"/>
              <w:left w:val="single" w:sz="4" w:space="0" w:color="auto"/>
            </w:tcBorders>
            <w:shd w:val="clear" w:color="auto" w:fill="FFFFFF"/>
            <w:vAlign w:val="center"/>
          </w:tcPr>
          <w:p w14:paraId="6B0A4AA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13</w:t>
            </w:r>
          </w:p>
        </w:tc>
        <w:tc>
          <w:tcPr>
            <w:tcW w:w="504" w:type="dxa"/>
            <w:tcBorders>
              <w:top w:val="single" w:sz="4" w:space="0" w:color="auto"/>
              <w:left w:val="single" w:sz="4" w:space="0" w:color="auto"/>
            </w:tcBorders>
            <w:shd w:val="clear" w:color="auto" w:fill="FFFFFF"/>
            <w:vAlign w:val="center"/>
          </w:tcPr>
          <w:p w14:paraId="04DF08F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12,8</w:t>
            </w:r>
          </w:p>
        </w:tc>
        <w:tc>
          <w:tcPr>
            <w:tcW w:w="778" w:type="dxa"/>
            <w:tcBorders>
              <w:top w:val="single" w:sz="4" w:space="0" w:color="auto"/>
              <w:left w:val="single" w:sz="4" w:space="0" w:color="auto"/>
            </w:tcBorders>
            <w:shd w:val="clear" w:color="auto" w:fill="FFFFFF"/>
            <w:vAlign w:val="center"/>
          </w:tcPr>
          <w:p w14:paraId="7B66CD6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84,2 %</w:t>
            </w:r>
          </w:p>
        </w:tc>
        <w:tc>
          <w:tcPr>
            <w:tcW w:w="773" w:type="dxa"/>
            <w:tcBorders>
              <w:top w:val="single" w:sz="4" w:space="0" w:color="auto"/>
              <w:left w:val="single" w:sz="4" w:space="0" w:color="auto"/>
            </w:tcBorders>
            <w:shd w:val="clear" w:color="auto" w:fill="FFFFFF"/>
            <w:vAlign w:val="center"/>
          </w:tcPr>
          <w:p w14:paraId="31E2F00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80,0 %</w:t>
            </w:r>
          </w:p>
        </w:tc>
        <w:tc>
          <w:tcPr>
            <w:tcW w:w="773" w:type="dxa"/>
            <w:tcBorders>
              <w:top w:val="single" w:sz="4" w:space="0" w:color="auto"/>
              <w:left w:val="single" w:sz="4" w:space="0" w:color="auto"/>
            </w:tcBorders>
            <w:shd w:val="clear" w:color="auto" w:fill="FFFFFF"/>
            <w:vAlign w:val="center"/>
          </w:tcPr>
          <w:p w14:paraId="6A1F80C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75,3 %</w:t>
            </w:r>
          </w:p>
        </w:tc>
        <w:tc>
          <w:tcPr>
            <w:tcW w:w="773" w:type="dxa"/>
            <w:tcBorders>
              <w:top w:val="single" w:sz="4" w:space="0" w:color="auto"/>
              <w:left w:val="single" w:sz="4" w:space="0" w:color="auto"/>
            </w:tcBorders>
            <w:shd w:val="clear" w:color="auto" w:fill="FFFFFF"/>
            <w:vAlign w:val="center"/>
          </w:tcPr>
          <w:p w14:paraId="559C47A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72,6 %</w:t>
            </w:r>
          </w:p>
        </w:tc>
        <w:tc>
          <w:tcPr>
            <w:tcW w:w="787" w:type="dxa"/>
            <w:tcBorders>
              <w:top w:val="single" w:sz="4" w:space="0" w:color="auto"/>
              <w:left w:val="single" w:sz="4" w:space="0" w:color="auto"/>
              <w:right w:val="single" w:sz="4" w:space="0" w:color="auto"/>
            </w:tcBorders>
            <w:shd w:val="clear" w:color="auto" w:fill="FFFFFF"/>
            <w:vAlign w:val="center"/>
          </w:tcPr>
          <w:p w14:paraId="6774D68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65,0 %</w:t>
            </w:r>
          </w:p>
        </w:tc>
      </w:tr>
      <w:tr w:rsidR="00CA27E3" w:rsidRPr="00D83000" w14:paraId="18266471"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3721A2A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T9-C</w:t>
            </w:r>
          </w:p>
        </w:tc>
        <w:tc>
          <w:tcPr>
            <w:tcW w:w="1177" w:type="dxa"/>
            <w:tcBorders>
              <w:top w:val="single" w:sz="4" w:space="0" w:color="auto"/>
              <w:left w:val="single" w:sz="4" w:space="0" w:color="auto"/>
            </w:tcBorders>
            <w:shd w:val="clear" w:color="auto" w:fill="FFFFFF"/>
            <w:vAlign w:val="bottom"/>
          </w:tcPr>
          <w:p w14:paraId="206AC4E1"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22</w:t>
            </w:r>
          </w:p>
        </w:tc>
        <w:tc>
          <w:tcPr>
            <w:tcW w:w="2288" w:type="dxa"/>
            <w:tcBorders>
              <w:top w:val="single" w:sz="4" w:space="0" w:color="auto"/>
              <w:left w:val="single" w:sz="4" w:space="0" w:color="auto"/>
            </w:tcBorders>
            <w:shd w:val="clear" w:color="auto" w:fill="FFFFFF"/>
            <w:vAlign w:val="bottom"/>
          </w:tcPr>
          <w:p w14:paraId="3B0FB325"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FSC-22-E-G10q-29/200</w:t>
            </w:r>
          </w:p>
        </w:tc>
        <w:tc>
          <w:tcPr>
            <w:tcW w:w="803" w:type="dxa"/>
            <w:tcBorders>
              <w:top w:val="single" w:sz="4" w:space="0" w:color="auto"/>
              <w:left w:val="single" w:sz="4" w:space="0" w:color="auto"/>
            </w:tcBorders>
            <w:shd w:val="clear" w:color="auto" w:fill="FFFFFF"/>
            <w:vAlign w:val="center"/>
          </w:tcPr>
          <w:p w14:paraId="6458704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22</w:t>
            </w:r>
          </w:p>
        </w:tc>
        <w:tc>
          <w:tcPr>
            <w:tcW w:w="504" w:type="dxa"/>
            <w:tcBorders>
              <w:top w:val="single" w:sz="4" w:space="0" w:color="auto"/>
              <w:left w:val="single" w:sz="4" w:space="0" w:color="auto"/>
            </w:tcBorders>
            <w:shd w:val="clear" w:color="auto" w:fill="FFFFFF"/>
            <w:vAlign w:val="center"/>
          </w:tcPr>
          <w:p w14:paraId="2FD730F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19</w:t>
            </w:r>
          </w:p>
        </w:tc>
        <w:tc>
          <w:tcPr>
            <w:tcW w:w="778" w:type="dxa"/>
            <w:tcBorders>
              <w:top w:val="single" w:sz="4" w:space="0" w:color="auto"/>
              <w:left w:val="single" w:sz="4" w:space="0" w:color="auto"/>
            </w:tcBorders>
            <w:shd w:val="clear" w:color="auto" w:fill="FFFFFF"/>
            <w:vAlign w:val="center"/>
          </w:tcPr>
          <w:p w14:paraId="6D7EA59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89,4 %</w:t>
            </w:r>
          </w:p>
        </w:tc>
        <w:tc>
          <w:tcPr>
            <w:tcW w:w="773" w:type="dxa"/>
            <w:tcBorders>
              <w:top w:val="single" w:sz="4" w:space="0" w:color="auto"/>
              <w:left w:val="single" w:sz="4" w:space="0" w:color="auto"/>
            </w:tcBorders>
            <w:shd w:val="clear" w:color="auto" w:fill="FFFFFF"/>
            <w:vAlign w:val="center"/>
          </w:tcPr>
          <w:p w14:paraId="2EA433C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86,4 %</w:t>
            </w:r>
          </w:p>
        </w:tc>
        <w:tc>
          <w:tcPr>
            <w:tcW w:w="773" w:type="dxa"/>
            <w:tcBorders>
              <w:top w:val="single" w:sz="4" w:space="0" w:color="auto"/>
              <w:left w:val="single" w:sz="4" w:space="0" w:color="auto"/>
            </w:tcBorders>
            <w:shd w:val="clear" w:color="auto" w:fill="FFFFFF"/>
            <w:vAlign w:val="center"/>
          </w:tcPr>
          <w:p w14:paraId="6C62441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79,2 %</w:t>
            </w:r>
          </w:p>
        </w:tc>
        <w:tc>
          <w:tcPr>
            <w:tcW w:w="773" w:type="dxa"/>
            <w:tcBorders>
              <w:top w:val="single" w:sz="4" w:space="0" w:color="auto"/>
              <w:left w:val="single" w:sz="4" w:space="0" w:color="auto"/>
            </w:tcBorders>
            <w:shd w:val="clear" w:color="auto" w:fill="FFFFFF"/>
            <w:vAlign w:val="center"/>
          </w:tcPr>
          <w:p w14:paraId="10DBCD9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74,6 %</w:t>
            </w:r>
          </w:p>
        </w:tc>
        <w:tc>
          <w:tcPr>
            <w:tcW w:w="787" w:type="dxa"/>
            <w:tcBorders>
              <w:top w:val="single" w:sz="4" w:space="0" w:color="auto"/>
              <w:left w:val="single" w:sz="4" w:space="0" w:color="auto"/>
              <w:right w:val="single" w:sz="4" w:space="0" w:color="auto"/>
            </w:tcBorders>
            <w:shd w:val="clear" w:color="auto" w:fill="FFFFFF"/>
            <w:vAlign w:val="center"/>
          </w:tcPr>
          <w:p w14:paraId="5B6A4D5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69,7 %</w:t>
            </w:r>
          </w:p>
        </w:tc>
      </w:tr>
      <w:tr w:rsidR="00CA27E3" w:rsidRPr="00D83000" w14:paraId="08AE4CAC"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13E8085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T9-C</w:t>
            </w:r>
          </w:p>
        </w:tc>
        <w:tc>
          <w:tcPr>
            <w:tcW w:w="1177" w:type="dxa"/>
            <w:tcBorders>
              <w:top w:val="single" w:sz="4" w:space="0" w:color="auto"/>
              <w:left w:val="single" w:sz="4" w:space="0" w:color="auto"/>
            </w:tcBorders>
            <w:shd w:val="clear" w:color="auto" w:fill="FFFFFF"/>
            <w:vAlign w:val="bottom"/>
          </w:tcPr>
          <w:p w14:paraId="47958BEF"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32</w:t>
            </w:r>
          </w:p>
        </w:tc>
        <w:tc>
          <w:tcPr>
            <w:tcW w:w="2288" w:type="dxa"/>
            <w:tcBorders>
              <w:top w:val="single" w:sz="4" w:space="0" w:color="auto"/>
              <w:left w:val="single" w:sz="4" w:space="0" w:color="auto"/>
            </w:tcBorders>
            <w:shd w:val="clear" w:color="auto" w:fill="FFFFFF"/>
            <w:vAlign w:val="bottom"/>
          </w:tcPr>
          <w:p w14:paraId="4F2639D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FSC-32-E-G10q-29/300</w:t>
            </w:r>
          </w:p>
        </w:tc>
        <w:tc>
          <w:tcPr>
            <w:tcW w:w="803" w:type="dxa"/>
            <w:tcBorders>
              <w:top w:val="single" w:sz="4" w:space="0" w:color="auto"/>
              <w:left w:val="single" w:sz="4" w:space="0" w:color="auto"/>
            </w:tcBorders>
            <w:shd w:val="clear" w:color="auto" w:fill="FFFFFF"/>
            <w:vAlign w:val="center"/>
          </w:tcPr>
          <w:p w14:paraId="0886148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504" w:type="dxa"/>
            <w:tcBorders>
              <w:top w:val="single" w:sz="4" w:space="0" w:color="auto"/>
              <w:left w:val="single" w:sz="4" w:space="0" w:color="auto"/>
            </w:tcBorders>
            <w:shd w:val="clear" w:color="auto" w:fill="FFFFFF"/>
            <w:vAlign w:val="center"/>
          </w:tcPr>
          <w:p w14:paraId="1ACD1DB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30</w:t>
            </w:r>
          </w:p>
        </w:tc>
        <w:tc>
          <w:tcPr>
            <w:tcW w:w="778" w:type="dxa"/>
            <w:tcBorders>
              <w:top w:val="single" w:sz="4" w:space="0" w:color="auto"/>
              <w:left w:val="single" w:sz="4" w:space="0" w:color="auto"/>
            </w:tcBorders>
            <w:shd w:val="clear" w:color="auto" w:fill="FFFFFF"/>
            <w:vAlign w:val="center"/>
          </w:tcPr>
          <w:p w14:paraId="49FA87B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2B35703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85,7 %</w:t>
            </w:r>
          </w:p>
        </w:tc>
        <w:tc>
          <w:tcPr>
            <w:tcW w:w="773" w:type="dxa"/>
            <w:tcBorders>
              <w:top w:val="single" w:sz="4" w:space="0" w:color="auto"/>
              <w:left w:val="single" w:sz="4" w:space="0" w:color="auto"/>
            </w:tcBorders>
            <w:shd w:val="clear" w:color="auto" w:fill="FFFFFF"/>
            <w:vAlign w:val="center"/>
          </w:tcPr>
          <w:p w14:paraId="3C1DD32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81,1 %</w:t>
            </w:r>
          </w:p>
        </w:tc>
        <w:tc>
          <w:tcPr>
            <w:tcW w:w="773" w:type="dxa"/>
            <w:tcBorders>
              <w:top w:val="single" w:sz="4" w:space="0" w:color="auto"/>
              <w:left w:val="single" w:sz="4" w:space="0" w:color="auto"/>
            </w:tcBorders>
            <w:shd w:val="clear" w:color="auto" w:fill="FFFFFF"/>
            <w:vAlign w:val="center"/>
          </w:tcPr>
          <w:p w14:paraId="5F3B5B3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80,0 %</w:t>
            </w:r>
          </w:p>
        </w:tc>
        <w:tc>
          <w:tcPr>
            <w:tcW w:w="787" w:type="dxa"/>
            <w:tcBorders>
              <w:top w:val="single" w:sz="4" w:space="0" w:color="auto"/>
              <w:left w:val="single" w:sz="4" w:space="0" w:color="auto"/>
              <w:right w:val="single" w:sz="4" w:space="0" w:color="auto"/>
            </w:tcBorders>
            <w:shd w:val="clear" w:color="auto" w:fill="FFFFFF"/>
            <w:vAlign w:val="center"/>
          </w:tcPr>
          <w:p w14:paraId="0326F5B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76,0 %</w:t>
            </w:r>
          </w:p>
        </w:tc>
      </w:tr>
      <w:tr w:rsidR="00CA27E3" w:rsidRPr="00D83000" w14:paraId="1FDA8D7E"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21C0236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T9-C</w:t>
            </w:r>
          </w:p>
        </w:tc>
        <w:tc>
          <w:tcPr>
            <w:tcW w:w="1177" w:type="dxa"/>
            <w:tcBorders>
              <w:top w:val="single" w:sz="4" w:space="0" w:color="auto"/>
              <w:left w:val="single" w:sz="4" w:space="0" w:color="auto"/>
            </w:tcBorders>
            <w:shd w:val="clear" w:color="auto" w:fill="FFFFFF"/>
            <w:vAlign w:val="bottom"/>
          </w:tcPr>
          <w:p w14:paraId="6319EFE2" w14:textId="77777777" w:rsidR="00CA27E3" w:rsidRPr="00D83000" w:rsidRDefault="00CA27E3" w:rsidP="00D83000">
            <w:pPr>
              <w:pStyle w:val="a4"/>
              <w:shd w:val="clear" w:color="auto" w:fill="auto"/>
              <w:spacing w:after="120" w:line="240" w:lineRule="auto"/>
              <w:ind w:firstLine="320"/>
              <w:jc w:val="both"/>
              <w:rPr>
                <w:rFonts w:ascii="Sylfaen" w:hAnsi="Sylfaen" w:cs="Sylfaen"/>
                <w:sz w:val="16"/>
                <w:szCs w:val="16"/>
              </w:rPr>
            </w:pPr>
            <w:r w:rsidRPr="00D83000">
              <w:rPr>
                <w:rFonts w:ascii="Sylfaen" w:hAnsi="Sylfaen"/>
                <w:sz w:val="16"/>
                <w:szCs w:val="16"/>
              </w:rPr>
              <w:t>40</w:t>
            </w:r>
          </w:p>
        </w:tc>
        <w:tc>
          <w:tcPr>
            <w:tcW w:w="2288" w:type="dxa"/>
            <w:tcBorders>
              <w:top w:val="single" w:sz="4" w:space="0" w:color="auto"/>
              <w:left w:val="single" w:sz="4" w:space="0" w:color="auto"/>
            </w:tcBorders>
            <w:shd w:val="clear" w:color="auto" w:fill="FFFFFF"/>
            <w:vAlign w:val="bottom"/>
          </w:tcPr>
          <w:p w14:paraId="75148FC5"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FSC-40-E-G10q-29/400</w:t>
            </w:r>
          </w:p>
        </w:tc>
        <w:tc>
          <w:tcPr>
            <w:tcW w:w="803" w:type="dxa"/>
            <w:tcBorders>
              <w:top w:val="single" w:sz="4" w:space="0" w:color="auto"/>
              <w:left w:val="single" w:sz="4" w:space="0" w:color="auto"/>
            </w:tcBorders>
            <w:shd w:val="clear" w:color="auto" w:fill="FFFFFF"/>
            <w:vAlign w:val="center"/>
          </w:tcPr>
          <w:p w14:paraId="30DC78D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40</w:t>
            </w:r>
          </w:p>
        </w:tc>
        <w:tc>
          <w:tcPr>
            <w:tcW w:w="504" w:type="dxa"/>
            <w:tcBorders>
              <w:top w:val="single" w:sz="4" w:space="0" w:color="auto"/>
              <w:left w:val="single" w:sz="4" w:space="0" w:color="auto"/>
            </w:tcBorders>
            <w:shd w:val="clear" w:color="auto" w:fill="FFFFFF"/>
            <w:vAlign w:val="center"/>
          </w:tcPr>
          <w:p w14:paraId="1514CF1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778" w:type="dxa"/>
            <w:tcBorders>
              <w:top w:val="single" w:sz="4" w:space="0" w:color="auto"/>
              <w:left w:val="single" w:sz="4" w:space="0" w:color="auto"/>
            </w:tcBorders>
            <w:shd w:val="clear" w:color="auto" w:fill="FFFFFF"/>
            <w:vAlign w:val="center"/>
          </w:tcPr>
          <w:p w14:paraId="5A5A3A7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89,5 %</w:t>
            </w:r>
          </w:p>
        </w:tc>
        <w:tc>
          <w:tcPr>
            <w:tcW w:w="773" w:type="dxa"/>
            <w:tcBorders>
              <w:top w:val="single" w:sz="4" w:space="0" w:color="auto"/>
              <w:left w:val="single" w:sz="4" w:space="0" w:color="auto"/>
            </w:tcBorders>
            <w:shd w:val="clear" w:color="auto" w:fill="FFFFFF"/>
            <w:vAlign w:val="center"/>
          </w:tcPr>
          <w:p w14:paraId="5280CFA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86,5 %</w:t>
            </w:r>
          </w:p>
        </w:tc>
        <w:tc>
          <w:tcPr>
            <w:tcW w:w="773" w:type="dxa"/>
            <w:tcBorders>
              <w:top w:val="single" w:sz="4" w:space="0" w:color="auto"/>
              <w:left w:val="single" w:sz="4" w:space="0" w:color="auto"/>
            </w:tcBorders>
            <w:shd w:val="clear" w:color="auto" w:fill="FFFFFF"/>
            <w:vAlign w:val="center"/>
          </w:tcPr>
          <w:p w14:paraId="32AB01E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82,1 %</w:t>
            </w:r>
          </w:p>
        </w:tc>
        <w:tc>
          <w:tcPr>
            <w:tcW w:w="773" w:type="dxa"/>
            <w:tcBorders>
              <w:top w:val="single" w:sz="4" w:space="0" w:color="auto"/>
              <w:left w:val="single" w:sz="4" w:space="0" w:color="auto"/>
            </w:tcBorders>
            <w:shd w:val="clear" w:color="auto" w:fill="FFFFFF"/>
            <w:vAlign w:val="center"/>
          </w:tcPr>
          <w:p w14:paraId="6574B24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82,6 %</w:t>
            </w:r>
          </w:p>
        </w:tc>
        <w:tc>
          <w:tcPr>
            <w:tcW w:w="787" w:type="dxa"/>
            <w:tcBorders>
              <w:top w:val="single" w:sz="4" w:space="0" w:color="auto"/>
              <w:left w:val="single" w:sz="4" w:space="0" w:color="auto"/>
              <w:right w:val="single" w:sz="4" w:space="0" w:color="auto"/>
            </w:tcBorders>
            <w:shd w:val="clear" w:color="auto" w:fill="FFFFFF"/>
            <w:vAlign w:val="center"/>
          </w:tcPr>
          <w:p w14:paraId="48E8A3A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79,2 %</w:t>
            </w:r>
          </w:p>
        </w:tc>
      </w:tr>
      <w:tr w:rsidR="00CA27E3" w:rsidRPr="00D83000" w14:paraId="242E84E1"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vAlign w:val="center"/>
          </w:tcPr>
          <w:p w14:paraId="1E72D61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T2</w:t>
            </w:r>
          </w:p>
        </w:tc>
        <w:tc>
          <w:tcPr>
            <w:tcW w:w="1177" w:type="dxa"/>
            <w:tcBorders>
              <w:top w:val="single" w:sz="4" w:space="0" w:color="auto"/>
              <w:left w:val="single" w:sz="4" w:space="0" w:color="auto"/>
              <w:bottom w:val="single" w:sz="4" w:space="0" w:color="auto"/>
            </w:tcBorders>
            <w:shd w:val="clear" w:color="auto" w:fill="FFFFFF"/>
            <w:vAlign w:val="bottom"/>
          </w:tcPr>
          <w:p w14:paraId="368D1158"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w:t>
            </w:r>
          </w:p>
        </w:tc>
        <w:tc>
          <w:tcPr>
            <w:tcW w:w="2288" w:type="dxa"/>
            <w:tcBorders>
              <w:top w:val="single" w:sz="4" w:space="0" w:color="auto"/>
              <w:left w:val="single" w:sz="4" w:space="0" w:color="auto"/>
              <w:bottom w:val="single" w:sz="4" w:space="0" w:color="auto"/>
            </w:tcBorders>
            <w:shd w:val="clear" w:color="auto" w:fill="FFFFFF"/>
            <w:vAlign w:val="center"/>
          </w:tcPr>
          <w:p w14:paraId="5CDF2BA4"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FDH-6-L/P-W4,3x8,5d-7/220</w:t>
            </w:r>
          </w:p>
        </w:tc>
        <w:tc>
          <w:tcPr>
            <w:tcW w:w="803" w:type="dxa"/>
            <w:tcBorders>
              <w:top w:val="single" w:sz="4" w:space="0" w:color="auto"/>
              <w:left w:val="single" w:sz="4" w:space="0" w:color="auto"/>
              <w:bottom w:val="single" w:sz="4" w:space="0" w:color="auto"/>
            </w:tcBorders>
            <w:shd w:val="clear" w:color="auto" w:fill="FFFFFF"/>
            <w:vAlign w:val="center"/>
          </w:tcPr>
          <w:p w14:paraId="789A282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bottom w:val="single" w:sz="4" w:space="0" w:color="auto"/>
            </w:tcBorders>
            <w:shd w:val="clear" w:color="auto" w:fill="FFFFFF"/>
            <w:vAlign w:val="center"/>
          </w:tcPr>
          <w:p w14:paraId="4D02C6B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w:t>
            </w:r>
          </w:p>
        </w:tc>
        <w:tc>
          <w:tcPr>
            <w:tcW w:w="778" w:type="dxa"/>
            <w:tcBorders>
              <w:top w:val="single" w:sz="4" w:space="0" w:color="auto"/>
              <w:left w:val="single" w:sz="4" w:space="0" w:color="auto"/>
              <w:bottom w:val="single" w:sz="4" w:space="0" w:color="auto"/>
            </w:tcBorders>
            <w:shd w:val="clear" w:color="auto" w:fill="FFFFFF"/>
            <w:vAlign w:val="center"/>
          </w:tcPr>
          <w:p w14:paraId="7E8D576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72,7 %</w:t>
            </w:r>
          </w:p>
        </w:tc>
        <w:tc>
          <w:tcPr>
            <w:tcW w:w="773" w:type="dxa"/>
            <w:tcBorders>
              <w:top w:val="single" w:sz="4" w:space="0" w:color="auto"/>
              <w:left w:val="single" w:sz="4" w:space="0" w:color="auto"/>
              <w:bottom w:val="single" w:sz="4" w:space="0" w:color="auto"/>
            </w:tcBorders>
            <w:shd w:val="clear" w:color="auto" w:fill="FFFFFF"/>
            <w:vAlign w:val="center"/>
          </w:tcPr>
          <w:p w14:paraId="0F5FFCB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66,7 %</w:t>
            </w:r>
          </w:p>
        </w:tc>
        <w:tc>
          <w:tcPr>
            <w:tcW w:w="773" w:type="dxa"/>
            <w:tcBorders>
              <w:top w:val="single" w:sz="4" w:space="0" w:color="auto"/>
              <w:left w:val="single" w:sz="4" w:space="0" w:color="auto"/>
              <w:bottom w:val="single" w:sz="4" w:space="0" w:color="auto"/>
            </w:tcBorders>
            <w:shd w:val="clear" w:color="auto" w:fill="FFFFFF"/>
            <w:vAlign w:val="center"/>
          </w:tcPr>
          <w:p w14:paraId="706EC5B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58,8 %</w:t>
            </w:r>
          </w:p>
        </w:tc>
        <w:tc>
          <w:tcPr>
            <w:tcW w:w="773" w:type="dxa"/>
            <w:tcBorders>
              <w:top w:val="single" w:sz="4" w:space="0" w:color="auto"/>
              <w:left w:val="single" w:sz="4" w:space="0" w:color="auto"/>
              <w:bottom w:val="single" w:sz="4" w:space="0" w:color="auto"/>
            </w:tcBorders>
            <w:shd w:val="clear" w:color="auto" w:fill="FFFFFF"/>
            <w:vAlign w:val="center"/>
          </w:tcPr>
          <w:p w14:paraId="64A47B3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1516BBC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75EB5E3D"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27AC7F6F"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T2</w:t>
            </w:r>
          </w:p>
        </w:tc>
        <w:tc>
          <w:tcPr>
            <w:tcW w:w="1177" w:type="dxa"/>
            <w:tcBorders>
              <w:top w:val="single" w:sz="4" w:space="0" w:color="auto"/>
              <w:left w:val="single" w:sz="4" w:space="0" w:color="auto"/>
            </w:tcBorders>
            <w:shd w:val="clear" w:color="auto" w:fill="FFFFFF"/>
            <w:vAlign w:val="center"/>
          </w:tcPr>
          <w:p w14:paraId="1FA19B0B"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w:t>
            </w:r>
          </w:p>
        </w:tc>
        <w:tc>
          <w:tcPr>
            <w:tcW w:w="2288" w:type="dxa"/>
            <w:tcBorders>
              <w:top w:val="single" w:sz="4" w:space="0" w:color="auto"/>
              <w:left w:val="single" w:sz="4" w:space="0" w:color="auto"/>
            </w:tcBorders>
            <w:shd w:val="clear" w:color="auto" w:fill="FFFFFF"/>
            <w:vAlign w:val="bottom"/>
          </w:tcPr>
          <w:p w14:paraId="15C5C70C"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FDH-8-L∕P-W4,3x8,5d- 7/320</w:t>
            </w:r>
          </w:p>
        </w:tc>
        <w:tc>
          <w:tcPr>
            <w:tcW w:w="803" w:type="dxa"/>
            <w:tcBorders>
              <w:top w:val="single" w:sz="4" w:space="0" w:color="auto"/>
              <w:left w:val="single" w:sz="4" w:space="0" w:color="auto"/>
            </w:tcBorders>
            <w:shd w:val="clear" w:color="auto" w:fill="FFFFFF"/>
            <w:vAlign w:val="center"/>
          </w:tcPr>
          <w:p w14:paraId="5F71C6DD"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2AE6EC45"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7,8</w:t>
            </w:r>
          </w:p>
        </w:tc>
        <w:tc>
          <w:tcPr>
            <w:tcW w:w="778" w:type="dxa"/>
            <w:tcBorders>
              <w:top w:val="single" w:sz="4" w:space="0" w:color="auto"/>
              <w:left w:val="single" w:sz="4" w:space="0" w:color="auto"/>
            </w:tcBorders>
            <w:shd w:val="clear" w:color="auto" w:fill="FFFFFF"/>
            <w:vAlign w:val="center"/>
          </w:tcPr>
          <w:p w14:paraId="7802E0B0"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76,5 %</w:t>
            </w:r>
          </w:p>
        </w:tc>
        <w:tc>
          <w:tcPr>
            <w:tcW w:w="773" w:type="dxa"/>
            <w:tcBorders>
              <w:top w:val="single" w:sz="4" w:space="0" w:color="auto"/>
              <w:left w:val="single" w:sz="4" w:space="0" w:color="auto"/>
            </w:tcBorders>
            <w:shd w:val="clear" w:color="auto" w:fill="FFFFFF"/>
            <w:vAlign w:val="center"/>
          </w:tcPr>
          <w:p w14:paraId="2172C709"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70,9 %</w:t>
            </w:r>
          </w:p>
        </w:tc>
        <w:tc>
          <w:tcPr>
            <w:tcW w:w="773" w:type="dxa"/>
            <w:tcBorders>
              <w:top w:val="single" w:sz="4" w:space="0" w:color="auto"/>
              <w:left w:val="single" w:sz="4" w:space="0" w:color="auto"/>
            </w:tcBorders>
            <w:shd w:val="clear" w:color="auto" w:fill="FFFFFF"/>
            <w:vAlign w:val="center"/>
          </w:tcPr>
          <w:p w14:paraId="4B4A6AED"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65,0 %</w:t>
            </w:r>
          </w:p>
        </w:tc>
        <w:tc>
          <w:tcPr>
            <w:tcW w:w="773" w:type="dxa"/>
            <w:tcBorders>
              <w:top w:val="single" w:sz="4" w:space="0" w:color="auto"/>
              <w:left w:val="single" w:sz="4" w:space="0" w:color="auto"/>
            </w:tcBorders>
            <w:shd w:val="clear" w:color="auto" w:fill="FFFFFF"/>
            <w:vAlign w:val="center"/>
          </w:tcPr>
          <w:p w14:paraId="00F4EAF5"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EE658D9"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35AFBD73"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618B348E"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T2</w:t>
            </w:r>
          </w:p>
        </w:tc>
        <w:tc>
          <w:tcPr>
            <w:tcW w:w="1177" w:type="dxa"/>
            <w:tcBorders>
              <w:top w:val="single" w:sz="4" w:space="0" w:color="auto"/>
              <w:left w:val="single" w:sz="4" w:space="0" w:color="auto"/>
            </w:tcBorders>
            <w:shd w:val="clear" w:color="auto" w:fill="FFFFFF"/>
            <w:vAlign w:val="center"/>
          </w:tcPr>
          <w:p w14:paraId="346C2918"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11</w:t>
            </w:r>
          </w:p>
        </w:tc>
        <w:tc>
          <w:tcPr>
            <w:tcW w:w="2288" w:type="dxa"/>
            <w:tcBorders>
              <w:top w:val="single" w:sz="4" w:space="0" w:color="auto"/>
              <w:left w:val="single" w:sz="4" w:space="0" w:color="auto"/>
            </w:tcBorders>
            <w:shd w:val="clear" w:color="auto" w:fill="FFFFFF"/>
            <w:vAlign w:val="bottom"/>
          </w:tcPr>
          <w:p w14:paraId="34713AB6"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FDH-11-L/P-</w:t>
            </w:r>
          </w:p>
          <w:p w14:paraId="76E62C69"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W4,3x8,5d-7∕420</w:t>
            </w:r>
          </w:p>
        </w:tc>
        <w:tc>
          <w:tcPr>
            <w:tcW w:w="803" w:type="dxa"/>
            <w:tcBorders>
              <w:top w:val="single" w:sz="4" w:space="0" w:color="auto"/>
              <w:left w:val="single" w:sz="4" w:space="0" w:color="auto"/>
            </w:tcBorders>
            <w:shd w:val="clear" w:color="auto" w:fill="FFFFFF"/>
            <w:vAlign w:val="center"/>
          </w:tcPr>
          <w:p w14:paraId="77429F3E"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51E40B54"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10,8</w:t>
            </w:r>
          </w:p>
        </w:tc>
        <w:tc>
          <w:tcPr>
            <w:tcW w:w="778" w:type="dxa"/>
            <w:tcBorders>
              <w:top w:val="single" w:sz="4" w:space="0" w:color="auto"/>
              <w:left w:val="single" w:sz="4" w:space="0" w:color="auto"/>
            </w:tcBorders>
            <w:shd w:val="clear" w:color="auto" w:fill="FFFFFF"/>
            <w:vAlign w:val="center"/>
          </w:tcPr>
          <w:p w14:paraId="34936E75"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81,8 %</w:t>
            </w:r>
          </w:p>
        </w:tc>
        <w:tc>
          <w:tcPr>
            <w:tcW w:w="773" w:type="dxa"/>
            <w:tcBorders>
              <w:top w:val="single" w:sz="4" w:space="0" w:color="auto"/>
              <w:left w:val="single" w:sz="4" w:space="0" w:color="auto"/>
            </w:tcBorders>
            <w:shd w:val="clear" w:color="auto" w:fill="FFFFFF"/>
            <w:vAlign w:val="center"/>
          </w:tcPr>
          <w:p w14:paraId="17014949"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77,1 %</w:t>
            </w:r>
          </w:p>
        </w:tc>
        <w:tc>
          <w:tcPr>
            <w:tcW w:w="773" w:type="dxa"/>
            <w:tcBorders>
              <w:top w:val="single" w:sz="4" w:space="0" w:color="auto"/>
              <w:left w:val="single" w:sz="4" w:space="0" w:color="auto"/>
            </w:tcBorders>
            <w:shd w:val="clear" w:color="auto" w:fill="FFFFFF"/>
            <w:vAlign w:val="center"/>
          </w:tcPr>
          <w:p w14:paraId="276533A3"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72,0 %</w:t>
            </w:r>
          </w:p>
        </w:tc>
        <w:tc>
          <w:tcPr>
            <w:tcW w:w="773" w:type="dxa"/>
            <w:tcBorders>
              <w:top w:val="single" w:sz="4" w:space="0" w:color="auto"/>
              <w:left w:val="single" w:sz="4" w:space="0" w:color="auto"/>
            </w:tcBorders>
            <w:shd w:val="clear" w:color="auto" w:fill="FFFFFF"/>
            <w:vAlign w:val="center"/>
          </w:tcPr>
          <w:p w14:paraId="707ABDF1"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2FD5BC90"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212C4813"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203B627"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T2</w:t>
            </w:r>
          </w:p>
        </w:tc>
        <w:tc>
          <w:tcPr>
            <w:tcW w:w="1177" w:type="dxa"/>
            <w:tcBorders>
              <w:top w:val="single" w:sz="4" w:space="0" w:color="auto"/>
              <w:left w:val="single" w:sz="4" w:space="0" w:color="auto"/>
            </w:tcBorders>
            <w:shd w:val="clear" w:color="auto" w:fill="FFFFFF"/>
            <w:vAlign w:val="center"/>
          </w:tcPr>
          <w:p w14:paraId="536FB3AF"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13</w:t>
            </w:r>
          </w:p>
        </w:tc>
        <w:tc>
          <w:tcPr>
            <w:tcW w:w="2288" w:type="dxa"/>
            <w:tcBorders>
              <w:top w:val="single" w:sz="4" w:space="0" w:color="auto"/>
              <w:left w:val="single" w:sz="4" w:space="0" w:color="auto"/>
            </w:tcBorders>
            <w:shd w:val="clear" w:color="auto" w:fill="FFFFFF"/>
            <w:vAlign w:val="bottom"/>
          </w:tcPr>
          <w:p w14:paraId="7F4D1F48"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FDH-13-L/P-</w:t>
            </w:r>
          </w:p>
          <w:p w14:paraId="4CB5FDC6"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W4,3x8,5d-7∕520</w:t>
            </w:r>
          </w:p>
        </w:tc>
        <w:tc>
          <w:tcPr>
            <w:tcW w:w="803" w:type="dxa"/>
            <w:tcBorders>
              <w:top w:val="single" w:sz="4" w:space="0" w:color="auto"/>
              <w:left w:val="single" w:sz="4" w:space="0" w:color="auto"/>
            </w:tcBorders>
            <w:shd w:val="clear" w:color="auto" w:fill="FFFFFF"/>
            <w:vAlign w:val="center"/>
          </w:tcPr>
          <w:p w14:paraId="7CD56F11"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2312CCB9"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13,3</w:t>
            </w:r>
          </w:p>
        </w:tc>
        <w:tc>
          <w:tcPr>
            <w:tcW w:w="778" w:type="dxa"/>
            <w:tcBorders>
              <w:top w:val="single" w:sz="4" w:space="0" w:color="auto"/>
              <w:left w:val="single" w:sz="4" w:space="0" w:color="auto"/>
            </w:tcBorders>
            <w:shd w:val="clear" w:color="auto" w:fill="FFFFFF"/>
            <w:vAlign w:val="center"/>
          </w:tcPr>
          <w:p w14:paraId="23449E44"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84,7 %</w:t>
            </w:r>
          </w:p>
        </w:tc>
        <w:tc>
          <w:tcPr>
            <w:tcW w:w="773" w:type="dxa"/>
            <w:tcBorders>
              <w:top w:val="single" w:sz="4" w:space="0" w:color="auto"/>
              <w:left w:val="single" w:sz="4" w:space="0" w:color="auto"/>
            </w:tcBorders>
            <w:shd w:val="clear" w:color="auto" w:fill="FFFFFF"/>
            <w:vAlign w:val="center"/>
          </w:tcPr>
          <w:p w14:paraId="1A784E01"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80,6 %</w:t>
            </w:r>
          </w:p>
        </w:tc>
        <w:tc>
          <w:tcPr>
            <w:tcW w:w="773" w:type="dxa"/>
            <w:tcBorders>
              <w:top w:val="single" w:sz="4" w:space="0" w:color="auto"/>
              <w:left w:val="single" w:sz="4" w:space="0" w:color="auto"/>
            </w:tcBorders>
            <w:shd w:val="clear" w:color="auto" w:fill="FFFFFF"/>
            <w:vAlign w:val="center"/>
          </w:tcPr>
          <w:p w14:paraId="145531CA"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76,0 %</w:t>
            </w:r>
          </w:p>
        </w:tc>
        <w:tc>
          <w:tcPr>
            <w:tcW w:w="773" w:type="dxa"/>
            <w:tcBorders>
              <w:top w:val="single" w:sz="4" w:space="0" w:color="auto"/>
              <w:left w:val="single" w:sz="4" w:space="0" w:color="auto"/>
            </w:tcBorders>
            <w:shd w:val="clear" w:color="auto" w:fill="FFFFFF"/>
            <w:vAlign w:val="center"/>
          </w:tcPr>
          <w:p w14:paraId="2363D96B"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89898D7"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47FA8E59"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AD5BDD2"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T2</w:t>
            </w:r>
          </w:p>
        </w:tc>
        <w:tc>
          <w:tcPr>
            <w:tcW w:w="1177" w:type="dxa"/>
            <w:tcBorders>
              <w:top w:val="single" w:sz="4" w:space="0" w:color="auto"/>
              <w:left w:val="single" w:sz="4" w:space="0" w:color="auto"/>
            </w:tcBorders>
            <w:shd w:val="clear" w:color="auto" w:fill="FFFFFF"/>
            <w:vAlign w:val="center"/>
          </w:tcPr>
          <w:p w14:paraId="34DFEE9E"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21</w:t>
            </w:r>
          </w:p>
        </w:tc>
        <w:tc>
          <w:tcPr>
            <w:tcW w:w="2288" w:type="dxa"/>
            <w:tcBorders>
              <w:top w:val="single" w:sz="4" w:space="0" w:color="auto"/>
              <w:left w:val="single" w:sz="4" w:space="0" w:color="auto"/>
            </w:tcBorders>
            <w:shd w:val="clear" w:color="auto" w:fill="FFFFFF"/>
            <w:vAlign w:val="bottom"/>
          </w:tcPr>
          <w:p w14:paraId="0DD1E843"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FDH-21-L/P-</w:t>
            </w:r>
          </w:p>
          <w:p w14:paraId="48C8030B"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W4,3x8,5d-7∕</w:t>
            </w:r>
          </w:p>
        </w:tc>
        <w:tc>
          <w:tcPr>
            <w:tcW w:w="803" w:type="dxa"/>
            <w:tcBorders>
              <w:top w:val="single" w:sz="4" w:space="0" w:color="auto"/>
              <w:left w:val="single" w:sz="4" w:space="0" w:color="auto"/>
            </w:tcBorders>
            <w:shd w:val="clear" w:color="auto" w:fill="FFFFFF"/>
            <w:vAlign w:val="center"/>
          </w:tcPr>
          <w:p w14:paraId="3C299962"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22EE1D05"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21</w:t>
            </w:r>
          </w:p>
        </w:tc>
        <w:tc>
          <w:tcPr>
            <w:tcW w:w="778" w:type="dxa"/>
            <w:tcBorders>
              <w:top w:val="single" w:sz="4" w:space="0" w:color="auto"/>
              <w:left w:val="single" w:sz="4" w:space="0" w:color="auto"/>
            </w:tcBorders>
            <w:shd w:val="clear" w:color="auto" w:fill="FFFFFF"/>
            <w:vAlign w:val="center"/>
          </w:tcPr>
          <w:p w14:paraId="23DC092F"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4B5904AC"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85,7 %</w:t>
            </w:r>
          </w:p>
        </w:tc>
        <w:tc>
          <w:tcPr>
            <w:tcW w:w="773" w:type="dxa"/>
            <w:tcBorders>
              <w:top w:val="single" w:sz="4" w:space="0" w:color="auto"/>
              <w:left w:val="single" w:sz="4" w:space="0" w:color="auto"/>
            </w:tcBorders>
            <w:shd w:val="clear" w:color="auto" w:fill="FFFFFF"/>
            <w:vAlign w:val="center"/>
          </w:tcPr>
          <w:p w14:paraId="311527F5"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79,2 %</w:t>
            </w:r>
          </w:p>
        </w:tc>
        <w:tc>
          <w:tcPr>
            <w:tcW w:w="773" w:type="dxa"/>
            <w:tcBorders>
              <w:top w:val="single" w:sz="4" w:space="0" w:color="auto"/>
              <w:left w:val="single" w:sz="4" w:space="0" w:color="auto"/>
            </w:tcBorders>
            <w:shd w:val="clear" w:color="auto" w:fill="FFFFFF"/>
            <w:vAlign w:val="center"/>
          </w:tcPr>
          <w:p w14:paraId="13AAA3F2"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14602866"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544A592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233B622"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T2</w:t>
            </w:r>
          </w:p>
        </w:tc>
        <w:tc>
          <w:tcPr>
            <w:tcW w:w="1177" w:type="dxa"/>
            <w:tcBorders>
              <w:top w:val="single" w:sz="4" w:space="0" w:color="auto"/>
              <w:left w:val="single" w:sz="4" w:space="0" w:color="auto"/>
            </w:tcBorders>
            <w:shd w:val="clear" w:color="auto" w:fill="FFFFFF"/>
            <w:vAlign w:val="center"/>
          </w:tcPr>
          <w:p w14:paraId="44DF3355"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23</w:t>
            </w:r>
          </w:p>
        </w:tc>
        <w:tc>
          <w:tcPr>
            <w:tcW w:w="2288" w:type="dxa"/>
            <w:tcBorders>
              <w:top w:val="single" w:sz="4" w:space="0" w:color="auto"/>
              <w:left w:val="single" w:sz="4" w:space="0" w:color="auto"/>
            </w:tcBorders>
            <w:shd w:val="clear" w:color="auto" w:fill="FFFFFF"/>
            <w:vAlign w:val="bottom"/>
          </w:tcPr>
          <w:p w14:paraId="41C11CD2"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FDH-23-L/P-</w:t>
            </w:r>
          </w:p>
          <w:p w14:paraId="287B6F12"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W4,3x8,5d-7∕</w:t>
            </w:r>
          </w:p>
        </w:tc>
        <w:tc>
          <w:tcPr>
            <w:tcW w:w="803" w:type="dxa"/>
            <w:tcBorders>
              <w:top w:val="single" w:sz="4" w:space="0" w:color="auto"/>
              <w:left w:val="single" w:sz="4" w:space="0" w:color="auto"/>
            </w:tcBorders>
            <w:shd w:val="clear" w:color="auto" w:fill="FFFFFF"/>
            <w:vAlign w:val="center"/>
          </w:tcPr>
          <w:p w14:paraId="2260C3A8"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753ECDC2"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23</w:t>
            </w:r>
          </w:p>
        </w:tc>
        <w:tc>
          <w:tcPr>
            <w:tcW w:w="778" w:type="dxa"/>
            <w:tcBorders>
              <w:top w:val="single" w:sz="4" w:space="0" w:color="auto"/>
              <w:left w:val="single" w:sz="4" w:space="0" w:color="auto"/>
            </w:tcBorders>
            <w:shd w:val="clear" w:color="auto" w:fill="FFFFFF"/>
            <w:vAlign w:val="center"/>
          </w:tcPr>
          <w:p w14:paraId="0568817E"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89,8 %</w:t>
            </w:r>
          </w:p>
        </w:tc>
        <w:tc>
          <w:tcPr>
            <w:tcW w:w="773" w:type="dxa"/>
            <w:tcBorders>
              <w:top w:val="single" w:sz="4" w:space="0" w:color="auto"/>
              <w:left w:val="single" w:sz="4" w:space="0" w:color="auto"/>
            </w:tcBorders>
            <w:shd w:val="clear" w:color="auto" w:fill="FFFFFF"/>
            <w:vAlign w:val="center"/>
          </w:tcPr>
          <w:p w14:paraId="153C758D"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86,8 %</w:t>
            </w:r>
          </w:p>
        </w:tc>
        <w:tc>
          <w:tcPr>
            <w:tcW w:w="773" w:type="dxa"/>
            <w:tcBorders>
              <w:top w:val="single" w:sz="4" w:space="0" w:color="auto"/>
              <w:left w:val="single" w:sz="4" w:space="0" w:color="auto"/>
            </w:tcBorders>
            <w:shd w:val="clear" w:color="auto" w:fill="FFFFFF"/>
            <w:vAlign w:val="center"/>
          </w:tcPr>
          <w:p w14:paraId="4B764D3B"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80,7 %</w:t>
            </w:r>
          </w:p>
        </w:tc>
        <w:tc>
          <w:tcPr>
            <w:tcW w:w="773" w:type="dxa"/>
            <w:tcBorders>
              <w:top w:val="single" w:sz="4" w:space="0" w:color="auto"/>
              <w:left w:val="single" w:sz="4" w:space="0" w:color="auto"/>
            </w:tcBorders>
            <w:shd w:val="clear" w:color="auto" w:fill="FFFFFF"/>
            <w:vAlign w:val="center"/>
          </w:tcPr>
          <w:p w14:paraId="147DB451"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357B3FC6"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07D79204"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434C3A23"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center"/>
          </w:tcPr>
          <w:p w14:paraId="5E5F374A"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14</w:t>
            </w:r>
          </w:p>
        </w:tc>
        <w:tc>
          <w:tcPr>
            <w:tcW w:w="2288" w:type="dxa"/>
            <w:tcBorders>
              <w:top w:val="single" w:sz="4" w:space="0" w:color="auto"/>
              <w:left w:val="single" w:sz="4" w:space="0" w:color="auto"/>
            </w:tcBorders>
            <w:shd w:val="clear" w:color="auto" w:fill="FFFFFF"/>
            <w:vAlign w:val="center"/>
          </w:tcPr>
          <w:p w14:paraId="05D90547"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FDH-14-G5-L/P-16/550</w:t>
            </w:r>
          </w:p>
        </w:tc>
        <w:tc>
          <w:tcPr>
            <w:tcW w:w="803" w:type="dxa"/>
            <w:tcBorders>
              <w:top w:val="single" w:sz="4" w:space="0" w:color="auto"/>
              <w:left w:val="single" w:sz="4" w:space="0" w:color="auto"/>
            </w:tcBorders>
            <w:shd w:val="clear" w:color="auto" w:fill="FFFFFF"/>
            <w:vAlign w:val="center"/>
          </w:tcPr>
          <w:p w14:paraId="71AC1DC7"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72FF42D7"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13,7</w:t>
            </w:r>
          </w:p>
        </w:tc>
        <w:tc>
          <w:tcPr>
            <w:tcW w:w="778" w:type="dxa"/>
            <w:tcBorders>
              <w:top w:val="single" w:sz="4" w:space="0" w:color="auto"/>
              <w:left w:val="single" w:sz="4" w:space="0" w:color="auto"/>
            </w:tcBorders>
            <w:shd w:val="clear" w:color="auto" w:fill="FFFFFF"/>
            <w:vAlign w:val="center"/>
          </w:tcPr>
          <w:p w14:paraId="45B43382"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84,7 %</w:t>
            </w:r>
          </w:p>
        </w:tc>
        <w:tc>
          <w:tcPr>
            <w:tcW w:w="773" w:type="dxa"/>
            <w:tcBorders>
              <w:top w:val="single" w:sz="4" w:space="0" w:color="auto"/>
              <w:left w:val="single" w:sz="4" w:space="0" w:color="auto"/>
            </w:tcBorders>
            <w:shd w:val="clear" w:color="auto" w:fill="FFFFFF"/>
            <w:vAlign w:val="center"/>
          </w:tcPr>
          <w:p w14:paraId="2D28D061"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80,6 %</w:t>
            </w:r>
          </w:p>
        </w:tc>
        <w:tc>
          <w:tcPr>
            <w:tcW w:w="773" w:type="dxa"/>
            <w:tcBorders>
              <w:top w:val="single" w:sz="4" w:space="0" w:color="auto"/>
              <w:left w:val="single" w:sz="4" w:space="0" w:color="auto"/>
            </w:tcBorders>
            <w:shd w:val="clear" w:color="auto" w:fill="FFFFFF"/>
            <w:vAlign w:val="center"/>
          </w:tcPr>
          <w:p w14:paraId="11CEDE07"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72,1 %</w:t>
            </w:r>
          </w:p>
        </w:tc>
        <w:tc>
          <w:tcPr>
            <w:tcW w:w="773" w:type="dxa"/>
            <w:tcBorders>
              <w:top w:val="single" w:sz="4" w:space="0" w:color="auto"/>
              <w:left w:val="single" w:sz="4" w:space="0" w:color="auto"/>
            </w:tcBorders>
            <w:shd w:val="clear" w:color="auto" w:fill="FFFFFF"/>
            <w:vAlign w:val="center"/>
          </w:tcPr>
          <w:p w14:paraId="48285C47"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F68F04D"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3295E699"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4096756"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bottom"/>
          </w:tcPr>
          <w:p w14:paraId="27CE3DD0"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21</w:t>
            </w:r>
          </w:p>
        </w:tc>
        <w:tc>
          <w:tcPr>
            <w:tcW w:w="2288" w:type="dxa"/>
            <w:tcBorders>
              <w:top w:val="single" w:sz="4" w:space="0" w:color="auto"/>
              <w:left w:val="single" w:sz="4" w:space="0" w:color="auto"/>
            </w:tcBorders>
            <w:shd w:val="clear" w:color="auto" w:fill="FFFFFF"/>
            <w:vAlign w:val="center"/>
          </w:tcPr>
          <w:p w14:paraId="2E2619DF"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FDH-21-G5-L/P-16/850</w:t>
            </w:r>
          </w:p>
        </w:tc>
        <w:tc>
          <w:tcPr>
            <w:tcW w:w="803" w:type="dxa"/>
            <w:tcBorders>
              <w:top w:val="single" w:sz="4" w:space="0" w:color="auto"/>
              <w:left w:val="single" w:sz="4" w:space="0" w:color="auto"/>
            </w:tcBorders>
            <w:shd w:val="clear" w:color="auto" w:fill="FFFFFF"/>
            <w:vAlign w:val="center"/>
          </w:tcPr>
          <w:p w14:paraId="06BB5A87"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5C8CB0B4"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20,7</w:t>
            </w:r>
          </w:p>
        </w:tc>
        <w:tc>
          <w:tcPr>
            <w:tcW w:w="778" w:type="dxa"/>
            <w:tcBorders>
              <w:top w:val="single" w:sz="4" w:space="0" w:color="auto"/>
              <w:left w:val="single" w:sz="4" w:space="0" w:color="auto"/>
            </w:tcBorders>
            <w:shd w:val="clear" w:color="auto" w:fill="FFFFFF"/>
            <w:vAlign w:val="center"/>
          </w:tcPr>
          <w:p w14:paraId="1C63C40E"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89,3 %</w:t>
            </w:r>
          </w:p>
        </w:tc>
        <w:tc>
          <w:tcPr>
            <w:tcW w:w="773" w:type="dxa"/>
            <w:tcBorders>
              <w:top w:val="single" w:sz="4" w:space="0" w:color="auto"/>
              <w:left w:val="single" w:sz="4" w:space="0" w:color="auto"/>
            </w:tcBorders>
            <w:shd w:val="clear" w:color="auto" w:fill="FFFFFF"/>
            <w:vAlign w:val="center"/>
          </w:tcPr>
          <w:p w14:paraId="3A651EAF"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86,3 %</w:t>
            </w:r>
          </w:p>
        </w:tc>
        <w:tc>
          <w:tcPr>
            <w:tcW w:w="773" w:type="dxa"/>
            <w:tcBorders>
              <w:top w:val="single" w:sz="4" w:space="0" w:color="auto"/>
              <w:left w:val="single" w:sz="4" w:space="0" w:color="auto"/>
            </w:tcBorders>
            <w:shd w:val="clear" w:color="auto" w:fill="FFFFFF"/>
            <w:vAlign w:val="center"/>
          </w:tcPr>
          <w:p w14:paraId="5456F1FF"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79,6 %</w:t>
            </w:r>
          </w:p>
        </w:tc>
        <w:tc>
          <w:tcPr>
            <w:tcW w:w="773" w:type="dxa"/>
            <w:tcBorders>
              <w:top w:val="single" w:sz="4" w:space="0" w:color="auto"/>
              <w:left w:val="single" w:sz="4" w:space="0" w:color="auto"/>
            </w:tcBorders>
            <w:shd w:val="clear" w:color="auto" w:fill="FFFFFF"/>
            <w:vAlign w:val="center"/>
          </w:tcPr>
          <w:p w14:paraId="268E95FC"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71CAFED"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2F0CD77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3BBC4AB5"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bottom"/>
          </w:tcPr>
          <w:p w14:paraId="418AD466" w14:textId="77777777" w:rsidR="00CA27E3" w:rsidRPr="00D83000" w:rsidRDefault="00CA27E3" w:rsidP="00696F04">
            <w:pPr>
              <w:pStyle w:val="a4"/>
              <w:shd w:val="clear" w:color="auto" w:fill="auto"/>
              <w:spacing w:after="80" w:line="240" w:lineRule="auto"/>
              <w:ind w:firstLine="300"/>
              <w:jc w:val="both"/>
              <w:rPr>
                <w:rFonts w:ascii="Sylfaen" w:hAnsi="Sylfaen" w:cs="Sylfaen"/>
                <w:sz w:val="16"/>
                <w:szCs w:val="16"/>
              </w:rPr>
            </w:pPr>
            <w:r w:rsidRPr="00D83000">
              <w:rPr>
                <w:rFonts w:ascii="Sylfaen" w:hAnsi="Sylfaen"/>
                <w:sz w:val="16"/>
                <w:szCs w:val="16"/>
              </w:rPr>
              <w:t>24</w:t>
            </w:r>
          </w:p>
        </w:tc>
        <w:tc>
          <w:tcPr>
            <w:tcW w:w="2288" w:type="dxa"/>
            <w:tcBorders>
              <w:top w:val="single" w:sz="4" w:space="0" w:color="auto"/>
              <w:left w:val="single" w:sz="4" w:space="0" w:color="auto"/>
            </w:tcBorders>
            <w:shd w:val="clear" w:color="auto" w:fill="FFFFFF"/>
            <w:vAlign w:val="bottom"/>
          </w:tcPr>
          <w:p w14:paraId="0603344F" w14:textId="77777777" w:rsidR="00CA27E3" w:rsidRPr="00D83000" w:rsidRDefault="00CA27E3" w:rsidP="00696F04">
            <w:pPr>
              <w:pStyle w:val="a4"/>
              <w:shd w:val="clear" w:color="auto" w:fill="auto"/>
              <w:spacing w:after="80" w:line="240" w:lineRule="auto"/>
              <w:ind w:firstLine="0"/>
              <w:rPr>
                <w:rFonts w:ascii="Sylfaen" w:hAnsi="Sylfaen" w:cs="Sylfaen"/>
                <w:sz w:val="16"/>
                <w:szCs w:val="16"/>
              </w:rPr>
            </w:pPr>
            <w:r w:rsidRPr="00D83000">
              <w:rPr>
                <w:rFonts w:ascii="Sylfaen" w:hAnsi="Sylfaen"/>
                <w:sz w:val="16"/>
                <w:szCs w:val="16"/>
              </w:rPr>
              <w:t>FDH-24-G5-L/P-16/550</w:t>
            </w:r>
          </w:p>
        </w:tc>
        <w:tc>
          <w:tcPr>
            <w:tcW w:w="803" w:type="dxa"/>
            <w:tcBorders>
              <w:top w:val="single" w:sz="4" w:space="0" w:color="auto"/>
              <w:left w:val="single" w:sz="4" w:space="0" w:color="auto"/>
            </w:tcBorders>
            <w:shd w:val="clear" w:color="auto" w:fill="FFFFFF"/>
            <w:vAlign w:val="center"/>
          </w:tcPr>
          <w:p w14:paraId="43FA79B7"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7B1C321A"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22,5</w:t>
            </w:r>
          </w:p>
        </w:tc>
        <w:tc>
          <w:tcPr>
            <w:tcW w:w="778" w:type="dxa"/>
            <w:tcBorders>
              <w:top w:val="single" w:sz="4" w:space="0" w:color="auto"/>
              <w:left w:val="single" w:sz="4" w:space="0" w:color="auto"/>
            </w:tcBorders>
            <w:shd w:val="clear" w:color="auto" w:fill="FFFFFF"/>
            <w:vAlign w:val="center"/>
          </w:tcPr>
          <w:p w14:paraId="03BAFA5F"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89,6 %</w:t>
            </w:r>
          </w:p>
        </w:tc>
        <w:tc>
          <w:tcPr>
            <w:tcW w:w="773" w:type="dxa"/>
            <w:tcBorders>
              <w:top w:val="single" w:sz="4" w:space="0" w:color="auto"/>
              <w:left w:val="single" w:sz="4" w:space="0" w:color="auto"/>
            </w:tcBorders>
            <w:shd w:val="clear" w:color="auto" w:fill="FFFFFF"/>
            <w:vAlign w:val="center"/>
          </w:tcPr>
          <w:p w14:paraId="3723C9C8"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86,5 %</w:t>
            </w:r>
          </w:p>
        </w:tc>
        <w:tc>
          <w:tcPr>
            <w:tcW w:w="773" w:type="dxa"/>
            <w:tcBorders>
              <w:top w:val="single" w:sz="4" w:space="0" w:color="auto"/>
              <w:left w:val="single" w:sz="4" w:space="0" w:color="auto"/>
            </w:tcBorders>
            <w:shd w:val="clear" w:color="auto" w:fill="FFFFFF"/>
            <w:vAlign w:val="center"/>
          </w:tcPr>
          <w:p w14:paraId="7300CB21" w14:textId="77777777" w:rsidR="00CA27E3" w:rsidRPr="00D83000" w:rsidRDefault="00CA27E3" w:rsidP="00696F04">
            <w:pPr>
              <w:pStyle w:val="a4"/>
              <w:shd w:val="clear" w:color="auto" w:fill="auto"/>
              <w:spacing w:after="80" w:line="240" w:lineRule="auto"/>
              <w:ind w:firstLine="0"/>
              <w:jc w:val="center"/>
              <w:rPr>
                <w:rFonts w:ascii="Sylfaen" w:hAnsi="Sylfaen" w:cs="Sylfaen"/>
                <w:sz w:val="16"/>
                <w:szCs w:val="16"/>
              </w:rPr>
            </w:pPr>
            <w:r w:rsidRPr="00D83000">
              <w:rPr>
                <w:rFonts w:ascii="Sylfaen" w:hAnsi="Sylfaen"/>
                <w:sz w:val="16"/>
                <w:szCs w:val="16"/>
              </w:rPr>
              <w:t>80,4 %</w:t>
            </w:r>
          </w:p>
        </w:tc>
        <w:tc>
          <w:tcPr>
            <w:tcW w:w="773" w:type="dxa"/>
            <w:tcBorders>
              <w:top w:val="single" w:sz="4" w:space="0" w:color="auto"/>
              <w:left w:val="single" w:sz="4" w:space="0" w:color="auto"/>
            </w:tcBorders>
            <w:shd w:val="clear" w:color="auto" w:fill="FFFFFF"/>
            <w:vAlign w:val="center"/>
          </w:tcPr>
          <w:p w14:paraId="007DAA27"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6FF542B4" w14:textId="77777777" w:rsidR="00CA27E3" w:rsidRPr="00D83000" w:rsidRDefault="00CA27E3" w:rsidP="00696F04">
            <w:pPr>
              <w:pStyle w:val="a4"/>
              <w:shd w:val="clear" w:color="auto" w:fill="auto"/>
              <w:spacing w:after="8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6F39579D"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1AB3FBEE"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bottom"/>
          </w:tcPr>
          <w:p w14:paraId="05D4964E" w14:textId="77777777" w:rsidR="00CA27E3" w:rsidRPr="00D83000" w:rsidRDefault="00CA27E3" w:rsidP="00696F04">
            <w:pPr>
              <w:pStyle w:val="a4"/>
              <w:shd w:val="clear" w:color="auto" w:fill="auto"/>
              <w:spacing w:after="60" w:line="240" w:lineRule="auto"/>
              <w:ind w:firstLine="300"/>
              <w:jc w:val="both"/>
              <w:rPr>
                <w:rFonts w:ascii="Sylfaen" w:hAnsi="Sylfaen" w:cs="Sylfaen"/>
                <w:sz w:val="16"/>
                <w:szCs w:val="16"/>
              </w:rPr>
            </w:pPr>
            <w:r w:rsidRPr="00D83000">
              <w:rPr>
                <w:rFonts w:ascii="Sylfaen" w:hAnsi="Sylfaen"/>
                <w:sz w:val="16"/>
                <w:szCs w:val="16"/>
              </w:rPr>
              <w:t>28</w:t>
            </w:r>
          </w:p>
        </w:tc>
        <w:tc>
          <w:tcPr>
            <w:tcW w:w="2288" w:type="dxa"/>
            <w:tcBorders>
              <w:top w:val="single" w:sz="4" w:space="0" w:color="auto"/>
              <w:left w:val="single" w:sz="4" w:space="0" w:color="auto"/>
            </w:tcBorders>
            <w:shd w:val="clear" w:color="auto" w:fill="FFFFFF"/>
            <w:vAlign w:val="bottom"/>
          </w:tcPr>
          <w:p w14:paraId="4796F4B2"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FDH-28-G5-L/P-</w:t>
            </w:r>
          </w:p>
          <w:p w14:paraId="053619A6"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16/1150</w:t>
            </w:r>
          </w:p>
        </w:tc>
        <w:tc>
          <w:tcPr>
            <w:tcW w:w="803" w:type="dxa"/>
            <w:tcBorders>
              <w:top w:val="single" w:sz="4" w:space="0" w:color="auto"/>
              <w:left w:val="single" w:sz="4" w:space="0" w:color="auto"/>
            </w:tcBorders>
            <w:shd w:val="clear" w:color="auto" w:fill="FFFFFF"/>
            <w:vAlign w:val="center"/>
          </w:tcPr>
          <w:p w14:paraId="0782A5A3"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3A1917C3"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27,8</w:t>
            </w:r>
          </w:p>
        </w:tc>
        <w:tc>
          <w:tcPr>
            <w:tcW w:w="778" w:type="dxa"/>
            <w:tcBorders>
              <w:top w:val="single" w:sz="4" w:space="0" w:color="auto"/>
              <w:left w:val="single" w:sz="4" w:space="0" w:color="auto"/>
            </w:tcBorders>
            <w:shd w:val="clear" w:color="auto" w:fill="FFFFFF"/>
            <w:vAlign w:val="center"/>
          </w:tcPr>
          <w:p w14:paraId="6FB15A7F"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89,8 %</w:t>
            </w:r>
          </w:p>
        </w:tc>
        <w:tc>
          <w:tcPr>
            <w:tcW w:w="773" w:type="dxa"/>
            <w:tcBorders>
              <w:top w:val="single" w:sz="4" w:space="0" w:color="auto"/>
              <w:left w:val="single" w:sz="4" w:space="0" w:color="auto"/>
            </w:tcBorders>
            <w:shd w:val="clear" w:color="auto" w:fill="FFFFFF"/>
            <w:vAlign w:val="center"/>
          </w:tcPr>
          <w:p w14:paraId="01E99EFF"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86,9 %</w:t>
            </w:r>
          </w:p>
        </w:tc>
        <w:tc>
          <w:tcPr>
            <w:tcW w:w="773" w:type="dxa"/>
            <w:tcBorders>
              <w:top w:val="single" w:sz="4" w:space="0" w:color="auto"/>
              <w:left w:val="single" w:sz="4" w:space="0" w:color="auto"/>
            </w:tcBorders>
            <w:shd w:val="clear" w:color="auto" w:fill="FFFFFF"/>
            <w:vAlign w:val="center"/>
          </w:tcPr>
          <w:p w14:paraId="7A853CA1"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81,8 %</w:t>
            </w:r>
          </w:p>
        </w:tc>
        <w:tc>
          <w:tcPr>
            <w:tcW w:w="773" w:type="dxa"/>
            <w:tcBorders>
              <w:top w:val="single" w:sz="4" w:space="0" w:color="auto"/>
              <w:left w:val="single" w:sz="4" w:space="0" w:color="auto"/>
            </w:tcBorders>
            <w:shd w:val="clear" w:color="auto" w:fill="FFFFFF"/>
            <w:vAlign w:val="center"/>
          </w:tcPr>
          <w:p w14:paraId="6473DBD5"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BC56826"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23665697"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05E30BC3"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center"/>
          </w:tcPr>
          <w:p w14:paraId="7246F6B4" w14:textId="77777777" w:rsidR="00CA27E3" w:rsidRPr="00D83000" w:rsidRDefault="00CA27E3" w:rsidP="00696F04">
            <w:pPr>
              <w:pStyle w:val="a4"/>
              <w:shd w:val="clear" w:color="auto" w:fill="auto"/>
              <w:spacing w:after="60" w:line="240" w:lineRule="auto"/>
              <w:ind w:firstLine="300"/>
              <w:jc w:val="both"/>
              <w:rPr>
                <w:rFonts w:ascii="Sylfaen" w:hAnsi="Sylfaen" w:cs="Sylfaen"/>
                <w:sz w:val="16"/>
                <w:szCs w:val="16"/>
              </w:rPr>
            </w:pPr>
            <w:r w:rsidRPr="00D83000">
              <w:rPr>
                <w:rFonts w:ascii="Sylfaen" w:hAnsi="Sylfaen"/>
                <w:sz w:val="16"/>
                <w:szCs w:val="16"/>
              </w:rPr>
              <w:t>35</w:t>
            </w:r>
          </w:p>
        </w:tc>
        <w:tc>
          <w:tcPr>
            <w:tcW w:w="2288" w:type="dxa"/>
            <w:tcBorders>
              <w:top w:val="single" w:sz="4" w:space="0" w:color="auto"/>
              <w:left w:val="single" w:sz="4" w:space="0" w:color="auto"/>
            </w:tcBorders>
            <w:shd w:val="clear" w:color="auto" w:fill="FFFFFF"/>
            <w:vAlign w:val="bottom"/>
          </w:tcPr>
          <w:p w14:paraId="27734071"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FDH-35-G5-L/P-</w:t>
            </w:r>
          </w:p>
          <w:p w14:paraId="0B7BFC01"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16/1450</w:t>
            </w:r>
          </w:p>
        </w:tc>
        <w:tc>
          <w:tcPr>
            <w:tcW w:w="803" w:type="dxa"/>
            <w:tcBorders>
              <w:top w:val="single" w:sz="4" w:space="0" w:color="auto"/>
              <w:left w:val="single" w:sz="4" w:space="0" w:color="auto"/>
            </w:tcBorders>
            <w:shd w:val="clear" w:color="auto" w:fill="FFFFFF"/>
            <w:vAlign w:val="center"/>
          </w:tcPr>
          <w:p w14:paraId="2E7F7ABF"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6B94B6B1"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34,7</w:t>
            </w:r>
          </w:p>
        </w:tc>
        <w:tc>
          <w:tcPr>
            <w:tcW w:w="778" w:type="dxa"/>
            <w:tcBorders>
              <w:top w:val="single" w:sz="4" w:space="0" w:color="auto"/>
              <w:left w:val="single" w:sz="4" w:space="0" w:color="auto"/>
            </w:tcBorders>
            <w:shd w:val="clear" w:color="auto" w:fill="FFFFFF"/>
            <w:vAlign w:val="center"/>
          </w:tcPr>
          <w:p w14:paraId="4331A52D"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91,5 %</w:t>
            </w:r>
          </w:p>
        </w:tc>
        <w:tc>
          <w:tcPr>
            <w:tcW w:w="773" w:type="dxa"/>
            <w:tcBorders>
              <w:top w:val="single" w:sz="4" w:space="0" w:color="auto"/>
              <w:left w:val="single" w:sz="4" w:space="0" w:color="auto"/>
            </w:tcBorders>
            <w:shd w:val="clear" w:color="auto" w:fill="FFFFFF"/>
            <w:vAlign w:val="center"/>
          </w:tcPr>
          <w:p w14:paraId="629A995F"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89,0 %</w:t>
            </w:r>
          </w:p>
        </w:tc>
        <w:tc>
          <w:tcPr>
            <w:tcW w:w="773" w:type="dxa"/>
            <w:tcBorders>
              <w:top w:val="single" w:sz="4" w:space="0" w:color="auto"/>
              <w:left w:val="single" w:sz="4" w:space="0" w:color="auto"/>
            </w:tcBorders>
            <w:shd w:val="clear" w:color="auto" w:fill="FFFFFF"/>
            <w:vAlign w:val="center"/>
          </w:tcPr>
          <w:p w14:paraId="5FFAAC2C"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82,6 %</w:t>
            </w:r>
          </w:p>
        </w:tc>
        <w:tc>
          <w:tcPr>
            <w:tcW w:w="773" w:type="dxa"/>
            <w:tcBorders>
              <w:top w:val="single" w:sz="4" w:space="0" w:color="auto"/>
              <w:left w:val="single" w:sz="4" w:space="0" w:color="auto"/>
            </w:tcBorders>
            <w:shd w:val="clear" w:color="auto" w:fill="FFFFFF"/>
            <w:vAlign w:val="center"/>
          </w:tcPr>
          <w:p w14:paraId="2EAC0BF2"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19531556"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40B4518D"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2814AA3C"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center"/>
          </w:tcPr>
          <w:p w14:paraId="3BD38F4C" w14:textId="77777777" w:rsidR="00CA27E3" w:rsidRPr="00D83000" w:rsidRDefault="00CA27E3" w:rsidP="00696F04">
            <w:pPr>
              <w:pStyle w:val="a4"/>
              <w:shd w:val="clear" w:color="auto" w:fill="auto"/>
              <w:spacing w:after="60" w:line="240" w:lineRule="auto"/>
              <w:ind w:firstLine="300"/>
              <w:jc w:val="both"/>
              <w:rPr>
                <w:rFonts w:ascii="Sylfaen" w:hAnsi="Sylfaen" w:cs="Sylfaen"/>
                <w:sz w:val="16"/>
                <w:szCs w:val="16"/>
              </w:rPr>
            </w:pPr>
            <w:r w:rsidRPr="00D83000">
              <w:rPr>
                <w:rFonts w:ascii="Sylfaen" w:hAnsi="Sylfaen"/>
                <w:sz w:val="16"/>
                <w:szCs w:val="16"/>
              </w:rPr>
              <w:t>39</w:t>
            </w:r>
          </w:p>
        </w:tc>
        <w:tc>
          <w:tcPr>
            <w:tcW w:w="2288" w:type="dxa"/>
            <w:tcBorders>
              <w:top w:val="single" w:sz="4" w:space="0" w:color="auto"/>
              <w:left w:val="single" w:sz="4" w:space="0" w:color="auto"/>
            </w:tcBorders>
            <w:shd w:val="clear" w:color="auto" w:fill="FFFFFF"/>
            <w:vAlign w:val="center"/>
          </w:tcPr>
          <w:p w14:paraId="3E2D25BC"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FDH-39-G5-L/P-16/850</w:t>
            </w:r>
          </w:p>
        </w:tc>
        <w:tc>
          <w:tcPr>
            <w:tcW w:w="803" w:type="dxa"/>
            <w:tcBorders>
              <w:top w:val="single" w:sz="4" w:space="0" w:color="auto"/>
              <w:left w:val="single" w:sz="4" w:space="0" w:color="auto"/>
            </w:tcBorders>
            <w:shd w:val="clear" w:color="auto" w:fill="FFFFFF"/>
            <w:vAlign w:val="center"/>
          </w:tcPr>
          <w:p w14:paraId="650D6FF1"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4F8C57CD"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38</w:t>
            </w:r>
          </w:p>
        </w:tc>
        <w:tc>
          <w:tcPr>
            <w:tcW w:w="778" w:type="dxa"/>
            <w:tcBorders>
              <w:top w:val="single" w:sz="4" w:space="0" w:color="auto"/>
              <w:left w:val="single" w:sz="4" w:space="0" w:color="auto"/>
            </w:tcBorders>
            <w:shd w:val="clear" w:color="auto" w:fill="FFFFFF"/>
            <w:vAlign w:val="center"/>
          </w:tcPr>
          <w:p w14:paraId="561138DA"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91,0 %</w:t>
            </w:r>
          </w:p>
        </w:tc>
        <w:tc>
          <w:tcPr>
            <w:tcW w:w="773" w:type="dxa"/>
            <w:tcBorders>
              <w:top w:val="single" w:sz="4" w:space="0" w:color="auto"/>
              <w:left w:val="single" w:sz="4" w:space="0" w:color="auto"/>
            </w:tcBorders>
            <w:shd w:val="clear" w:color="auto" w:fill="FFFFFF"/>
            <w:vAlign w:val="center"/>
          </w:tcPr>
          <w:p w14:paraId="6DBED3D1"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88,4 %</w:t>
            </w:r>
          </w:p>
        </w:tc>
        <w:tc>
          <w:tcPr>
            <w:tcW w:w="773" w:type="dxa"/>
            <w:tcBorders>
              <w:top w:val="single" w:sz="4" w:space="0" w:color="auto"/>
              <w:left w:val="single" w:sz="4" w:space="0" w:color="auto"/>
            </w:tcBorders>
            <w:shd w:val="clear" w:color="auto" w:fill="FFFFFF"/>
            <w:vAlign w:val="center"/>
          </w:tcPr>
          <w:p w14:paraId="4CD0E3D9"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82,6 %</w:t>
            </w:r>
          </w:p>
        </w:tc>
        <w:tc>
          <w:tcPr>
            <w:tcW w:w="773" w:type="dxa"/>
            <w:tcBorders>
              <w:top w:val="single" w:sz="4" w:space="0" w:color="auto"/>
              <w:left w:val="single" w:sz="4" w:space="0" w:color="auto"/>
            </w:tcBorders>
            <w:shd w:val="clear" w:color="auto" w:fill="FFFFFF"/>
            <w:vAlign w:val="center"/>
          </w:tcPr>
          <w:p w14:paraId="04C1DD78"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1C59EBB5"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2DC52051"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60A95D0C"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center"/>
          </w:tcPr>
          <w:p w14:paraId="5C63727E" w14:textId="77777777" w:rsidR="00CA27E3" w:rsidRPr="00D83000" w:rsidRDefault="00CA27E3" w:rsidP="00696F04">
            <w:pPr>
              <w:pStyle w:val="a4"/>
              <w:shd w:val="clear" w:color="auto" w:fill="auto"/>
              <w:spacing w:after="60" w:line="240" w:lineRule="auto"/>
              <w:ind w:firstLine="300"/>
              <w:jc w:val="both"/>
              <w:rPr>
                <w:rFonts w:ascii="Sylfaen" w:hAnsi="Sylfaen" w:cs="Sylfaen"/>
                <w:sz w:val="16"/>
                <w:szCs w:val="16"/>
              </w:rPr>
            </w:pPr>
            <w:r w:rsidRPr="00D83000">
              <w:rPr>
                <w:rFonts w:ascii="Sylfaen" w:hAnsi="Sylfaen"/>
                <w:sz w:val="16"/>
                <w:szCs w:val="16"/>
              </w:rPr>
              <w:t>49</w:t>
            </w:r>
          </w:p>
        </w:tc>
        <w:tc>
          <w:tcPr>
            <w:tcW w:w="2288" w:type="dxa"/>
            <w:tcBorders>
              <w:top w:val="single" w:sz="4" w:space="0" w:color="auto"/>
              <w:left w:val="single" w:sz="4" w:space="0" w:color="auto"/>
            </w:tcBorders>
            <w:shd w:val="clear" w:color="auto" w:fill="FFFFFF"/>
            <w:vAlign w:val="bottom"/>
          </w:tcPr>
          <w:p w14:paraId="6E2C4382"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FDH-49-G5-L/P-</w:t>
            </w:r>
          </w:p>
          <w:p w14:paraId="3326B61B"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16/1450</w:t>
            </w:r>
          </w:p>
        </w:tc>
        <w:tc>
          <w:tcPr>
            <w:tcW w:w="803" w:type="dxa"/>
            <w:tcBorders>
              <w:top w:val="single" w:sz="4" w:space="0" w:color="auto"/>
              <w:left w:val="single" w:sz="4" w:space="0" w:color="auto"/>
            </w:tcBorders>
            <w:shd w:val="clear" w:color="auto" w:fill="FFFFFF"/>
            <w:vAlign w:val="center"/>
          </w:tcPr>
          <w:p w14:paraId="6F250897"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7AC78070"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49,3</w:t>
            </w:r>
          </w:p>
        </w:tc>
        <w:tc>
          <w:tcPr>
            <w:tcW w:w="778" w:type="dxa"/>
            <w:tcBorders>
              <w:top w:val="single" w:sz="4" w:space="0" w:color="auto"/>
              <w:left w:val="single" w:sz="4" w:space="0" w:color="auto"/>
            </w:tcBorders>
            <w:shd w:val="clear" w:color="auto" w:fill="FFFFFF"/>
            <w:vAlign w:val="center"/>
          </w:tcPr>
          <w:p w14:paraId="529744FE"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91,6 %</w:t>
            </w:r>
          </w:p>
        </w:tc>
        <w:tc>
          <w:tcPr>
            <w:tcW w:w="773" w:type="dxa"/>
            <w:tcBorders>
              <w:top w:val="single" w:sz="4" w:space="0" w:color="auto"/>
              <w:left w:val="single" w:sz="4" w:space="0" w:color="auto"/>
            </w:tcBorders>
            <w:shd w:val="clear" w:color="auto" w:fill="FFFFFF"/>
            <w:vAlign w:val="center"/>
          </w:tcPr>
          <w:p w14:paraId="103EAB4E"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89,2 %</w:t>
            </w:r>
          </w:p>
        </w:tc>
        <w:tc>
          <w:tcPr>
            <w:tcW w:w="773" w:type="dxa"/>
            <w:tcBorders>
              <w:top w:val="single" w:sz="4" w:space="0" w:color="auto"/>
              <w:left w:val="single" w:sz="4" w:space="0" w:color="auto"/>
            </w:tcBorders>
            <w:shd w:val="clear" w:color="auto" w:fill="FFFFFF"/>
            <w:vAlign w:val="center"/>
          </w:tcPr>
          <w:p w14:paraId="4F3E7972"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84,6 %</w:t>
            </w:r>
          </w:p>
        </w:tc>
        <w:tc>
          <w:tcPr>
            <w:tcW w:w="773" w:type="dxa"/>
            <w:tcBorders>
              <w:top w:val="single" w:sz="4" w:space="0" w:color="auto"/>
              <w:left w:val="single" w:sz="4" w:space="0" w:color="auto"/>
            </w:tcBorders>
            <w:shd w:val="clear" w:color="auto" w:fill="FFFFFF"/>
            <w:vAlign w:val="center"/>
          </w:tcPr>
          <w:p w14:paraId="2AC5E767"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054B1DDB"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33DCBE7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E75A162"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center"/>
          </w:tcPr>
          <w:p w14:paraId="01BD2444" w14:textId="77777777" w:rsidR="00CA27E3" w:rsidRPr="00D83000" w:rsidRDefault="00CA27E3" w:rsidP="00696F04">
            <w:pPr>
              <w:pStyle w:val="a4"/>
              <w:shd w:val="clear" w:color="auto" w:fill="auto"/>
              <w:spacing w:after="60" w:line="240" w:lineRule="auto"/>
              <w:ind w:firstLine="300"/>
              <w:jc w:val="both"/>
              <w:rPr>
                <w:rFonts w:ascii="Sylfaen" w:hAnsi="Sylfaen" w:cs="Sylfaen"/>
                <w:sz w:val="16"/>
                <w:szCs w:val="16"/>
              </w:rPr>
            </w:pPr>
            <w:r w:rsidRPr="00D83000">
              <w:rPr>
                <w:rFonts w:ascii="Sylfaen" w:hAnsi="Sylfaen"/>
                <w:sz w:val="16"/>
                <w:szCs w:val="16"/>
              </w:rPr>
              <w:t>54</w:t>
            </w:r>
          </w:p>
        </w:tc>
        <w:tc>
          <w:tcPr>
            <w:tcW w:w="2288" w:type="dxa"/>
            <w:tcBorders>
              <w:top w:val="single" w:sz="4" w:space="0" w:color="auto"/>
              <w:left w:val="single" w:sz="4" w:space="0" w:color="auto"/>
            </w:tcBorders>
            <w:shd w:val="clear" w:color="auto" w:fill="FFFFFF"/>
            <w:vAlign w:val="bottom"/>
          </w:tcPr>
          <w:p w14:paraId="5024FB53"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FDH-54-G5-L/P-</w:t>
            </w:r>
          </w:p>
          <w:p w14:paraId="35CA88F4"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16/1150</w:t>
            </w:r>
          </w:p>
        </w:tc>
        <w:tc>
          <w:tcPr>
            <w:tcW w:w="803" w:type="dxa"/>
            <w:tcBorders>
              <w:top w:val="single" w:sz="4" w:space="0" w:color="auto"/>
              <w:left w:val="single" w:sz="4" w:space="0" w:color="auto"/>
            </w:tcBorders>
            <w:shd w:val="clear" w:color="auto" w:fill="FFFFFF"/>
            <w:vAlign w:val="center"/>
          </w:tcPr>
          <w:p w14:paraId="35F4D567"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0CABA551"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53,8</w:t>
            </w:r>
          </w:p>
        </w:tc>
        <w:tc>
          <w:tcPr>
            <w:tcW w:w="778" w:type="dxa"/>
            <w:tcBorders>
              <w:top w:val="single" w:sz="4" w:space="0" w:color="auto"/>
              <w:left w:val="single" w:sz="4" w:space="0" w:color="auto"/>
            </w:tcBorders>
            <w:shd w:val="clear" w:color="auto" w:fill="FFFFFF"/>
            <w:vAlign w:val="center"/>
          </w:tcPr>
          <w:p w14:paraId="2FF1C02F"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92,0 %</w:t>
            </w:r>
          </w:p>
        </w:tc>
        <w:tc>
          <w:tcPr>
            <w:tcW w:w="773" w:type="dxa"/>
            <w:tcBorders>
              <w:top w:val="single" w:sz="4" w:space="0" w:color="auto"/>
              <w:left w:val="single" w:sz="4" w:space="0" w:color="auto"/>
            </w:tcBorders>
            <w:shd w:val="clear" w:color="auto" w:fill="FFFFFF"/>
            <w:vAlign w:val="center"/>
          </w:tcPr>
          <w:p w14:paraId="6866A7E9"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89,7 %</w:t>
            </w:r>
          </w:p>
        </w:tc>
        <w:tc>
          <w:tcPr>
            <w:tcW w:w="773" w:type="dxa"/>
            <w:tcBorders>
              <w:top w:val="single" w:sz="4" w:space="0" w:color="auto"/>
              <w:left w:val="single" w:sz="4" w:space="0" w:color="auto"/>
            </w:tcBorders>
            <w:shd w:val="clear" w:color="auto" w:fill="FFFFFF"/>
            <w:vAlign w:val="center"/>
          </w:tcPr>
          <w:p w14:paraId="45447182"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85,4 %</w:t>
            </w:r>
          </w:p>
        </w:tc>
        <w:tc>
          <w:tcPr>
            <w:tcW w:w="773" w:type="dxa"/>
            <w:tcBorders>
              <w:top w:val="single" w:sz="4" w:space="0" w:color="auto"/>
              <w:left w:val="single" w:sz="4" w:space="0" w:color="auto"/>
            </w:tcBorders>
            <w:shd w:val="clear" w:color="auto" w:fill="FFFFFF"/>
            <w:vAlign w:val="center"/>
          </w:tcPr>
          <w:p w14:paraId="6DC35639"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79CFCC47"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5C79B1DD"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684EDF9"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bottom"/>
          </w:tcPr>
          <w:p w14:paraId="24AA2926" w14:textId="77777777" w:rsidR="00CA27E3" w:rsidRPr="00D83000" w:rsidRDefault="00CA27E3" w:rsidP="00696F04">
            <w:pPr>
              <w:pStyle w:val="a4"/>
              <w:shd w:val="clear" w:color="auto" w:fill="auto"/>
              <w:spacing w:after="60" w:line="240" w:lineRule="auto"/>
              <w:ind w:firstLine="300"/>
              <w:jc w:val="both"/>
              <w:rPr>
                <w:rFonts w:ascii="Sylfaen" w:hAnsi="Sylfaen" w:cs="Sylfaen"/>
                <w:sz w:val="16"/>
                <w:szCs w:val="16"/>
              </w:rPr>
            </w:pPr>
            <w:r w:rsidRPr="00D83000">
              <w:rPr>
                <w:rFonts w:ascii="Sylfaen" w:hAnsi="Sylfaen"/>
                <w:sz w:val="16"/>
                <w:szCs w:val="16"/>
              </w:rPr>
              <w:t>80</w:t>
            </w:r>
          </w:p>
        </w:tc>
        <w:tc>
          <w:tcPr>
            <w:tcW w:w="2288" w:type="dxa"/>
            <w:tcBorders>
              <w:top w:val="single" w:sz="4" w:space="0" w:color="auto"/>
              <w:left w:val="single" w:sz="4" w:space="0" w:color="auto"/>
            </w:tcBorders>
            <w:shd w:val="clear" w:color="auto" w:fill="FFFFFF"/>
            <w:vAlign w:val="bottom"/>
          </w:tcPr>
          <w:p w14:paraId="2EF9596B"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FDH-80-G5-L/P-</w:t>
            </w:r>
          </w:p>
          <w:p w14:paraId="2EE823B5" w14:textId="77777777" w:rsidR="00CA27E3" w:rsidRPr="00D83000" w:rsidRDefault="00CA27E3" w:rsidP="00696F04">
            <w:pPr>
              <w:pStyle w:val="a4"/>
              <w:shd w:val="clear" w:color="auto" w:fill="auto"/>
              <w:spacing w:after="60" w:line="240" w:lineRule="auto"/>
              <w:ind w:firstLine="0"/>
              <w:rPr>
                <w:rFonts w:ascii="Sylfaen" w:hAnsi="Sylfaen" w:cs="Sylfaen"/>
                <w:sz w:val="16"/>
                <w:szCs w:val="16"/>
              </w:rPr>
            </w:pPr>
            <w:r w:rsidRPr="00D83000">
              <w:rPr>
                <w:rFonts w:ascii="Sylfaen" w:hAnsi="Sylfaen"/>
                <w:sz w:val="16"/>
                <w:szCs w:val="16"/>
              </w:rPr>
              <w:t>16/1150</w:t>
            </w:r>
          </w:p>
        </w:tc>
        <w:tc>
          <w:tcPr>
            <w:tcW w:w="803" w:type="dxa"/>
            <w:tcBorders>
              <w:top w:val="single" w:sz="4" w:space="0" w:color="auto"/>
              <w:left w:val="single" w:sz="4" w:space="0" w:color="auto"/>
            </w:tcBorders>
            <w:shd w:val="clear" w:color="auto" w:fill="FFFFFF"/>
            <w:vAlign w:val="center"/>
          </w:tcPr>
          <w:p w14:paraId="1AAE9552"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36A337F7"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80</w:t>
            </w:r>
          </w:p>
        </w:tc>
        <w:tc>
          <w:tcPr>
            <w:tcW w:w="778" w:type="dxa"/>
            <w:tcBorders>
              <w:top w:val="single" w:sz="4" w:space="0" w:color="auto"/>
              <w:left w:val="single" w:sz="4" w:space="0" w:color="auto"/>
            </w:tcBorders>
            <w:shd w:val="clear" w:color="auto" w:fill="FFFFFF"/>
            <w:vAlign w:val="center"/>
          </w:tcPr>
          <w:p w14:paraId="2EA6DC04"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93,0 %</w:t>
            </w:r>
          </w:p>
        </w:tc>
        <w:tc>
          <w:tcPr>
            <w:tcW w:w="773" w:type="dxa"/>
            <w:tcBorders>
              <w:top w:val="single" w:sz="4" w:space="0" w:color="auto"/>
              <w:left w:val="single" w:sz="4" w:space="0" w:color="auto"/>
            </w:tcBorders>
            <w:shd w:val="clear" w:color="auto" w:fill="FFFFFF"/>
            <w:vAlign w:val="center"/>
          </w:tcPr>
          <w:p w14:paraId="525364C3"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90,9 %</w:t>
            </w:r>
          </w:p>
        </w:tc>
        <w:tc>
          <w:tcPr>
            <w:tcW w:w="773" w:type="dxa"/>
            <w:tcBorders>
              <w:top w:val="single" w:sz="4" w:space="0" w:color="auto"/>
              <w:left w:val="single" w:sz="4" w:space="0" w:color="auto"/>
            </w:tcBorders>
            <w:shd w:val="clear" w:color="auto" w:fill="FFFFFF"/>
            <w:vAlign w:val="center"/>
          </w:tcPr>
          <w:p w14:paraId="644D687A" w14:textId="77777777" w:rsidR="00CA27E3" w:rsidRPr="00D83000" w:rsidRDefault="00CA27E3" w:rsidP="00696F04">
            <w:pPr>
              <w:pStyle w:val="a4"/>
              <w:shd w:val="clear" w:color="auto" w:fill="auto"/>
              <w:spacing w:after="60" w:line="240" w:lineRule="auto"/>
              <w:ind w:firstLine="0"/>
              <w:jc w:val="center"/>
              <w:rPr>
                <w:rFonts w:ascii="Sylfaen" w:hAnsi="Sylfaen" w:cs="Sylfaen"/>
                <w:sz w:val="16"/>
                <w:szCs w:val="16"/>
              </w:rPr>
            </w:pPr>
            <w:r w:rsidRPr="00D83000">
              <w:rPr>
                <w:rFonts w:ascii="Sylfaen" w:hAnsi="Sylfaen"/>
                <w:sz w:val="16"/>
                <w:szCs w:val="16"/>
              </w:rPr>
              <w:t>87,0 %</w:t>
            </w:r>
          </w:p>
        </w:tc>
        <w:tc>
          <w:tcPr>
            <w:tcW w:w="773" w:type="dxa"/>
            <w:tcBorders>
              <w:top w:val="single" w:sz="4" w:space="0" w:color="auto"/>
              <w:left w:val="single" w:sz="4" w:space="0" w:color="auto"/>
            </w:tcBorders>
            <w:shd w:val="clear" w:color="auto" w:fill="FFFFFF"/>
            <w:vAlign w:val="center"/>
          </w:tcPr>
          <w:p w14:paraId="08ADEFC8"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13D48EDF" w14:textId="77777777" w:rsidR="00CA27E3" w:rsidRPr="00D83000" w:rsidRDefault="00CA27E3" w:rsidP="00696F04">
            <w:pPr>
              <w:pStyle w:val="a4"/>
              <w:shd w:val="clear" w:color="auto" w:fill="auto"/>
              <w:spacing w:after="6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616A12D9"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43A9559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T5-E</w:t>
            </w:r>
          </w:p>
        </w:tc>
        <w:tc>
          <w:tcPr>
            <w:tcW w:w="1177" w:type="dxa"/>
            <w:tcBorders>
              <w:top w:val="single" w:sz="4" w:space="0" w:color="auto"/>
              <w:left w:val="single" w:sz="4" w:space="0" w:color="auto"/>
            </w:tcBorders>
            <w:shd w:val="clear" w:color="auto" w:fill="FFFFFF"/>
            <w:vAlign w:val="center"/>
          </w:tcPr>
          <w:p w14:paraId="524611D8"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95</w:t>
            </w:r>
          </w:p>
        </w:tc>
        <w:tc>
          <w:tcPr>
            <w:tcW w:w="2288" w:type="dxa"/>
            <w:tcBorders>
              <w:top w:val="single" w:sz="4" w:space="0" w:color="auto"/>
              <w:left w:val="single" w:sz="4" w:space="0" w:color="auto"/>
            </w:tcBorders>
            <w:shd w:val="clear" w:color="auto" w:fill="FFFFFF"/>
            <w:vAlign w:val="bottom"/>
          </w:tcPr>
          <w:p w14:paraId="652772F1"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FDH-95-G5-L/P-</w:t>
            </w:r>
          </w:p>
          <w:p w14:paraId="357181D6"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16/1150</w:t>
            </w:r>
          </w:p>
        </w:tc>
        <w:tc>
          <w:tcPr>
            <w:tcW w:w="803" w:type="dxa"/>
            <w:tcBorders>
              <w:top w:val="single" w:sz="4" w:space="0" w:color="auto"/>
              <w:left w:val="single" w:sz="4" w:space="0" w:color="auto"/>
            </w:tcBorders>
            <w:shd w:val="clear" w:color="auto" w:fill="FFFFFF"/>
            <w:vAlign w:val="center"/>
          </w:tcPr>
          <w:p w14:paraId="5E8EB30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2375F30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95</w:t>
            </w:r>
          </w:p>
        </w:tc>
        <w:tc>
          <w:tcPr>
            <w:tcW w:w="778" w:type="dxa"/>
            <w:tcBorders>
              <w:top w:val="single" w:sz="4" w:space="0" w:color="auto"/>
              <w:left w:val="single" w:sz="4" w:space="0" w:color="auto"/>
            </w:tcBorders>
            <w:shd w:val="clear" w:color="auto" w:fill="FFFFFF"/>
            <w:vAlign w:val="center"/>
          </w:tcPr>
          <w:p w14:paraId="7EF9EA5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92,7 %</w:t>
            </w:r>
          </w:p>
        </w:tc>
        <w:tc>
          <w:tcPr>
            <w:tcW w:w="773" w:type="dxa"/>
            <w:tcBorders>
              <w:top w:val="single" w:sz="4" w:space="0" w:color="auto"/>
              <w:left w:val="single" w:sz="4" w:space="0" w:color="auto"/>
            </w:tcBorders>
            <w:shd w:val="clear" w:color="auto" w:fill="FFFFFF"/>
            <w:vAlign w:val="center"/>
          </w:tcPr>
          <w:p w14:paraId="54A0541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90,5 %</w:t>
            </w:r>
          </w:p>
        </w:tc>
        <w:tc>
          <w:tcPr>
            <w:tcW w:w="773" w:type="dxa"/>
            <w:tcBorders>
              <w:top w:val="single" w:sz="4" w:space="0" w:color="auto"/>
              <w:left w:val="single" w:sz="4" w:space="0" w:color="auto"/>
            </w:tcBorders>
            <w:shd w:val="clear" w:color="auto" w:fill="FFFFFF"/>
            <w:vAlign w:val="center"/>
          </w:tcPr>
          <w:p w14:paraId="25C7B91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84,1 %</w:t>
            </w:r>
          </w:p>
        </w:tc>
        <w:tc>
          <w:tcPr>
            <w:tcW w:w="773" w:type="dxa"/>
            <w:tcBorders>
              <w:top w:val="single" w:sz="4" w:space="0" w:color="auto"/>
              <w:left w:val="single" w:sz="4" w:space="0" w:color="auto"/>
            </w:tcBorders>
            <w:shd w:val="clear" w:color="auto" w:fill="FFFFFF"/>
            <w:vAlign w:val="center"/>
          </w:tcPr>
          <w:p w14:paraId="7A13CDE3"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64CE8250"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7AF8AE84"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D61FC3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lastRenderedPageBreak/>
              <w:t>T5-E</w:t>
            </w:r>
          </w:p>
        </w:tc>
        <w:tc>
          <w:tcPr>
            <w:tcW w:w="1177" w:type="dxa"/>
            <w:tcBorders>
              <w:top w:val="single" w:sz="4" w:space="0" w:color="auto"/>
              <w:left w:val="single" w:sz="4" w:space="0" w:color="auto"/>
            </w:tcBorders>
            <w:shd w:val="clear" w:color="auto" w:fill="FFFFFF"/>
            <w:vAlign w:val="center"/>
          </w:tcPr>
          <w:p w14:paraId="73161E66"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120</w:t>
            </w:r>
          </w:p>
        </w:tc>
        <w:tc>
          <w:tcPr>
            <w:tcW w:w="2288" w:type="dxa"/>
            <w:tcBorders>
              <w:top w:val="single" w:sz="4" w:space="0" w:color="auto"/>
              <w:left w:val="single" w:sz="4" w:space="0" w:color="auto"/>
            </w:tcBorders>
            <w:shd w:val="clear" w:color="auto" w:fill="FFFFFF"/>
          </w:tcPr>
          <w:p w14:paraId="32992D63"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FDH-120-G5-L/P-</w:t>
            </w:r>
          </w:p>
          <w:p w14:paraId="396EEC08"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16/1450</w:t>
            </w:r>
          </w:p>
        </w:tc>
        <w:tc>
          <w:tcPr>
            <w:tcW w:w="803" w:type="dxa"/>
            <w:tcBorders>
              <w:top w:val="single" w:sz="4" w:space="0" w:color="auto"/>
              <w:left w:val="single" w:sz="4" w:space="0" w:color="auto"/>
            </w:tcBorders>
            <w:shd w:val="clear" w:color="auto" w:fill="FFFFFF"/>
            <w:vAlign w:val="center"/>
          </w:tcPr>
          <w:p w14:paraId="6F61CA2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1595B69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120</w:t>
            </w:r>
          </w:p>
        </w:tc>
        <w:tc>
          <w:tcPr>
            <w:tcW w:w="778" w:type="dxa"/>
            <w:tcBorders>
              <w:top w:val="single" w:sz="4" w:space="0" w:color="auto"/>
              <w:left w:val="single" w:sz="4" w:space="0" w:color="auto"/>
            </w:tcBorders>
            <w:shd w:val="clear" w:color="auto" w:fill="FFFFFF"/>
            <w:vAlign w:val="center"/>
          </w:tcPr>
          <w:p w14:paraId="2B8B09D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92,5 %</w:t>
            </w:r>
          </w:p>
        </w:tc>
        <w:tc>
          <w:tcPr>
            <w:tcW w:w="773" w:type="dxa"/>
            <w:tcBorders>
              <w:top w:val="single" w:sz="4" w:space="0" w:color="auto"/>
              <w:left w:val="single" w:sz="4" w:space="0" w:color="auto"/>
            </w:tcBorders>
            <w:shd w:val="clear" w:color="auto" w:fill="FFFFFF"/>
            <w:vAlign w:val="center"/>
          </w:tcPr>
          <w:p w14:paraId="1005330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90,2 %</w:t>
            </w:r>
          </w:p>
        </w:tc>
        <w:tc>
          <w:tcPr>
            <w:tcW w:w="773" w:type="dxa"/>
            <w:tcBorders>
              <w:top w:val="single" w:sz="4" w:space="0" w:color="auto"/>
              <w:left w:val="single" w:sz="4" w:space="0" w:color="auto"/>
            </w:tcBorders>
            <w:shd w:val="clear" w:color="auto" w:fill="FFFFFF"/>
            <w:vAlign w:val="center"/>
          </w:tcPr>
          <w:p w14:paraId="3284718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84,5 %</w:t>
            </w:r>
          </w:p>
        </w:tc>
        <w:tc>
          <w:tcPr>
            <w:tcW w:w="773" w:type="dxa"/>
            <w:tcBorders>
              <w:top w:val="single" w:sz="4" w:space="0" w:color="auto"/>
              <w:left w:val="single" w:sz="4" w:space="0" w:color="auto"/>
            </w:tcBorders>
            <w:shd w:val="clear" w:color="auto" w:fill="FFFFFF"/>
            <w:vAlign w:val="center"/>
          </w:tcPr>
          <w:p w14:paraId="1E045942"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27E0ED34"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24C5A916"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14BFAD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T5-C</w:t>
            </w:r>
          </w:p>
        </w:tc>
        <w:tc>
          <w:tcPr>
            <w:tcW w:w="1177" w:type="dxa"/>
            <w:tcBorders>
              <w:top w:val="single" w:sz="4" w:space="0" w:color="auto"/>
              <w:left w:val="single" w:sz="4" w:space="0" w:color="auto"/>
            </w:tcBorders>
            <w:shd w:val="clear" w:color="auto" w:fill="FFFFFF"/>
            <w:vAlign w:val="bottom"/>
          </w:tcPr>
          <w:p w14:paraId="4AE39BF8"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22</w:t>
            </w:r>
          </w:p>
        </w:tc>
        <w:tc>
          <w:tcPr>
            <w:tcW w:w="2288" w:type="dxa"/>
            <w:tcBorders>
              <w:top w:val="single" w:sz="4" w:space="0" w:color="auto"/>
              <w:left w:val="single" w:sz="4" w:space="0" w:color="auto"/>
            </w:tcBorders>
            <w:shd w:val="clear" w:color="auto" w:fill="FFFFFF"/>
          </w:tcPr>
          <w:p w14:paraId="18E34EF7"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FSCH-22-L/P-2GX13-</w:t>
            </w:r>
          </w:p>
          <w:p w14:paraId="6359135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16/225</w:t>
            </w:r>
          </w:p>
        </w:tc>
        <w:tc>
          <w:tcPr>
            <w:tcW w:w="803" w:type="dxa"/>
            <w:tcBorders>
              <w:top w:val="single" w:sz="4" w:space="0" w:color="auto"/>
              <w:left w:val="single" w:sz="4" w:space="0" w:color="auto"/>
            </w:tcBorders>
            <w:shd w:val="clear" w:color="auto" w:fill="FFFFFF"/>
            <w:vAlign w:val="center"/>
          </w:tcPr>
          <w:p w14:paraId="6B48315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4B98F78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22,3</w:t>
            </w:r>
          </w:p>
        </w:tc>
        <w:tc>
          <w:tcPr>
            <w:tcW w:w="778" w:type="dxa"/>
            <w:tcBorders>
              <w:top w:val="single" w:sz="4" w:space="0" w:color="auto"/>
              <w:left w:val="single" w:sz="4" w:space="0" w:color="auto"/>
            </w:tcBorders>
            <w:shd w:val="clear" w:color="auto" w:fill="FFFFFF"/>
            <w:vAlign w:val="center"/>
          </w:tcPr>
          <w:p w14:paraId="465C965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88,1 %</w:t>
            </w:r>
          </w:p>
        </w:tc>
        <w:tc>
          <w:tcPr>
            <w:tcW w:w="773" w:type="dxa"/>
            <w:tcBorders>
              <w:top w:val="single" w:sz="4" w:space="0" w:color="auto"/>
              <w:left w:val="single" w:sz="4" w:space="0" w:color="auto"/>
            </w:tcBorders>
            <w:shd w:val="clear" w:color="auto" w:fill="FFFFFF"/>
            <w:vAlign w:val="center"/>
          </w:tcPr>
          <w:p w14:paraId="6900461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84,8 %</w:t>
            </w:r>
          </w:p>
        </w:tc>
        <w:tc>
          <w:tcPr>
            <w:tcW w:w="773" w:type="dxa"/>
            <w:tcBorders>
              <w:top w:val="single" w:sz="4" w:space="0" w:color="auto"/>
              <w:left w:val="single" w:sz="4" w:space="0" w:color="auto"/>
            </w:tcBorders>
            <w:shd w:val="clear" w:color="auto" w:fill="FFFFFF"/>
            <w:vAlign w:val="center"/>
          </w:tcPr>
          <w:p w14:paraId="4A8DF34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78,8 %</w:t>
            </w:r>
          </w:p>
        </w:tc>
        <w:tc>
          <w:tcPr>
            <w:tcW w:w="773" w:type="dxa"/>
            <w:tcBorders>
              <w:top w:val="single" w:sz="4" w:space="0" w:color="auto"/>
              <w:left w:val="single" w:sz="4" w:space="0" w:color="auto"/>
            </w:tcBorders>
            <w:shd w:val="clear" w:color="auto" w:fill="FFFFFF"/>
            <w:vAlign w:val="center"/>
          </w:tcPr>
          <w:p w14:paraId="42BB3F4A"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2477D8D2"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49F5CDE3"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4DF47EB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T5-C</w:t>
            </w:r>
          </w:p>
        </w:tc>
        <w:tc>
          <w:tcPr>
            <w:tcW w:w="1177" w:type="dxa"/>
            <w:tcBorders>
              <w:top w:val="single" w:sz="4" w:space="0" w:color="auto"/>
              <w:left w:val="single" w:sz="4" w:space="0" w:color="auto"/>
            </w:tcBorders>
            <w:shd w:val="clear" w:color="auto" w:fill="FFFFFF"/>
            <w:vAlign w:val="center"/>
          </w:tcPr>
          <w:p w14:paraId="37AD3401"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40</w:t>
            </w:r>
          </w:p>
        </w:tc>
        <w:tc>
          <w:tcPr>
            <w:tcW w:w="2288" w:type="dxa"/>
            <w:tcBorders>
              <w:top w:val="single" w:sz="4" w:space="0" w:color="auto"/>
              <w:left w:val="single" w:sz="4" w:space="0" w:color="auto"/>
            </w:tcBorders>
            <w:shd w:val="clear" w:color="auto" w:fill="FFFFFF"/>
          </w:tcPr>
          <w:p w14:paraId="0AB0CCD4"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FSCH-40-L/P-2GX13-</w:t>
            </w:r>
          </w:p>
          <w:p w14:paraId="3BAE98EA"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16/300</w:t>
            </w:r>
          </w:p>
        </w:tc>
        <w:tc>
          <w:tcPr>
            <w:tcW w:w="803" w:type="dxa"/>
            <w:tcBorders>
              <w:top w:val="single" w:sz="4" w:space="0" w:color="auto"/>
              <w:left w:val="single" w:sz="4" w:space="0" w:color="auto"/>
            </w:tcBorders>
            <w:shd w:val="clear" w:color="auto" w:fill="FFFFFF"/>
            <w:vAlign w:val="center"/>
          </w:tcPr>
          <w:p w14:paraId="342D0FD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3FC4915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39,9</w:t>
            </w:r>
          </w:p>
        </w:tc>
        <w:tc>
          <w:tcPr>
            <w:tcW w:w="778" w:type="dxa"/>
            <w:tcBorders>
              <w:top w:val="single" w:sz="4" w:space="0" w:color="auto"/>
              <w:left w:val="single" w:sz="4" w:space="0" w:color="auto"/>
            </w:tcBorders>
            <w:shd w:val="clear" w:color="auto" w:fill="FFFFFF"/>
            <w:vAlign w:val="center"/>
          </w:tcPr>
          <w:p w14:paraId="73090E0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3D6BDE5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6E3D614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83,3 %</w:t>
            </w:r>
          </w:p>
        </w:tc>
        <w:tc>
          <w:tcPr>
            <w:tcW w:w="773" w:type="dxa"/>
            <w:tcBorders>
              <w:top w:val="single" w:sz="4" w:space="0" w:color="auto"/>
              <w:left w:val="single" w:sz="4" w:space="0" w:color="auto"/>
            </w:tcBorders>
            <w:shd w:val="clear" w:color="auto" w:fill="FFFFFF"/>
            <w:vAlign w:val="center"/>
          </w:tcPr>
          <w:p w14:paraId="43C9F168"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353EEC23"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47389A2B"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5E848C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T5-C</w:t>
            </w:r>
          </w:p>
        </w:tc>
        <w:tc>
          <w:tcPr>
            <w:tcW w:w="1177" w:type="dxa"/>
            <w:tcBorders>
              <w:top w:val="single" w:sz="4" w:space="0" w:color="auto"/>
              <w:left w:val="single" w:sz="4" w:space="0" w:color="auto"/>
            </w:tcBorders>
            <w:shd w:val="clear" w:color="auto" w:fill="FFFFFF"/>
            <w:vAlign w:val="center"/>
          </w:tcPr>
          <w:p w14:paraId="6B3C7618"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55</w:t>
            </w:r>
          </w:p>
        </w:tc>
        <w:tc>
          <w:tcPr>
            <w:tcW w:w="2288" w:type="dxa"/>
            <w:tcBorders>
              <w:top w:val="single" w:sz="4" w:space="0" w:color="auto"/>
              <w:left w:val="single" w:sz="4" w:space="0" w:color="auto"/>
            </w:tcBorders>
            <w:shd w:val="clear" w:color="auto" w:fill="FFFFFF"/>
          </w:tcPr>
          <w:p w14:paraId="098B7055"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FSCH-55-L/P-2GX13-</w:t>
            </w:r>
          </w:p>
          <w:p w14:paraId="456118DD"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16/300</w:t>
            </w:r>
          </w:p>
        </w:tc>
        <w:tc>
          <w:tcPr>
            <w:tcW w:w="803" w:type="dxa"/>
            <w:tcBorders>
              <w:top w:val="single" w:sz="4" w:space="0" w:color="auto"/>
              <w:left w:val="single" w:sz="4" w:space="0" w:color="auto"/>
            </w:tcBorders>
            <w:shd w:val="clear" w:color="auto" w:fill="FFFFFF"/>
            <w:vAlign w:val="center"/>
          </w:tcPr>
          <w:p w14:paraId="3903A1A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5B5DC64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55</w:t>
            </w:r>
          </w:p>
        </w:tc>
        <w:tc>
          <w:tcPr>
            <w:tcW w:w="778" w:type="dxa"/>
            <w:tcBorders>
              <w:top w:val="single" w:sz="4" w:space="0" w:color="auto"/>
              <w:left w:val="single" w:sz="4" w:space="0" w:color="auto"/>
            </w:tcBorders>
            <w:shd w:val="clear" w:color="auto" w:fill="FFFFFF"/>
            <w:vAlign w:val="center"/>
          </w:tcPr>
          <w:p w14:paraId="378BA11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92,4 %</w:t>
            </w:r>
          </w:p>
        </w:tc>
        <w:tc>
          <w:tcPr>
            <w:tcW w:w="773" w:type="dxa"/>
            <w:tcBorders>
              <w:top w:val="single" w:sz="4" w:space="0" w:color="auto"/>
              <w:left w:val="single" w:sz="4" w:space="0" w:color="auto"/>
            </w:tcBorders>
            <w:shd w:val="clear" w:color="auto" w:fill="FFFFFF"/>
            <w:vAlign w:val="center"/>
          </w:tcPr>
          <w:p w14:paraId="02B0351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90,2 %</w:t>
            </w:r>
          </w:p>
        </w:tc>
        <w:tc>
          <w:tcPr>
            <w:tcW w:w="773" w:type="dxa"/>
            <w:tcBorders>
              <w:top w:val="single" w:sz="4" w:space="0" w:color="auto"/>
              <w:left w:val="single" w:sz="4" w:space="0" w:color="auto"/>
            </w:tcBorders>
            <w:shd w:val="clear" w:color="auto" w:fill="FFFFFF"/>
            <w:vAlign w:val="center"/>
          </w:tcPr>
          <w:p w14:paraId="3CF19A9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84,6 %</w:t>
            </w:r>
          </w:p>
        </w:tc>
        <w:tc>
          <w:tcPr>
            <w:tcW w:w="773" w:type="dxa"/>
            <w:tcBorders>
              <w:top w:val="single" w:sz="4" w:space="0" w:color="auto"/>
              <w:left w:val="single" w:sz="4" w:space="0" w:color="auto"/>
            </w:tcBorders>
            <w:shd w:val="clear" w:color="auto" w:fill="FFFFFF"/>
            <w:vAlign w:val="center"/>
          </w:tcPr>
          <w:p w14:paraId="1BC511B1"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72447490"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6908F035"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617F462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T5-C</w:t>
            </w:r>
          </w:p>
        </w:tc>
        <w:tc>
          <w:tcPr>
            <w:tcW w:w="1177" w:type="dxa"/>
            <w:tcBorders>
              <w:top w:val="single" w:sz="4" w:space="0" w:color="auto"/>
              <w:left w:val="single" w:sz="4" w:space="0" w:color="auto"/>
            </w:tcBorders>
            <w:shd w:val="clear" w:color="auto" w:fill="FFFFFF"/>
            <w:vAlign w:val="center"/>
          </w:tcPr>
          <w:p w14:paraId="6AB31A89"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60</w:t>
            </w:r>
          </w:p>
        </w:tc>
        <w:tc>
          <w:tcPr>
            <w:tcW w:w="2288" w:type="dxa"/>
            <w:tcBorders>
              <w:top w:val="single" w:sz="4" w:space="0" w:color="auto"/>
              <w:left w:val="single" w:sz="4" w:space="0" w:color="auto"/>
            </w:tcBorders>
            <w:shd w:val="clear" w:color="auto" w:fill="FFFFFF"/>
          </w:tcPr>
          <w:p w14:paraId="740DE7D6"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FSCH-60-L/P-2GX13-</w:t>
            </w:r>
          </w:p>
          <w:p w14:paraId="5483F66D"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16/375</w:t>
            </w:r>
          </w:p>
        </w:tc>
        <w:tc>
          <w:tcPr>
            <w:tcW w:w="803" w:type="dxa"/>
            <w:tcBorders>
              <w:top w:val="single" w:sz="4" w:space="0" w:color="auto"/>
              <w:left w:val="single" w:sz="4" w:space="0" w:color="auto"/>
            </w:tcBorders>
            <w:shd w:val="clear" w:color="auto" w:fill="FFFFFF"/>
            <w:vAlign w:val="center"/>
          </w:tcPr>
          <w:p w14:paraId="65918CD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1BD4D46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60</w:t>
            </w:r>
          </w:p>
        </w:tc>
        <w:tc>
          <w:tcPr>
            <w:tcW w:w="778" w:type="dxa"/>
            <w:tcBorders>
              <w:top w:val="single" w:sz="4" w:space="0" w:color="auto"/>
              <w:left w:val="single" w:sz="4" w:space="0" w:color="auto"/>
            </w:tcBorders>
            <w:shd w:val="clear" w:color="auto" w:fill="FFFFFF"/>
            <w:vAlign w:val="center"/>
          </w:tcPr>
          <w:p w14:paraId="4EE4FAA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93,0 %</w:t>
            </w:r>
          </w:p>
        </w:tc>
        <w:tc>
          <w:tcPr>
            <w:tcW w:w="773" w:type="dxa"/>
            <w:tcBorders>
              <w:top w:val="single" w:sz="4" w:space="0" w:color="auto"/>
              <w:left w:val="single" w:sz="4" w:space="0" w:color="auto"/>
            </w:tcBorders>
            <w:shd w:val="clear" w:color="auto" w:fill="FFFFFF"/>
            <w:vAlign w:val="center"/>
          </w:tcPr>
          <w:p w14:paraId="4171FD2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90,9 %</w:t>
            </w:r>
          </w:p>
        </w:tc>
        <w:tc>
          <w:tcPr>
            <w:tcW w:w="773" w:type="dxa"/>
            <w:tcBorders>
              <w:top w:val="single" w:sz="4" w:space="0" w:color="auto"/>
              <w:left w:val="single" w:sz="4" w:space="0" w:color="auto"/>
            </w:tcBorders>
            <w:shd w:val="clear" w:color="auto" w:fill="FFFFFF"/>
            <w:vAlign w:val="center"/>
          </w:tcPr>
          <w:p w14:paraId="4D0A1C2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85,7 %</w:t>
            </w:r>
          </w:p>
        </w:tc>
        <w:tc>
          <w:tcPr>
            <w:tcW w:w="773" w:type="dxa"/>
            <w:tcBorders>
              <w:top w:val="single" w:sz="4" w:space="0" w:color="auto"/>
              <w:left w:val="single" w:sz="4" w:space="0" w:color="auto"/>
            </w:tcBorders>
            <w:shd w:val="clear" w:color="auto" w:fill="FFFFFF"/>
            <w:vAlign w:val="center"/>
          </w:tcPr>
          <w:p w14:paraId="17E80E72"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3C7ED6F3"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4B3613C4"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16F4097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TC-LE</w:t>
            </w:r>
          </w:p>
        </w:tc>
        <w:tc>
          <w:tcPr>
            <w:tcW w:w="1177" w:type="dxa"/>
            <w:tcBorders>
              <w:top w:val="single" w:sz="4" w:space="0" w:color="auto"/>
              <w:left w:val="single" w:sz="4" w:space="0" w:color="auto"/>
            </w:tcBorders>
            <w:shd w:val="clear" w:color="auto" w:fill="FFFFFF"/>
            <w:vAlign w:val="bottom"/>
          </w:tcPr>
          <w:p w14:paraId="2B1C8090"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40</w:t>
            </w:r>
          </w:p>
        </w:tc>
        <w:tc>
          <w:tcPr>
            <w:tcW w:w="2288" w:type="dxa"/>
            <w:tcBorders>
              <w:top w:val="single" w:sz="4" w:space="0" w:color="auto"/>
              <w:left w:val="single" w:sz="4" w:space="0" w:color="auto"/>
            </w:tcBorders>
            <w:shd w:val="clear" w:color="auto" w:fill="FFFFFF"/>
            <w:vAlign w:val="bottom"/>
          </w:tcPr>
          <w:p w14:paraId="7F7CD5B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FSDH-40-L/P-2G11</w:t>
            </w:r>
          </w:p>
        </w:tc>
        <w:tc>
          <w:tcPr>
            <w:tcW w:w="803" w:type="dxa"/>
            <w:tcBorders>
              <w:top w:val="single" w:sz="4" w:space="0" w:color="auto"/>
              <w:left w:val="single" w:sz="4" w:space="0" w:color="auto"/>
            </w:tcBorders>
            <w:shd w:val="clear" w:color="auto" w:fill="FFFFFF"/>
            <w:vAlign w:val="center"/>
          </w:tcPr>
          <w:p w14:paraId="732009F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2F2C7C2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40</w:t>
            </w:r>
          </w:p>
        </w:tc>
        <w:tc>
          <w:tcPr>
            <w:tcW w:w="778" w:type="dxa"/>
            <w:tcBorders>
              <w:top w:val="single" w:sz="4" w:space="0" w:color="auto"/>
              <w:left w:val="single" w:sz="4" w:space="0" w:color="auto"/>
            </w:tcBorders>
            <w:shd w:val="clear" w:color="auto" w:fill="FFFFFF"/>
            <w:vAlign w:val="center"/>
          </w:tcPr>
          <w:p w14:paraId="58A3385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08B50B1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2478498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83,3 %</w:t>
            </w:r>
          </w:p>
        </w:tc>
        <w:tc>
          <w:tcPr>
            <w:tcW w:w="773" w:type="dxa"/>
            <w:tcBorders>
              <w:top w:val="single" w:sz="4" w:space="0" w:color="auto"/>
              <w:left w:val="single" w:sz="4" w:space="0" w:color="auto"/>
            </w:tcBorders>
            <w:shd w:val="clear" w:color="auto" w:fill="FFFFFF"/>
            <w:vAlign w:val="center"/>
          </w:tcPr>
          <w:p w14:paraId="35A897E8"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1FD8620B"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5C9766C8"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vAlign w:val="center"/>
          </w:tcPr>
          <w:p w14:paraId="74A122E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TC-LE</w:t>
            </w:r>
          </w:p>
        </w:tc>
        <w:tc>
          <w:tcPr>
            <w:tcW w:w="1177" w:type="dxa"/>
            <w:tcBorders>
              <w:top w:val="single" w:sz="4" w:space="0" w:color="auto"/>
              <w:left w:val="single" w:sz="4" w:space="0" w:color="auto"/>
              <w:bottom w:val="single" w:sz="4" w:space="0" w:color="auto"/>
            </w:tcBorders>
            <w:shd w:val="clear" w:color="auto" w:fill="FFFFFF"/>
            <w:vAlign w:val="center"/>
          </w:tcPr>
          <w:p w14:paraId="64C452C0"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55</w:t>
            </w:r>
          </w:p>
        </w:tc>
        <w:tc>
          <w:tcPr>
            <w:tcW w:w="2288" w:type="dxa"/>
            <w:tcBorders>
              <w:top w:val="single" w:sz="4" w:space="0" w:color="auto"/>
              <w:left w:val="single" w:sz="4" w:space="0" w:color="auto"/>
              <w:bottom w:val="single" w:sz="4" w:space="0" w:color="auto"/>
            </w:tcBorders>
            <w:shd w:val="clear" w:color="auto" w:fill="FFFFFF"/>
            <w:vAlign w:val="center"/>
          </w:tcPr>
          <w:p w14:paraId="5AA78C5B"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FSDH-55-L/P-2G11</w:t>
            </w:r>
          </w:p>
        </w:tc>
        <w:tc>
          <w:tcPr>
            <w:tcW w:w="803" w:type="dxa"/>
            <w:tcBorders>
              <w:top w:val="single" w:sz="4" w:space="0" w:color="auto"/>
              <w:left w:val="single" w:sz="4" w:space="0" w:color="auto"/>
              <w:bottom w:val="single" w:sz="4" w:space="0" w:color="auto"/>
            </w:tcBorders>
            <w:shd w:val="clear" w:color="auto" w:fill="FFFFFF"/>
            <w:vAlign w:val="center"/>
          </w:tcPr>
          <w:p w14:paraId="68C05B8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bottom w:val="single" w:sz="4" w:space="0" w:color="auto"/>
            </w:tcBorders>
            <w:shd w:val="clear" w:color="auto" w:fill="FFFFFF"/>
            <w:vAlign w:val="center"/>
          </w:tcPr>
          <w:p w14:paraId="3683DCB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55</w:t>
            </w:r>
          </w:p>
        </w:tc>
        <w:tc>
          <w:tcPr>
            <w:tcW w:w="778" w:type="dxa"/>
            <w:tcBorders>
              <w:top w:val="single" w:sz="4" w:space="0" w:color="auto"/>
              <w:left w:val="single" w:sz="4" w:space="0" w:color="auto"/>
              <w:bottom w:val="single" w:sz="4" w:space="0" w:color="auto"/>
            </w:tcBorders>
            <w:shd w:val="clear" w:color="auto" w:fill="FFFFFF"/>
            <w:vAlign w:val="center"/>
          </w:tcPr>
          <w:p w14:paraId="7BB6A1A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92,4 %</w:t>
            </w:r>
          </w:p>
        </w:tc>
        <w:tc>
          <w:tcPr>
            <w:tcW w:w="773" w:type="dxa"/>
            <w:tcBorders>
              <w:top w:val="single" w:sz="4" w:space="0" w:color="auto"/>
              <w:left w:val="single" w:sz="4" w:space="0" w:color="auto"/>
              <w:bottom w:val="single" w:sz="4" w:space="0" w:color="auto"/>
            </w:tcBorders>
            <w:shd w:val="clear" w:color="auto" w:fill="FFFFFF"/>
            <w:vAlign w:val="center"/>
          </w:tcPr>
          <w:p w14:paraId="28639F3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90,2 %</w:t>
            </w:r>
          </w:p>
        </w:tc>
        <w:tc>
          <w:tcPr>
            <w:tcW w:w="773" w:type="dxa"/>
            <w:tcBorders>
              <w:top w:val="single" w:sz="4" w:space="0" w:color="auto"/>
              <w:left w:val="single" w:sz="4" w:space="0" w:color="auto"/>
              <w:bottom w:val="single" w:sz="4" w:space="0" w:color="auto"/>
            </w:tcBorders>
            <w:shd w:val="clear" w:color="auto" w:fill="FFFFFF"/>
            <w:vAlign w:val="center"/>
          </w:tcPr>
          <w:p w14:paraId="10DEDE7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84,6 %</w:t>
            </w:r>
          </w:p>
        </w:tc>
        <w:tc>
          <w:tcPr>
            <w:tcW w:w="773" w:type="dxa"/>
            <w:tcBorders>
              <w:top w:val="single" w:sz="4" w:space="0" w:color="auto"/>
              <w:left w:val="single" w:sz="4" w:space="0" w:color="auto"/>
              <w:bottom w:val="single" w:sz="4" w:space="0" w:color="auto"/>
            </w:tcBorders>
            <w:shd w:val="clear" w:color="auto" w:fill="FFFFFF"/>
            <w:vAlign w:val="center"/>
          </w:tcPr>
          <w:p w14:paraId="51092F88"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68714600"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r>
      <w:tr w:rsidR="00CA27E3" w:rsidRPr="00D83000" w14:paraId="5C459788"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74EFF5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TC-LE</w:t>
            </w:r>
          </w:p>
        </w:tc>
        <w:tc>
          <w:tcPr>
            <w:tcW w:w="1177" w:type="dxa"/>
            <w:tcBorders>
              <w:top w:val="single" w:sz="4" w:space="0" w:color="auto"/>
              <w:left w:val="single" w:sz="4" w:space="0" w:color="auto"/>
            </w:tcBorders>
            <w:shd w:val="clear" w:color="auto" w:fill="FFFFFF"/>
            <w:vAlign w:val="bottom"/>
          </w:tcPr>
          <w:p w14:paraId="6CA78486"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80</w:t>
            </w:r>
          </w:p>
        </w:tc>
        <w:tc>
          <w:tcPr>
            <w:tcW w:w="2288" w:type="dxa"/>
            <w:tcBorders>
              <w:top w:val="single" w:sz="4" w:space="0" w:color="auto"/>
              <w:left w:val="single" w:sz="4" w:space="0" w:color="auto"/>
            </w:tcBorders>
            <w:shd w:val="clear" w:color="auto" w:fill="FFFFFF"/>
            <w:vAlign w:val="center"/>
          </w:tcPr>
          <w:p w14:paraId="7193FE8A"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FSDH-80-L/P-2G11</w:t>
            </w:r>
          </w:p>
        </w:tc>
        <w:tc>
          <w:tcPr>
            <w:tcW w:w="803" w:type="dxa"/>
            <w:tcBorders>
              <w:top w:val="single" w:sz="4" w:space="0" w:color="auto"/>
              <w:left w:val="single" w:sz="4" w:space="0" w:color="auto"/>
            </w:tcBorders>
            <w:shd w:val="clear" w:color="auto" w:fill="FFFFFF"/>
            <w:vAlign w:val="center"/>
          </w:tcPr>
          <w:p w14:paraId="5598E9B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664A2B5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80</w:t>
            </w:r>
          </w:p>
        </w:tc>
        <w:tc>
          <w:tcPr>
            <w:tcW w:w="778" w:type="dxa"/>
            <w:tcBorders>
              <w:top w:val="single" w:sz="4" w:space="0" w:color="auto"/>
              <w:left w:val="single" w:sz="4" w:space="0" w:color="auto"/>
            </w:tcBorders>
            <w:shd w:val="clear" w:color="auto" w:fill="FFFFFF"/>
            <w:vAlign w:val="center"/>
          </w:tcPr>
          <w:p w14:paraId="466E05C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93,0 %</w:t>
            </w:r>
          </w:p>
        </w:tc>
        <w:tc>
          <w:tcPr>
            <w:tcW w:w="773" w:type="dxa"/>
            <w:tcBorders>
              <w:top w:val="single" w:sz="4" w:space="0" w:color="auto"/>
              <w:left w:val="single" w:sz="4" w:space="0" w:color="auto"/>
            </w:tcBorders>
            <w:shd w:val="clear" w:color="auto" w:fill="FFFFFF"/>
            <w:vAlign w:val="center"/>
          </w:tcPr>
          <w:p w14:paraId="05E11E6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90,9 %</w:t>
            </w:r>
          </w:p>
        </w:tc>
        <w:tc>
          <w:tcPr>
            <w:tcW w:w="773" w:type="dxa"/>
            <w:tcBorders>
              <w:top w:val="single" w:sz="4" w:space="0" w:color="auto"/>
              <w:left w:val="single" w:sz="4" w:space="0" w:color="auto"/>
            </w:tcBorders>
            <w:shd w:val="clear" w:color="auto" w:fill="FFFFFF"/>
            <w:vAlign w:val="center"/>
          </w:tcPr>
          <w:p w14:paraId="28573CB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87,0 %</w:t>
            </w:r>
          </w:p>
        </w:tc>
        <w:tc>
          <w:tcPr>
            <w:tcW w:w="773" w:type="dxa"/>
            <w:tcBorders>
              <w:top w:val="single" w:sz="4" w:space="0" w:color="auto"/>
              <w:left w:val="single" w:sz="4" w:space="0" w:color="auto"/>
            </w:tcBorders>
            <w:shd w:val="clear" w:color="auto" w:fill="FFFFFF"/>
            <w:vAlign w:val="center"/>
          </w:tcPr>
          <w:p w14:paraId="35C10B47"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9DA719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73AA6567"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4D3342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center"/>
          </w:tcPr>
          <w:p w14:paraId="65842CF5"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32</w:t>
            </w:r>
          </w:p>
        </w:tc>
        <w:tc>
          <w:tcPr>
            <w:tcW w:w="2288" w:type="dxa"/>
            <w:tcBorders>
              <w:top w:val="single" w:sz="4" w:space="0" w:color="auto"/>
              <w:left w:val="single" w:sz="4" w:space="0" w:color="auto"/>
            </w:tcBorders>
            <w:shd w:val="clear" w:color="auto" w:fill="FFFFFF"/>
            <w:vAlign w:val="bottom"/>
          </w:tcPr>
          <w:p w14:paraId="1ABD91CA"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FSMH-32-L/P-</w:t>
            </w:r>
          </w:p>
          <w:p w14:paraId="758EC39A"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2GX24q=3</w:t>
            </w:r>
          </w:p>
        </w:tc>
        <w:tc>
          <w:tcPr>
            <w:tcW w:w="803" w:type="dxa"/>
            <w:tcBorders>
              <w:top w:val="single" w:sz="4" w:space="0" w:color="auto"/>
              <w:left w:val="single" w:sz="4" w:space="0" w:color="auto"/>
            </w:tcBorders>
            <w:shd w:val="clear" w:color="auto" w:fill="FFFFFF"/>
            <w:vAlign w:val="center"/>
          </w:tcPr>
          <w:p w14:paraId="00F2E74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019E694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32</w:t>
            </w:r>
          </w:p>
        </w:tc>
        <w:tc>
          <w:tcPr>
            <w:tcW w:w="778" w:type="dxa"/>
            <w:tcBorders>
              <w:top w:val="single" w:sz="4" w:space="0" w:color="auto"/>
              <w:left w:val="single" w:sz="4" w:space="0" w:color="auto"/>
            </w:tcBorders>
            <w:shd w:val="clear" w:color="auto" w:fill="FFFFFF"/>
            <w:vAlign w:val="center"/>
          </w:tcPr>
          <w:p w14:paraId="3539994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7DB9AE2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575C48E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82,1 %</w:t>
            </w:r>
          </w:p>
        </w:tc>
        <w:tc>
          <w:tcPr>
            <w:tcW w:w="773" w:type="dxa"/>
            <w:tcBorders>
              <w:top w:val="single" w:sz="4" w:space="0" w:color="auto"/>
              <w:left w:val="single" w:sz="4" w:space="0" w:color="auto"/>
            </w:tcBorders>
            <w:shd w:val="clear" w:color="auto" w:fill="FFFFFF"/>
            <w:vAlign w:val="center"/>
          </w:tcPr>
          <w:p w14:paraId="0A64D574"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595D845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27D8E9E0"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6B0106E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center"/>
          </w:tcPr>
          <w:p w14:paraId="217351CB"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42</w:t>
            </w:r>
          </w:p>
        </w:tc>
        <w:tc>
          <w:tcPr>
            <w:tcW w:w="2288" w:type="dxa"/>
            <w:tcBorders>
              <w:top w:val="single" w:sz="4" w:space="0" w:color="auto"/>
              <w:left w:val="single" w:sz="4" w:space="0" w:color="auto"/>
            </w:tcBorders>
            <w:shd w:val="clear" w:color="auto" w:fill="FFFFFF"/>
            <w:vAlign w:val="bottom"/>
          </w:tcPr>
          <w:p w14:paraId="6015AC4A"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FSMH-42-L/P-</w:t>
            </w:r>
          </w:p>
          <w:p w14:paraId="3A7F8107"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2GX24q=4</w:t>
            </w:r>
          </w:p>
        </w:tc>
        <w:tc>
          <w:tcPr>
            <w:tcW w:w="803" w:type="dxa"/>
            <w:tcBorders>
              <w:top w:val="single" w:sz="4" w:space="0" w:color="auto"/>
              <w:left w:val="single" w:sz="4" w:space="0" w:color="auto"/>
            </w:tcBorders>
            <w:shd w:val="clear" w:color="auto" w:fill="FFFFFF"/>
            <w:vAlign w:val="center"/>
          </w:tcPr>
          <w:p w14:paraId="4885C3D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4EB6977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43</w:t>
            </w:r>
          </w:p>
        </w:tc>
        <w:tc>
          <w:tcPr>
            <w:tcW w:w="778" w:type="dxa"/>
            <w:tcBorders>
              <w:top w:val="single" w:sz="4" w:space="0" w:color="auto"/>
              <w:left w:val="single" w:sz="4" w:space="0" w:color="auto"/>
            </w:tcBorders>
            <w:shd w:val="clear" w:color="auto" w:fill="FFFFFF"/>
            <w:vAlign w:val="center"/>
          </w:tcPr>
          <w:p w14:paraId="4DDECA2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93,5 %</w:t>
            </w:r>
          </w:p>
        </w:tc>
        <w:tc>
          <w:tcPr>
            <w:tcW w:w="773" w:type="dxa"/>
            <w:tcBorders>
              <w:top w:val="single" w:sz="4" w:space="0" w:color="auto"/>
              <w:left w:val="single" w:sz="4" w:space="0" w:color="auto"/>
            </w:tcBorders>
            <w:shd w:val="clear" w:color="auto" w:fill="FFFFFF"/>
            <w:vAlign w:val="center"/>
          </w:tcPr>
          <w:p w14:paraId="76FE7DB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91,5 %</w:t>
            </w:r>
          </w:p>
        </w:tc>
        <w:tc>
          <w:tcPr>
            <w:tcW w:w="773" w:type="dxa"/>
            <w:tcBorders>
              <w:top w:val="single" w:sz="4" w:space="0" w:color="auto"/>
              <w:left w:val="single" w:sz="4" w:space="0" w:color="auto"/>
            </w:tcBorders>
            <w:shd w:val="clear" w:color="auto" w:fill="FFFFFF"/>
            <w:vAlign w:val="center"/>
          </w:tcPr>
          <w:p w14:paraId="1C2A4BE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86,0 %</w:t>
            </w:r>
          </w:p>
        </w:tc>
        <w:tc>
          <w:tcPr>
            <w:tcW w:w="773" w:type="dxa"/>
            <w:tcBorders>
              <w:top w:val="single" w:sz="4" w:space="0" w:color="auto"/>
              <w:left w:val="single" w:sz="4" w:space="0" w:color="auto"/>
            </w:tcBorders>
            <w:shd w:val="clear" w:color="auto" w:fill="FFFFFF"/>
            <w:vAlign w:val="center"/>
          </w:tcPr>
          <w:p w14:paraId="1DAF603F"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6C0C1D9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518599BB"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4791081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center"/>
          </w:tcPr>
          <w:p w14:paraId="21F16D9F"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57</w:t>
            </w:r>
          </w:p>
        </w:tc>
        <w:tc>
          <w:tcPr>
            <w:tcW w:w="2288" w:type="dxa"/>
            <w:tcBorders>
              <w:top w:val="single" w:sz="4" w:space="0" w:color="auto"/>
              <w:left w:val="single" w:sz="4" w:space="0" w:color="auto"/>
            </w:tcBorders>
            <w:shd w:val="clear" w:color="auto" w:fill="FFFFFF"/>
            <w:vAlign w:val="bottom"/>
          </w:tcPr>
          <w:p w14:paraId="460736DE"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FSM6H-57-L/P- 2GX24q=5 FSM8H-57-L/P- 2GX24q=5</w:t>
            </w:r>
          </w:p>
        </w:tc>
        <w:tc>
          <w:tcPr>
            <w:tcW w:w="803" w:type="dxa"/>
            <w:tcBorders>
              <w:top w:val="single" w:sz="4" w:space="0" w:color="auto"/>
              <w:left w:val="single" w:sz="4" w:space="0" w:color="auto"/>
            </w:tcBorders>
            <w:shd w:val="clear" w:color="auto" w:fill="FFFFFF"/>
            <w:vAlign w:val="center"/>
          </w:tcPr>
          <w:p w14:paraId="1DD0AEC7" w14:textId="77777777" w:rsidR="00CA27E3" w:rsidRPr="00D83000" w:rsidRDefault="00CA27E3" w:rsidP="00696F04">
            <w:pPr>
              <w:spacing w:after="120"/>
              <w:jc w:val="center"/>
              <w:rPr>
                <w:rFonts w:ascii="Sylfaen" w:hAnsi="Sylfaen" w:cs="Sylfaen"/>
                <w:sz w:val="16"/>
                <w:szCs w:val="16"/>
              </w:rPr>
            </w:pPr>
          </w:p>
        </w:tc>
        <w:tc>
          <w:tcPr>
            <w:tcW w:w="504" w:type="dxa"/>
            <w:tcBorders>
              <w:top w:val="single" w:sz="4" w:space="0" w:color="auto"/>
              <w:left w:val="single" w:sz="4" w:space="0" w:color="auto"/>
            </w:tcBorders>
            <w:shd w:val="clear" w:color="auto" w:fill="FFFFFF"/>
            <w:vAlign w:val="center"/>
          </w:tcPr>
          <w:p w14:paraId="69CDD0B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56</w:t>
            </w:r>
          </w:p>
        </w:tc>
        <w:tc>
          <w:tcPr>
            <w:tcW w:w="778" w:type="dxa"/>
            <w:tcBorders>
              <w:top w:val="single" w:sz="4" w:space="0" w:color="auto"/>
              <w:left w:val="single" w:sz="4" w:space="0" w:color="auto"/>
            </w:tcBorders>
            <w:shd w:val="clear" w:color="auto" w:fill="FFFFFF"/>
            <w:vAlign w:val="center"/>
          </w:tcPr>
          <w:p w14:paraId="17CE220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91,4 %</w:t>
            </w:r>
          </w:p>
        </w:tc>
        <w:tc>
          <w:tcPr>
            <w:tcW w:w="773" w:type="dxa"/>
            <w:tcBorders>
              <w:top w:val="single" w:sz="4" w:space="0" w:color="auto"/>
              <w:left w:val="single" w:sz="4" w:space="0" w:color="auto"/>
            </w:tcBorders>
            <w:shd w:val="clear" w:color="auto" w:fill="FFFFFF"/>
            <w:vAlign w:val="center"/>
          </w:tcPr>
          <w:p w14:paraId="59FC3CE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88,9 %</w:t>
            </w:r>
          </w:p>
        </w:tc>
        <w:tc>
          <w:tcPr>
            <w:tcW w:w="773" w:type="dxa"/>
            <w:tcBorders>
              <w:top w:val="single" w:sz="4" w:space="0" w:color="auto"/>
              <w:left w:val="single" w:sz="4" w:space="0" w:color="auto"/>
            </w:tcBorders>
            <w:shd w:val="clear" w:color="auto" w:fill="FFFFFF"/>
            <w:vAlign w:val="center"/>
          </w:tcPr>
          <w:p w14:paraId="3CBA873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83,6 %</w:t>
            </w:r>
          </w:p>
        </w:tc>
        <w:tc>
          <w:tcPr>
            <w:tcW w:w="773" w:type="dxa"/>
            <w:tcBorders>
              <w:top w:val="single" w:sz="4" w:space="0" w:color="auto"/>
              <w:left w:val="single" w:sz="4" w:space="0" w:color="auto"/>
            </w:tcBorders>
            <w:shd w:val="clear" w:color="auto" w:fill="FFFFFF"/>
            <w:vAlign w:val="center"/>
          </w:tcPr>
          <w:p w14:paraId="5AE26CD9" w14:textId="77777777" w:rsidR="00CA27E3" w:rsidRPr="00D83000" w:rsidRDefault="00CA27E3" w:rsidP="00696F04">
            <w:pPr>
              <w:spacing w:after="120"/>
              <w:jc w:val="center"/>
              <w:rPr>
                <w:rFonts w:ascii="Sylfaen" w:hAnsi="Sylfaen" w:cs="Sylfaen"/>
                <w:sz w:val="16"/>
                <w:szCs w:val="16"/>
              </w:rPr>
            </w:pPr>
          </w:p>
        </w:tc>
        <w:tc>
          <w:tcPr>
            <w:tcW w:w="787" w:type="dxa"/>
            <w:tcBorders>
              <w:top w:val="single" w:sz="4" w:space="0" w:color="auto"/>
              <w:left w:val="single" w:sz="4" w:space="0" w:color="auto"/>
              <w:right w:val="single" w:sz="4" w:space="0" w:color="auto"/>
            </w:tcBorders>
            <w:shd w:val="clear" w:color="auto" w:fill="FFFFFF"/>
            <w:vAlign w:val="center"/>
          </w:tcPr>
          <w:p w14:paraId="3B76A430" w14:textId="77777777" w:rsidR="00CA27E3" w:rsidRPr="00D83000" w:rsidRDefault="00CA27E3" w:rsidP="00696F04">
            <w:pPr>
              <w:spacing w:after="120"/>
              <w:jc w:val="center"/>
              <w:rPr>
                <w:rFonts w:ascii="Sylfaen" w:hAnsi="Sylfaen" w:cs="Sylfaen"/>
                <w:sz w:val="16"/>
                <w:szCs w:val="16"/>
              </w:rPr>
            </w:pPr>
          </w:p>
        </w:tc>
      </w:tr>
      <w:tr w:rsidR="00CA27E3" w:rsidRPr="00D83000" w14:paraId="085BBC7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0D67820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center"/>
          </w:tcPr>
          <w:p w14:paraId="56F46AB6"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70</w:t>
            </w:r>
          </w:p>
        </w:tc>
        <w:tc>
          <w:tcPr>
            <w:tcW w:w="2288" w:type="dxa"/>
            <w:tcBorders>
              <w:top w:val="single" w:sz="4" w:space="0" w:color="auto"/>
              <w:left w:val="single" w:sz="4" w:space="0" w:color="auto"/>
            </w:tcBorders>
            <w:shd w:val="clear" w:color="auto" w:fill="FFFFFF"/>
            <w:vAlign w:val="bottom"/>
          </w:tcPr>
          <w:p w14:paraId="79AEA0FB"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FSM6H-70-L/P- 2GX24q=6 FSM8H-70-L/P- 2GX24q=6</w:t>
            </w:r>
          </w:p>
        </w:tc>
        <w:tc>
          <w:tcPr>
            <w:tcW w:w="803" w:type="dxa"/>
            <w:tcBorders>
              <w:top w:val="single" w:sz="4" w:space="0" w:color="auto"/>
              <w:left w:val="single" w:sz="4" w:space="0" w:color="auto"/>
            </w:tcBorders>
            <w:shd w:val="clear" w:color="auto" w:fill="FFFFFF"/>
            <w:vAlign w:val="center"/>
          </w:tcPr>
          <w:p w14:paraId="3B62A75C" w14:textId="77777777" w:rsidR="00CA27E3" w:rsidRPr="00D83000" w:rsidRDefault="00CA27E3" w:rsidP="00696F04">
            <w:pPr>
              <w:spacing w:after="120"/>
              <w:jc w:val="center"/>
              <w:rPr>
                <w:rFonts w:ascii="Sylfaen" w:hAnsi="Sylfaen" w:cs="Sylfaen"/>
                <w:sz w:val="16"/>
                <w:szCs w:val="16"/>
              </w:rPr>
            </w:pPr>
          </w:p>
        </w:tc>
        <w:tc>
          <w:tcPr>
            <w:tcW w:w="504" w:type="dxa"/>
            <w:tcBorders>
              <w:top w:val="single" w:sz="4" w:space="0" w:color="auto"/>
              <w:left w:val="single" w:sz="4" w:space="0" w:color="auto"/>
            </w:tcBorders>
            <w:shd w:val="clear" w:color="auto" w:fill="FFFFFF"/>
            <w:vAlign w:val="center"/>
          </w:tcPr>
          <w:p w14:paraId="52BB36B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70</w:t>
            </w:r>
          </w:p>
        </w:tc>
        <w:tc>
          <w:tcPr>
            <w:tcW w:w="778" w:type="dxa"/>
            <w:tcBorders>
              <w:top w:val="single" w:sz="4" w:space="0" w:color="auto"/>
              <w:left w:val="single" w:sz="4" w:space="0" w:color="auto"/>
            </w:tcBorders>
            <w:shd w:val="clear" w:color="auto" w:fill="FFFFFF"/>
            <w:vAlign w:val="center"/>
          </w:tcPr>
          <w:p w14:paraId="732F9A9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93,0 %</w:t>
            </w:r>
          </w:p>
        </w:tc>
        <w:tc>
          <w:tcPr>
            <w:tcW w:w="773" w:type="dxa"/>
            <w:tcBorders>
              <w:top w:val="single" w:sz="4" w:space="0" w:color="auto"/>
              <w:left w:val="single" w:sz="4" w:space="0" w:color="auto"/>
            </w:tcBorders>
            <w:shd w:val="clear" w:color="auto" w:fill="FFFFFF"/>
            <w:vAlign w:val="center"/>
          </w:tcPr>
          <w:p w14:paraId="044B94D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90,9 %</w:t>
            </w:r>
          </w:p>
        </w:tc>
        <w:tc>
          <w:tcPr>
            <w:tcW w:w="773" w:type="dxa"/>
            <w:tcBorders>
              <w:top w:val="single" w:sz="4" w:space="0" w:color="auto"/>
              <w:left w:val="single" w:sz="4" w:space="0" w:color="auto"/>
            </w:tcBorders>
            <w:shd w:val="clear" w:color="auto" w:fill="FFFFFF"/>
            <w:vAlign w:val="center"/>
          </w:tcPr>
          <w:p w14:paraId="6298BB5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85,4 %</w:t>
            </w:r>
          </w:p>
        </w:tc>
        <w:tc>
          <w:tcPr>
            <w:tcW w:w="773" w:type="dxa"/>
            <w:tcBorders>
              <w:top w:val="single" w:sz="4" w:space="0" w:color="auto"/>
              <w:left w:val="single" w:sz="4" w:space="0" w:color="auto"/>
            </w:tcBorders>
            <w:shd w:val="clear" w:color="auto" w:fill="FFFFFF"/>
            <w:vAlign w:val="center"/>
          </w:tcPr>
          <w:p w14:paraId="1856DE68" w14:textId="77777777" w:rsidR="00CA27E3" w:rsidRPr="00D83000" w:rsidRDefault="00CA27E3" w:rsidP="00696F04">
            <w:pPr>
              <w:spacing w:after="120"/>
              <w:jc w:val="center"/>
              <w:rPr>
                <w:rFonts w:ascii="Sylfaen" w:hAnsi="Sylfaen" w:cs="Sylfaen"/>
                <w:sz w:val="16"/>
                <w:szCs w:val="16"/>
              </w:rPr>
            </w:pPr>
          </w:p>
        </w:tc>
        <w:tc>
          <w:tcPr>
            <w:tcW w:w="787" w:type="dxa"/>
            <w:tcBorders>
              <w:top w:val="single" w:sz="4" w:space="0" w:color="auto"/>
              <w:left w:val="single" w:sz="4" w:space="0" w:color="auto"/>
              <w:right w:val="single" w:sz="4" w:space="0" w:color="auto"/>
            </w:tcBorders>
            <w:shd w:val="clear" w:color="auto" w:fill="FFFFFF"/>
            <w:vAlign w:val="center"/>
          </w:tcPr>
          <w:p w14:paraId="579EF64D" w14:textId="77777777" w:rsidR="00CA27E3" w:rsidRPr="00D83000" w:rsidRDefault="00CA27E3" w:rsidP="00696F04">
            <w:pPr>
              <w:spacing w:after="120"/>
              <w:jc w:val="center"/>
              <w:rPr>
                <w:rFonts w:ascii="Sylfaen" w:hAnsi="Sylfaen" w:cs="Sylfaen"/>
                <w:sz w:val="16"/>
                <w:szCs w:val="16"/>
              </w:rPr>
            </w:pPr>
          </w:p>
        </w:tc>
      </w:tr>
      <w:tr w:rsidR="00CA27E3" w:rsidRPr="00D83000" w14:paraId="3674877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425B036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bottom"/>
          </w:tcPr>
          <w:p w14:paraId="389EEAF3"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60</w:t>
            </w:r>
          </w:p>
        </w:tc>
        <w:tc>
          <w:tcPr>
            <w:tcW w:w="2288" w:type="dxa"/>
            <w:tcBorders>
              <w:top w:val="single" w:sz="4" w:space="0" w:color="auto"/>
              <w:left w:val="single" w:sz="4" w:space="0" w:color="auto"/>
            </w:tcBorders>
            <w:shd w:val="clear" w:color="auto" w:fill="FFFFFF"/>
            <w:vAlign w:val="center"/>
          </w:tcPr>
          <w:p w14:paraId="43A84644"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FSM6H-60-L/P-2G8=1</w:t>
            </w:r>
          </w:p>
        </w:tc>
        <w:tc>
          <w:tcPr>
            <w:tcW w:w="803" w:type="dxa"/>
            <w:tcBorders>
              <w:top w:val="single" w:sz="4" w:space="0" w:color="auto"/>
              <w:left w:val="single" w:sz="4" w:space="0" w:color="auto"/>
            </w:tcBorders>
            <w:shd w:val="clear" w:color="auto" w:fill="FFFFFF"/>
            <w:vAlign w:val="center"/>
          </w:tcPr>
          <w:p w14:paraId="299C7E5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73A6943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63</w:t>
            </w:r>
          </w:p>
        </w:tc>
        <w:tc>
          <w:tcPr>
            <w:tcW w:w="778" w:type="dxa"/>
            <w:tcBorders>
              <w:top w:val="single" w:sz="4" w:space="0" w:color="auto"/>
              <w:left w:val="single" w:sz="4" w:space="0" w:color="auto"/>
            </w:tcBorders>
            <w:shd w:val="clear" w:color="auto" w:fill="FFFFFF"/>
            <w:vAlign w:val="center"/>
          </w:tcPr>
          <w:p w14:paraId="5890AA9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92,3 %</w:t>
            </w:r>
          </w:p>
        </w:tc>
        <w:tc>
          <w:tcPr>
            <w:tcW w:w="773" w:type="dxa"/>
            <w:tcBorders>
              <w:top w:val="single" w:sz="4" w:space="0" w:color="auto"/>
              <w:left w:val="single" w:sz="4" w:space="0" w:color="auto"/>
            </w:tcBorders>
            <w:shd w:val="clear" w:color="auto" w:fill="FFFFFF"/>
            <w:vAlign w:val="center"/>
          </w:tcPr>
          <w:p w14:paraId="40ED4E1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90,0 %</w:t>
            </w:r>
          </w:p>
        </w:tc>
        <w:tc>
          <w:tcPr>
            <w:tcW w:w="773" w:type="dxa"/>
            <w:tcBorders>
              <w:top w:val="single" w:sz="4" w:space="0" w:color="auto"/>
              <w:left w:val="single" w:sz="4" w:space="0" w:color="auto"/>
            </w:tcBorders>
            <w:shd w:val="clear" w:color="auto" w:fill="FFFFFF"/>
            <w:vAlign w:val="center"/>
          </w:tcPr>
          <w:p w14:paraId="6AD92C5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84,0 %</w:t>
            </w:r>
          </w:p>
        </w:tc>
        <w:tc>
          <w:tcPr>
            <w:tcW w:w="773" w:type="dxa"/>
            <w:tcBorders>
              <w:top w:val="single" w:sz="4" w:space="0" w:color="auto"/>
              <w:left w:val="single" w:sz="4" w:space="0" w:color="auto"/>
            </w:tcBorders>
            <w:shd w:val="clear" w:color="auto" w:fill="FFFFFF"/>
            <w:vAlign w:val="center"/>
          </w:tcPr>
          <w:p w14:paraId="28869544"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E192A3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6C14FD67"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2F7EE9FB"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bottom"/>
          </w:tcPr>
          <w:p w14:paraId="32E309AB"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62</w:t>
            </w:r>
          </w:p>
        </w:tc>
        <w:tc>
          <w:tcPr>
            <w:tcW w:w="2288" w:type="dxa"/>
            <w:tcBorders>
              <w:top w:val="single" w:sz="4" w:space="0" w:color="auto"/>
              <w:left w:val="single" w:sz="4" w:space="0" w:color="auto"/>
            </w:tcBorders>
            <w:shd w:val="clear" w:color="auto" w:fill="FFFFFF"/>
            <w:vAlign w:val="center"/>
          </w:tcPr>
          <w:p w14:paraId="4AF6A389"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FSM8H-62-L/P-2G8=2</w:t>
            </w:r>
          </w:p>
        </w:tc>
        <w:tc>
          <w:tcPr>
            <w:tcW w:w="803" w:type="dxa"/>
            <w:tcBorders>
              <w:top w:val="single" w:sz="4" w:space="0" w:color="auto"/>
              <w:left w:val="single" w:sz="4" w:space="0" w:color="auto"/>
            </w:tcBorders>
            <w:shd w:val="clear" w:color="auto" w:fill="FFFFFF"/>
            <w:vAlign w:val="center"/>
          </w:tcPr>
          <w:p w14:paraId="72ECA45F"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7B6AB60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62</w:t>
            </w:r>
          </w:p>
        </w:tc>
        <w:tc>
          <w:tcPr>
            <w:tcW w:w="778" w:type="dxa"/>
            <w:tcBorders>
              <w:top w:val="single" w:sz="4" w:space="0" w:color="auto"/>
              <w:left w:val="single" w:sz="4" w:space="0" w:color="auto"/>
            </w:tcBorders>
            <w:shd w:val="clear" w:color="auto" w:fill="FFFFFF"/>
            <w:vAlign w:val="center"/>
          </w:tcPr>
          <w:p w14:paraId="47D67C4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92,2 %</w:t>
            </w:r>
          </w:p>
        </w:tc>
        <w:tc>
          <w:tcPr>
            <w:tcW w:w="773" w:type="dxa"/>
            <w:tcBorders>
              <w:top w:val="single" w:sz="4" w:space="0" w:color="auto"/>
              <w:left w:val="single" w:sz="4" w:space="0" w:color="auto"/>
            </w:tcBorders>
            <w:shd w:val="clear" w:color="auto" w:fill="FFFFFF"/>
            <w:vAlign w:val="center"/>
          </w:tcPr>
          <w:p w14:paraId="0A6A266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89,9 %</w:t>
            </w:r>
          </w:p>
        </w:tc>
        <w:tc>
          <w:tcPr>
            <w:tcW w:w="773" w:type="dxa"/>
            <w:tcBorders>
              <w:top w:val="single" w:sz="4" w:space="0" w:color="auto"/>
              <w:left w:val="single" w:sz="4" w:space="0" w:color="auto"/>
            </w:tcBorders>
            <w:shd w:val="clear" w:color="auto" w:fill="FFFFFF"/>
            <w:vAlign w:val="center"/>
          </w:tcPr>
          <w:p w14:paraId="255108C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83,8 %</w:t>
            </w:r>
          </w:p>
        </w:tc>
        <w:tc>
          <w:tcPr>
            <w:tcW w:w="773" w:type="dxa"/>
            <w:tcBorders>
              <w:top w:val="single" w:sz="4" w:space="0" w:color="auto"/>
              <w:left w:val="single" w:sz="4" w:space="0" w:color="auto"/>
            </w:tcBorders>
            <w:shd w:val="clear" w:color="auto" w:fill="FFFFFF"/>
            <w:vAlign w:val="center"/>
          </w:tcPr>
          <w:p w14:paraId="30C98FD5"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3F9FAF4D"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26456215"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C4A4FD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bottom"/>
          </w:tcPr>
          <w:p w14:paraId="49E64CB7"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82</w:t>
            </w:r>
          </w:p>
        </w:tc>
        <w:tc>
          <w:tcPr>
            <w:tcW w:w="2288" w:type="dxa"/>
            <w:tcBorders>
              <w:top w:val="single" w:sz="4" w:space="0" w:color="auto"/>
              <w:left w:val="single" w:sz="4" w:space="0" w:color="auto"/>
            </w:tcBorders>
            <w:shd w:val="clear" w:color="auto" w:fill="FFFFFF"/>
            <w:vAlign w:val="center"/>
          </w:tcPr>
          <w:p w14:paraId="2319DF53"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FSM8H-82-L/P-2G8=2</w:t>
            </w:r>
          </w:p>
        </w:tc>
        <w:tc>
          <w:tcPr>
            <w:tcW w:w="803" w:type="dxa"/>
            <w:tcBorders>
              <w:top w:val="single" w:sz="4" w:space="0" w:color="auto"/>
              <w:left w:val="single" w:sz="4" w:space="0" w:color="auto"/>
            </w:tcBorders>
            <w:shd w:val="clear" w:color="auto" w:fill="FFFFFF"/>
            <w:vAlign w:val="center"/>
          </w:tcPr>
          <w:p w14:paraId="32993AA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3B6B3DA1"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82</w:t>
            </w:r>
          </w:p>
        </w:tc>
        <w:tc>
          <w:tcPr>
            <w:tcW w:w="778" w:type="dxa"/>
            <w:tcBorders>
              <w:top w:val="single" w:sz="4" w:space="0" w:color="auto"/>
              <w:left w:val="single" w:sz="4" w:space="0" w:color="auto"/>
            </w:tcBorders>
            <w:shd w:val="clear" w:color="auto" w:fill="FFFFFF"/>
            <w:vAlign w:val="center"/>
          </w:tcPr>
          <w:p w14:paraId="1C282F18"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92,4 %</w:t>
            </w:r>
          </w:p>
        </w:tc>
        <w:tc>
          <w:tcPr>
            <w:tcW w:w="773" w:type="dxa"/>
            <w:tcBorders>
              <w:top w:val="single" w:sz="4" w:space="0" w:color="auto"/>
              <w:left w:val="single" w:sz="4" w:space="0" w:color="auto"/>
            </w:tcBorders>
            <w:shd w:val="clear" w:color="auto" w:fill="FFFFFF"/>
            <w:vAlign w:val="center"/>
          </w:tcPr>
          <w:p w14:paraId="4CA36AE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90,1 %</w:t>
            </w:r>
          </w:p>
        </w:tc>
        <w:tc>
          <w:tcPr>
            <w:tcW w:w="773" w:type="dxa"/>
            <w:tcBorders>
              <w:top w:val="single" w:sz="4" w:space="0" w:color="auto"/>
              <w:left w:val="single" w:sz="4" w:space="0" w:color="auto"/>
            </w:tcBorders>
            <w:shd w:val="clear" w:color="auto" w:fill="FFFFFF"/>
            <w:vAlign w:val="center"/>
          </w:tcPr>
          <w:p w14:paraId="34483EA9"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83,7 %</w:t>
            </w:r>
          </w:p>
        </w:tc>
        <w:tc>
          <w:tcPr>
            <w:tcW w:w="773" w:type="dxa"/>
            <w:tcBorders>
              <w:top w:val="single" w:sz="4" w:space="0" w:color="auto"/>
              <w:left w:val="single" w:sz="4" w:space="0" w:color="auto"/>
            </w:tcBorders>
            <w:shd w:val="clear" w:color="auto" w:fill="FFFFFF"/>
            <w:vAlign w:val="center"/>
          </w:tcPr>
          <w:p w14:paraId="5298BC13"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4874073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5F79E565"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bottom"/>
          </w:tcPr>
          <w:p w14:paraId="4ED093B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bottom"/>
          </w:tcPr>
          <w:p w14:paraId="32BF0C3A"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85</w:t>
            </w:r>
          </w:p>
        </w:tc>
        <w:tc>
          <w:tcPr>
            <w:tcW w:w="2288" w:type="dxa"/>
            <w:tcBorders>
              <w:top w:val="single" w:sz="4" w:space="0" w:color="auto"/>
              <w:left w:val="single" w:sz="4" w:space="0" w:color="auto"/>
            </w:tcBorders>
            <w:shd w:val="clear" w:color="auto" w:fill="FFFFFF"/>
            <w:vAlign w:val="bottom"/>
          </w:tcPr>
          <w:p w14:paraId="6644CA82"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FSM6H-85-L/P-2G8=1</w:t>
            </w:r>
          </w:p>
        </w:tc>
        <w:tc>
          <w:tcPr>
            <w:tcW w:w="803" w:type="dxa"/>
            <w:tcBorders>
              <w:top w:val="single" w:sz="4" w:space="0" w:color="auto"/>
              <w:left w:val="single" w:sz="4" w:space="0" w:color="auto"/>
            </w:tcBorders>
            <w:shd w:val="clear" w:color="auto" w:fill="FFFFFF"/>
            <w:vAlign w:val="center"/>
          </w:tcPr>
          <w:p w14:paraId="7819DB5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13001A4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87</w:t>
            </w:r>
          </w:p>
        </w:tc>
        <w:tc>
          <w:tcPr>
            <w:tcW w:w="778" w:type="dxa"/>
            <w:tcBorders>
              <w:top w:val="single" w:sz="4" w:space="0" w:color="auto"/>
              <w:left w:val="single" w:sz="4" w:space="0" w:color="auto"/>
            </w:tcBorders>
            <w:shd w:val="clear" w:color="auto" w:fill="FFFFFF"/>
            <w:vAlign w:val="center"/>
          </w:tcPr>
          <w:p w14:paraId="05FC097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92,8 %</w:t>
            </w:r>
          </w:p>
        </w:tc>
        <w:tc>
          <w:tcPr>
            <w:tcW w:w="773" w:type="dxa"/>
            <w:tcBorders>
              <w:top w:val="single" w:sz="4" w:space="0" w:color="auto"/>
              <w:left w:val="single" w:sz="4" w:space="0" w:color="auto"/>
            </w:tcBorders>
            <w:shd w:val="clear" w:color="auto" w:fill="FFFFFF"/>
            <w:vAlign w:val="center"/>
          </w:tcPr>
          <w:p w14:paraId="310378D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90,6 %</w:t>
            </w:r>
          </w:p>
        </w:tc>
        <w:tc>
          <w:tcPr>
            <w:tcW w:w="773" w:type="dxa"/>
            <w:tcBorders>
              <w:top w:val="single" w:sz="4" w:space="0" w:color="auto"/>
              <w:left w:val="single" w:sz="4" w:space="0" w:color="auto"/>
            </w:tcBorders>
            <w:shd w:val="clear" w:color="auto" w:fill="FFFFFF"/>
            <w:vAlign w:val="center"/>
          </w:tcPr>
          <w:p w14:paraId="6D3E9CF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84,5 %</w:t>
            </w:r>
          </w:p>
        </w:tc>
        <w:tc>
          <w:tcPr>
            <w:tcW w:w="773" w:type="dxa"/>
            <w:tcBorders>
              <w:top w:val="single" w:sz="4" w:space="0" w:color="auto"/>
              <w:left w:val="single" w:sz="4" w:space="0" w:color="auto"/>
            </w:tcBorders>
            <w:shd w:val="clear" w:color="auto" w:fill="FFFFFF"/>
            <w:vAlign w:val="center"/>
          </w:tcPr>
          <w:p w14:paraId="16180ADE"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3365B267"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687C41A0"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62623492"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TC-TE</w:t>
            </w:r>
          </w:p>
        </w:tc>
        <w:tc>
          <w:tcPr>
            <w:tcW w:w="1177" w:type="dxa"/>
            <w:tcBorders>
              <w:top w:val="single" w:sz="4" w:space="0" w:color="auto"/>
              <w:left w:val="single" w:sz="4" w:space="0" w:color="auto"/>
            </w:tcBorders>
            <w:shd w:val="clear" w:color="auto" w:fill="FFFFFF"/>
            <w:vAlign w:val="center"/>
          </w:tcPr>
          <w:p w14:paraId="6C87BFEB" w14:textId="77777777" w:rsidR="00CA27E3" w:rsidRPr="00D83000" w:rsidRDefault="00CA27E3" w:rsidP="00D83000">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120</w:t>
            </w:r>
          </w:p>
        </w:tc>
        <w:tc>
          <w:tcPr>
            <w:tcW w:w="2288" w:type="dxa"/>
            <w:tcBorders>
              <w:top w:val="single" w:sz="4" w:space="0" w:color="auto"/>
              <w:left w:val="single" w:sz="4" w:space="0" w:color="auto"/>
            </w:tcBorders>
            <w:shd w:val="clear" w:color="auto" w:fill="FFFFFF"/>
          </w:tcPr>
          <w:p w14:paraId="2EDA9661"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FSM6H-120-L/P-2G8=1</w:t>
            </w:r>
          </w:p>
          <w:p w14:paraId="12C7D265"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FSM8H-120-L/P-2G8=1</w:t>
            </w:r>
          </w:p>
        </w:tc>
        <w:tc>
          <w:tcPr>
            <w:tcW w:w="803" w:type="dxa"/>
            <w:tcBorders>
              <w:top w:val="single" w:sz="4" w:space="0" w:color="auto"/>
              <w:left w:val="single" w:sz="4" w:space="0" w:color="auto"/>
            </w:tcBorders>
            <w:shd w:val="clear" w:color="auto" w:fill="FFFFFF"/>
            <w:vAlign w:val="center"/>
          </w:tcPr>
          <w:p w14:paraId="16DF274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tcBorders>
            <w:shd w:val="clear" w:color="auto" w:fill="FFFFFF"/>
            <w:vAlign w:val="center"/>
          </w:tcPr>
          <w:p w14:paraId="09F2F703"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122</w:t>
            </w:r>
          </w:p>
        </w:tc>
        <w:tc>
          <w:tcPr>
            <w:tcW w:w="778" w:type="dxa"/>
            <w:tcBorders>
              <w:top w:val="single" w:sz="4" w:space="0" w:color="auto"/>
              <w:left w:val="single" w:sz="4" w:space="0" w:color="auto"/>
            </w:tcBorders>
            <w:shd w:val="clear" w:color="auto" w:fill="FFFFFF"/>
            <w:vAlign w:val="center"/>
          </w:tcPr>
          <w:p w14:paraId="48FAD940"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92,6 %</w:t>
            </w:r>
          </w:p>
        </w:tc>
        <w:tc>
          <w:tcPr>
            <w:tcW w:w="773" w:type="dxa"/>
            <w:tcBorders>
              <w:top w:val="single" w:sz="4" w:space="0" w:color="auto"/>
              <w:left w:val="single" w:sz="4" w:space="0" w:color="auto"/>
            </w:tcBorders>
            <w:shd w:val="clear" w:color="auto" w:fill="FFFFFF"/>
            <w:vAlign w:val="center"/>
          </w:tcPr>
          <w:p w14:paraId="5A6D37B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90,4 %</w:t>
            </w:r>
          </w:p>
        </w:tc>
        <w:tc>
          <w:tcPr>
            <w:tcW w:w="773" w:type="dxa"/>
            <w:tcBorders>
              <w:top w:val="single" w:sz="4" w:space="0" w:color="auto"/>
              <w:left w:val="single" w:sz="4" w:space="0" w:color="auto"/>
            </w:tcBorders>
            <w:shd w:val="clear" w:color="auto" w:fill="FFFFFF"/>
            <w:vAlign w:val="center"/>
          </w:tcPr>
          <w:p w14:paraId="2AFECADC"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84,7 %</w:t>
            </w:r>
          </w:p>
        </w:tc>
        <w:tc>
          <w:tcPr>
            <w:tcW w:w="773" w:type="dxa"/>
            <w:tcBorders>
              <w:top w:val="single" w:sz="4" w:space="0" w:color="auto"/>
              <w:left w:val="single" w:sz="4" w:space="0" w:color="auto"/>
            </w:tcBorders>
            <w:shd w:val="clear" w:color="auto" w:fill="FFFFFF"/>
            <w:vAlign w:val="center"/>
          </w:tcPr>
          <w:p w14:paraId="0BB924EE"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right w:val="single" w:sz="4" w:space="0" w:color="auto"/>
            </w:tcBorders>
            <w:shd w:val="clear" w:color="auto" w:fill="FFFFFF"/>
            <w:vAlign w:val="center"/>
          </w:tcPr>
          <w:p w14:paraId="58CA6B1E"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r w:rsidR="00CA27E3" w:rsidRPr="00D83000" w14:paraId="79B4E63F" w14:textId="77777777" w:rsidTr="00696F04">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vAlign w:val="center"/>
          </w:tcPr>
          <w:p w14:paraId="01EE8E4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TC-DD</w:t>
            </w:r>
          </w:p>
        </w:tc>
        <w:tc>
          <w:tcPr>
            <w:tcW w:w="1177" w:type="dxa"/>
            <w:tcBorders>
              <w:top w:val="single" w:sz="4" w:space="0" w:color="auto"/>
              <w:left w:val="single" w:sz="4" w:space="0" w:color="auto"/>
              <w:bottom w:val="single" w:sz="4" w:space="0" w:color="auto"/>
            </w:tcBorders>
            <w:shd w:val="clear" w:color="auto" w:fill="FFFFFF"/>
            <w:vAlign w:val="center"/>
          </w:tcPr>
          <w:p w14:paraId="37D472D6" w14:textId="77777777" w:rsidR="00CA27E3" w:rsidRPr="00D83000" w:rsidRDefault="00CA27E3" w:rsidP="00D83000">
            <w:pPr>
              <w:pStyle w:val="a4"/>
              <w:shd w:val="clear" w:color="auto" w:fill="auto"/>
              <w:spacing w:after="120" w:line="240" w:lineRule="auto"/>
              <w:ind w:firstLine="300"/>
              <w:jc w:val="both"/>
              <w:rPr>
                <w:rFonts w:ascii="Sylfaen" w:hAnsi="Sylfaen" w:cs="Sylfaen"/>
                <w:sz w:val="16"/>
                <w:szCs w:val="16"/>
              </w:rPr>
            </w:pPr>
            <w:r w:rsidRPr="00D83000">
              <w:rPr>
                <w:rFonts w:ascii="Sylfaen" w:hAnsi="Sylfaen"/>
                <w:sz w:val="16"/>
                <w:szCs w:val="16"/>
              </w:rPr>
              <w:t>55</w:t>
            </w:r>
          </w:p>
        </w:tc>
        <w:tc>
          <w:tcPr>
            <w:tcW w:w="2288" w:type="dxa"/>
            <w:tcBorders>
              <w:top w:val="single" w:sz="4" w:space="0" w:color="auto"/>
              <w:left w:val="single" w:sz="4" w:space="0" w:color="auto"/>
              <w:bottom w:val="single" w:sz="4" w:space="0" w:color="auto"/>
            </w:tcBorders>
            <w:shd w:val="clear" w:color="auto" w:fill="FFFFFF"/>
            <w:vAlign w:val="center"/>
          </w:tcPr>
          <w:p w14:paraId="6C46550F" w14:textId="77777777" w:rsidR="00CA27E3" w:rsidRPr="00D83000" w:rsidRDefault="00CA27E3" w:rsidP="00D83000">
            <w:pPr>
              <w:pStyle w:val="a4"/>
              <w:shd w:val="clear" w:color="auto" w:fill="auto"/>
              <w:spacing w:after="120" w:line="240" w:lineRule="auto"/>
              <w:ind w:firstLine="0"/>
              <w:rPr>
                <w:rFonts w:ascii="Sylfaen" w:hAnsi="Sylfaen" w:cs="Sylfaen"/>
                <w:sz w:val="16"/>
                <w:szCs w:val="16"/>
              </w:rPr>
            </w:pPr>
            <w:r w:rsidRPr="00D83000">
              <w:rPr>
                <w:rFonts w:ascii="Sylfaen" w:hAnsi="Sylfaen"/>
                <w:sz w:val="16"/>
                <w:szCs w:val="16"/>
              </w:rPr>
              <w:t>FSSH-55-L/P-GRY10q3</w:t>
            </w:r>
          </w:p>
        </w:tc>
        <w:tc>
          <w:tcPr>
            <w:tcW w:w="803" w:type="dxa"/>
            <w:tcBorders>
              <w:top w:val="single" w:sz="4" w:space="0" w:color="auto"/>
              <w:left w:val="single" w:sz="4" w:space="0" w:color="auto"/>
              <w:bottom w:val="single" w:sz="4" w:space="0" w:color="auto"/>
            </w:tcBorders>
            <w:shd w:val="clear" w:color="auto" w:fill="FFFFFF"/>
            <w:vAlign w:val="center"/>
          </w:tcPr>
          <w:p w14:paraId="6139FEB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c>
          <w:tcPr>
            <w:tcW w:w="504" w:type="dxa"/>
            <w:tcBorders>
              <w:top w:val="single" w:sz="4" w:space="0" w:color="auto"/>
              <w:left w:val="single" w:sz="4" w:space="0" w:color="auto"/>
              <w:bottom w:val="single" w:sz="4" w:space="0" w:color="auto"/>
            </w:tcBorders>
            <w:shd w:val="clear" w:color="auto" w:fill="FFFFFF"/>
            <w:vAlign w:val="center"/>
          </w:tcPr>
          <w:p w14:paraId="08ED5314"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55</w:t>
            </w:r>
          </w:p>
        </w:tc>
        <w:tc>
          <w:tcPr>
            <w:tcW w:w="778" w:type="dxa"/>
            <w:tcBorders>
              <w:top w:val="single" w:sz="4" w:space="0" w:color="auto"/>
              <w:left w:val="single" w:sz="4" w:space="0" w:color="auto"/>
              <w:bottom w:val="single" w:sz="4" w:space="0" w:color="auto"/>
            </w:tcBorders>
            <w:shd w:val="clear" w:color="auto" w:fill="FFFFFF"/>
            <w:vAlign w:val="center"/>
          </w:tcPr>
          <w:p w14:paraId="1398DA45"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92,4 %</w:t>
            </w:r>
          </w:p>
        </w:tc>
        <w:tc>
          <w:tcPr>
            <w:tcW w:w="773" w:type="dxa"/>
            <w:tcBorders>
              <w:top w:val="single" w:sz="4" w:space="0" w:color="auto"/>
              <w:left w:val="single" w:sz="4" w:space="0" w:color="auto"/>
              <w:bottom w:val="single" w:sz="4" w:space="0" w:color="auto"/>
            </w:tcBorders>
            <w:shd w:val="clear" w:color="auto" w:fill="FFFFFF"/>
            <w:vAlign w:val="center"/>
          </w:tcPr>
          <w:p w14:paraId="69FA3EC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90,2 %</w:t>
            </w:r>
          </w:p>
        </w:tc>
        <w:tc>
          <w:tcPr>
            <w:tcW w:w="773" w:type="dxa"/>
            <w:tcBorders>
              <w:top w:val="single" w:sz="4" w:space="0" w:color="auto"/>
              <w:left w:val="single" w:sz="4" w:space="0" w:color="auto"/>
              <w:bottom w:val="single" w:sz="4" w:space="0" w:color="auto"/>
            </w:tcBorders>
            <w:shd w:val="clear" w:color="auto" w:fill="FFFFFF"/>
            <w:vAlign w:val="center"/>
          </w:tcPr>
          <w:p w14:paraId="4047AE4A"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84,6 %</w:t>
            </w:r>
          </w:p>
        </w:tc>
        <w:tc>
          <w:tcPr>
            <w:tcW w:w="773" w:type="dxa"/>
            <w:tcBorders>
              <w:top w:val="single" w:sz="4" w:space="0" w:color="auto"/>
              <w:left w:val="single" w:sz="4" w:space="0" w:color="auto"/>
              <w:bottom w:val="single" w:sz="4" w:space="0" w:color="auto"/>
            </w:tcBorders>
            <w:shd w:val="clear" w:color="auto" w:fill="FFFFFF"/>
            <w:vAlign w:val="center"/>
          </w:tcPr>
          <w:p w14:paraId="18F61DBC" w14:textId="77777777" w:rsidR="00CA27E3" w:rsidRPr="00D83000" w:rsidRDefault="00CA27E3" w:rsidP="00696F04">
            <w:pPr>
              <w:pStyle w:val="a4"/>
              <w:shd w:val="clear" w:color="auto" w:fill="auto"/>
              <w:spacing w:after="120" w:line="240" w:lineRule="auto"/>
              <w:ind w:firstLine="300"/>
              <w:jc w:val="center"/>
              <w:rPr>
                <w:rFonts w:ascii="Sylfaen" w:hAnsi="Sylfaen" w:cs="Sylfaen"/>
                <w:sz w:val="16"/>
                <w:szCs w:val="16"/>
              </w:rPr>
            </w:pPr>
            <w:r w:rsidRPr="00D83000">
              <w:rPr>
                <w:rFonts w:ascii="Sylfaen" w:hAnsi="Sylfaen"/>
                <w:sz w:val="16"/>
                <w:szCs w:val="16"/>
              </w:rPr>
              <w:t>-</w:t>
            </w:r>
          </w:p>
        </w:tc>
        <w:tc>
          <w:tcPr>
            <w:tcW w:w="787" w:type="dxa"/>
            <w:tcBorders>
              <w:top w:val="single" w:sz="4" w:space="0" w:color="auto"/>
              <w:left w:val="single" w:sz="4" w:space="0" w:color="auto"/>
              <w:bottom w:val="single" w:sz="4" w:space="0" w:color="auto"/>
              <w:right w:val="single" w:sz="4" w:space="0" w:color="auto"/>
            </w:tcBorders>
            <w:shd w:val="clear" w:color="auto" w:fill="FFFFFF"/>
            <w:vAlign w:val="center"/>
          </w:tcPr>
          <w:p w14:paraId="34DF6866" w14:textId="77777777" w:rsidR="00CA27E3" w:rsidRPr="00D83000" w:rsidRDefault="00CA27E3" w:rsidP="00696F04">
            <w:pPr>
              <w:pStyle w:val="a4"/>
              <w:shd w:val="clear" w:color="auto" w:fill="auto"/>
              <w:spacing w:after="120" w:line="240" w:lineRule="auto"/>
              <w:ind w:firstLine="0"/>
              <w:jc w:val="center"/>
              <w:rPr>
                <w:rFonts w:ascii="Sylfaen" w:hAnsi="Sylfaen" w:cs="Sylfaen"/>
                <w:sz w:val="16"/>
                <w:szCs w:val="16"/>
              </w:rPr>
            </w:pPr>
            <w:r w:rsidRPr="00D83000">
              <w:rPr>
                <w:rFonts w:ascii="Sylfaen" w:hAnsi="Sylfaen"/>
                <w:sz w:val="16"/>
                <w:szCs w:val="16"/>
              </w:rPr>
              <w:t>-</w:t>
            </w:r>
          </w:p>
        </w:tc>
      </w:tr>
    </w:tbl>
    <w:p w14:paraId="2BF1ECE2" w14:textId="77777777" w:rsidR="00696F04" w:rsidRDefault="00696F04" w:rsidP="00CA27E3">
      <w:pPr>
        <w:pStyle w:val="a2"/>
        <w:shd w:val="clear" w:color="auto" w:fill="auto"/>
        <w:spacing w:after="160" w:line="360" w:lineRule="auto"/>
        <w:jc w:val="right"/>
        <w:rPr>
          <w:rFonts w:ascii="Sylfaen" w:hAnsi="Sylfaen" w:cs="Sylfaen"/>
          <w:sz w:val="24"/>
          <w:szCs w:val="24"/>
        </w:rPr>
      </w:pPr>
    </w:p>
    <w:p w14:paraId="7B196673" w14:textId="77777777" w:rsidR="00696F04" w:rsidRDefault="00696F04">
      <w:pPr>
        <w:rPr>
          <w:rFonts w:ascii="Sylfaen" w:eastAsia="Times New Roman" w:hAnsi="Sylfaen" w:cs="Sylfaen"/>
          <w:color w:val="auto"/>
        </w:rPr>
      </w:pPr>
      <w:r>
        <w:rPr>
          <w:rFonts w:ascii="Sylfaen" w:hAnsi="Sylfaen" w:cs="Sylfaen"/>
        </w:rPr>
        <w:br w:type="page"/>
      </w:r>
    </w:p>
    <w:p w14:paraId="187C4D81"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lastRenderedPageBreak/>
        <w:t>Աղյուսակ 17</w:t>
      </w:r>
    </w:p>
    <w:p w14:paraId="73B60DED" w14:textId="77777777" w:rsidR="00CA27E3" w:rsidRPr="00CA27E3" w:rsidRDefault="00CA27E3" w:rsidP="00696F04">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16-րդ աղյուսակում չնշված՝ լյումինեսցենտային լամպերի համար չկարգավորվող՝ գործարկումը կարգավորող ապարատների էներգետիկ արդյունավետության դասերը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97"/>
        <w:gridCol w:w="4978"/>
      </w:tblGrid>
      <w:tr w:rsidR="00CA27E3" w:rsidRPr="00D83000" w14:paraId="22969C1C" w14:textId="77777777" w:rsidTr="00CA27E3">
        <w:trPr>
          <w:jc w:val="center"/>
        </w:trPr>
        <w:tc>
          <w:tcPr>
            <w:tcW w:w="4397" w:type="dxa"/>
            <w:tcBorders>
              <w:top w:val="single" w:sz="4" w:space="0" w:color="auto"/>
              <w:left w:val="single" w:sz="4" w:space="0" w:color="auto"/>
            </w:tcBorders>
            <w:shd w:val="clear" w:color="auto" w:fill="FFFFFF"/>
            <w:vAlign w:val="bottom"/>
          </w:tcPr>
          <w:p w14:paraId="2A41228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η</w:t>
            </w:r>
            <w:r w:rsidRPr="00D83000">
              <w:rPr>
                <w:rFonts w:ascii="Sylfaen" w:hAnsi="Sylfaen"/>
                <w:sz w:val="20"/>
                <w:szCs w:val="20"/>
                <w:vertAlign w:val="subscript"/>
              </w:rPr>
              <w:t>ԳԿԱ</w:t>
            </w:r>
          </w:p>
        </w:tc>
        <w:tc>
          <w:tcPr>
            <w:tcW w:w="4978" w:type="dxa"/>
            <w:tcBorders>
              <w:top w:val="single" w:sz="4" w:space="0" w:color="auto"/>
              <w:left w:val="single" w:sz="4" w:space="0" w:color="auto"/>
              <w:right w:val="single" w:sz="4" w:space="0" w:color="auto"/>
            </w:tcBorders>
            <w:shd w:val="clear" w:color="auto" w:fill="FFFFFF"/>
            <w:vAlign w:val="bottom"/>
          </w:tcPr>
          <w:p w14:paraId="1FD752F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Էներգետիկ արդյունավետության դասը</w:t>
            </w:r>
          </w:p>
        </w:tc>
      </w:tr>
      <w:tr w:rsidR="00CA27E3" w:rsidRPr="00D83000" w14:paraId="32C2A26E" w14:textId="77777777" w:rsidTr="00CA27E3">
        <w:trPr>
          <w:jc w:val="center"/>
        </w:trPr>
        <w:tc>
          <w:tcPr>
            <w:tcW w:w="4397" w:type="dxa"/>
            <w:tcBorders>
              <w:top w:val="single" w:sz="4" w:space="0" w:color="auto"/>
              <w:left w:val="single" w:sz="4" w:space="0" w:color="auto"/>
            </w:tcBorders>
            <w:shd w:val="clear" w:color="auto" w:fill="FFFFFF"/>
            <w:vAlign w:val="bottom"/>
          </w:tcPr>
          <w:p w14:paraId="06EF918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0,94 × EBb</w:t>
            </w:r>
            <w:r w:rsidRPr="00D83000">
              <w:rPr>
                <w:rFonts w:ascii="Sylfaen" w:hAnsi="Sylfaen"/>
                <w:sz w:val="20"/>
                <w:szCs w:val="20"/>
                <w:vertAlign w:val="subscript"/>
              </w:rPr>
              <w:t>FL</w:t>
            </w:r>
          </w:p>
        </w:tc>
        <w:tc>
          <w:tcPr>
            <w:tcW w:w="4978" w:type="dxa"/>
            <w:tcBorders>
              <w:top w:val="single" w:sz="4" w:space="0" w:color="auto"/>
              <w:left w:val="single" w:sz="4" w:space="0" w:color="auto"/>
              <w:right w:val="single" w:sz="4" w:space="0" w:color="auto"/>
            </w:tcBorders>
            <w:shd w:val="clear" w:color="auto" w:fill="FFFFFF"/>
            <w:vAlign w:val="bottom"/>
          </w:tcPr>
          <w:p w14:paraId="2FAD9F3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A3</w:t>
            </w:r>
          </w:p>
        </w:tc>
      </w:tr>
      <w:tr w:rsidR="00CA27E3" w:rsidRPr="00D83000" w14:paraId="4C232DF2" w14:textId="77777777" w:rsidTr="00CA27E3">
        <w:trPr>
          <w:jc w:val="center"/>
        </w:trPr>
        <w:tc>
          <w:tcPr>
            <w:tcW w:w="4397" w:type="dxa"/>
            <w:tcBorders>
              <w:top w:val="single" w:sz="4" w:space="0" w:color="auto"/>
              <w:left w:val="single" w:sz="4" w:space="0" w:color="auto"/>
            </w:tcBorders>
            <w:shd w:val="clear" w:color="auto" w:fill="FFFFFF"/>
            <w:vAlign w:val="bottom"/>
          </w:tcPr>
          <w:p w14:paraId="6FDE236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EBb</w:t>
            </w:r>
            <w:r w:rsidRPr="00D83000">
              <w:rPr>
                <w:rFonts w:ascii="Sylfaen" w:hAnsi="Sylfaen"/>
                <w:sz w:val="20"/>
                <w:szCs w:val="20"/>
                <w:vertAlign w:val="subscript"/>
              </w:rPr>
              <w:t>fl</w:t>
            </w:r>
          </w:p>
        </w:tc>
        <w:tc>
          <w:tcPr>
            <w:tcW w:w="4978" w:type="dxa"/>
            <w:tcBorders>
              <w:top w:val="single" w:sz="4" w:space="0" w:color="auto"/>
              <w:left w:val="single" w:sz="4" w:space="0" w:color="auto"/>
              <w:right w:val="single" w:sz="4" w:space="0" w:color="auto"/>
            </w:tcBorders>
            <w:shd w:val="clear" w:color="auto" w:fill="FFFFFF"/>
            <w:vAlign w:val="bottom"/>
          </w:tcPr>
          <w:p w14:paraId="3802527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A2</w:t>
            </w:r>
          </w:p>
        </w:tc>
      </w:tr>
      <w:tr w:rsidR="00CA27E3" w:rsidRPr="00D83000" w14:paraId="7CE1F280" w14:textId="77777777" w:rsidTr="00CA27E3">
        <w:trPr>
          <w:jc w:val="center"/>
        </w:trPr>
        <w:tc>
          <w:tcPr>
            <w:tcW w:w="4397" w:type="dxa"/>
            <w:tcBorders>
              <w:top w:val="single" w:sz="4" w:space="0" w:color="auto"/>
              <w:left w:val="single" w:sz="4" w:space="0" w:color="auto"/>
              <w:bottom w:val="single" w:sz="4" w:space="0" w:color="auto"/>
            </w:tcBorders>
            <w:shd w:val="clear" w:color="auto" w:fill="FFFFFF"/>
            <w:vAlign w:val="bottom"/>
          </w:tcPr>
          <w:p w14:paraId="7CA6810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1 - 0,75 × (1-EBb</w:t>
            </w:r>
            <w:r w:rsidRPr="00D83000">
              <w:rPr>
                <w:rFonts w:ascii="Sylfaen" w:hAnsi="Sylfaen"/>
                <w:sz w:val="20"/>
                <w:szCs w:val="20"/>
                <w:vertAlign w:val="subscript"/>
              </w:rPr>
              <w:t>FL</w:t>
            </w:r>
            <w:r w:rsidRPr="00D83000">
              <w:rPr>
                <w:rFonts w:ascii="Sylfaen" w:hAnsi="Sylfaen"/>
                <w:sz w:val="20"/>
                <w:szCs w:val="20"/>
              </w:rPr>
              <w:t>)</w:t>
            </w:r>
          </w:p>
        </w:tc>
        <w:tc>
          <w:tcPr>
            <w:tcW w:w="4978" w:type="dxa"/>
            <w:tcBorders>
              <w:top w:val="single" w:sz="4" w:space="0" w:color="auto"/>
              <w:left w:val="single" w:sz="4" w:space="0" w:color="auto"/>
              <w:bottom w:val="single" w:sz="4" w:space="0" w:color="auto"/>
              <w:right w:val="single" w:sz="4" w:space="0" w:color="auto"/>
            </w:tcBorders>
            <w:shd w:val="clear" w:color="auto" w:fill="FFFFFF"/>
            <w:vAlign w:val="bottom"/>
          </w:tcPr>
          <w:p w14:paraId="1AB06A1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A2 BAT</w:t>
            </w:r>
          </w:p>
        </w:tc>
      </w:tr>
    </w:tbl>
    <w:p w14:paraId="03212106"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p>
    <w:p w14:paraId="28FC94DC"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t>Աղյուսակ 18</w:t>
      </w:r>
    </w:p>
    <w:p w14:paraId="7CE77FCE" w14:textId="77777777" w:rsidR="00CA27E3" w:rsidRPr="00CA27E3" w:rsidRDefault="00CA27E3" w:rsidP="005C50BB">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Լյումինեսցենտային լամպերի համար կարգավորվող՝ գործարկումը կարգավորող ապարատների էներգետիկ արդյունավետության դասերին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3547"/>
        <w:gridCol w:w="5827"/>
      </w:tblGrid>
      <w:tr w:rsidR="00CA27E3" w:rsidRPr="00D83000" w14:paraId="3F85B16F" w14:textId="77777777" w:rsidTr="00CA27E3">
        <w:trPr>
          <w:jc w:val="center"/>
        </w:trPr>
        <w:tc>
          <w:tcPr>
            <w:tcW w:w="3547" w:type="dxa"/>
            <w:tcBorders>
              <w:top w:val="single" w:sz="4" w:space="0" w:color="auto"/>
              <w:left w:val="single" w:sz="4" w:space="0" w:color="auto"/>
            </w:tcBorders>
            <w:shd w:val="clear" w:color="auto" w:fill="FFFFFF"/>
            <w:vAlign w:val="bottom"/>
          </w:tcPr>
          <w:p w14:paraId="581F086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100 % լուսային հզորության դեպքում ապահովված դասը </w:t>
            </w:r>
          </w:p>
        </w:tc>
        <w:tc>
          <w:tcPr>
            <w:tcW w:w="5827" w:type="dxa"/>
            <w:tcBorders>
              <w:top w:val="single" w:sz="4" w:space="0" w:color="auto"/>
              <w:left w:val="single" w:sz="4" w:space="0" w:color="auto"/>
              <w:right w:val="single" w:sz="4" w:space="0" w:color="auto"/>
            </w:tcBorders>
            <w:shd w:val="clear" w:color="auto" w:fill="FFFFFF"/>
            <w:vAlign w:val="bottom"/>
          </w:tcPr>
          <w:p w14:paraId="3992605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Կարգավորվող՝ գործարկումը կարգավորող ապարատների էներգետիկ արդյունավետության դասը</w:t>
            </w:r>
          </w:p>
        </w:tc>
      </w:tr>
      <w:tr w:rsidR="00CA27E3" w:rsidRPr="00D83000" w14:paraId="2E506750" w14:textId="77777777" w:rsidTr="00CA27E3">
        <w:trPr>
          <w:jc w:val="center"/>
        </w:trPr>
        <w:tc>
          <w:tcPr>
            <w:tcW w:w="3547" w:type="dxa"/>
            <w:tcBorders>
              <w:top w:val="single" w:sz="4" w:space="0" w:color="auto"/>
              <w:left w:val="single" w:sz="4" w:space="0" w:color="auto"/>
            </w:tcBorders>
            <w:shd w:val="clear" w:color="auto" w:fill="FFFFFF"/>
            <w:vAlign w:val="bottom"/>
          </w:tcPr>
          <w:p w14:paraId="06F4B70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A3</w:t>
            </w:r>
          </w:p>
        </w:tc>
        <w:tc>
          <w:tcPr>
            <w:tcW w:w="5827" w:type="dxa"/>
            <w:tcBorders>
              <w:top w:val="single" w:sz="4" w:space="0" w:color="auto"/>
              <w:left w:val="single" w:sz="4" w:space="0" w:color="auto"/>
              <w:right w:val="single" w:sz="4" w:space="0" w:color="auto"/>
            </w:tcBorders>
            <w:shd w:val="clear" w:color="auto" w:fill="FFFFFF"/>
            <w:vAlign w:val="bottom"/>
          </w:tcPr>
          <w:p w14:paraId="751E813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A1</w:t>
            </w:r>
          </w:p>
        </w:tc>
      </w:tr>
      <w:tr w:rsidR="00CA27E3" w:rsidRPr="00D83000" w14:paraId="73DC336B" w14:textId="77777777" w:rsidTr="00CA27E3">
        <w:trPr>
          <w:jc w:val="center"/>
        </w:trPr>
        <w:tc>
          <w:tcPr>
            <w:tcW w:w="3547" w:type="dxa"/>
            <w:tcBorders>
              <w:top w:val="single" w:sz="4" w:space="0" w:color="auto"/>
              <w:left w:val="single" w:sz="4" w:space="0" w:color="auto"/>
              <w:bottom w:val="single" w:sz="4" w:space="0" w:color="auto"/>
            </w:tcBorders>
            <w:shd w:val="clear" w:color="auto" w:fill="FFFFFF"/>
          </w:tcPr>
          <w:p w14:paraId="5D98286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A2</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153B89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A1 BAT</w:t>
            </w:r>
          </w:p>
        </w:tc>
      </w:tr>
    </w:tbl>
    <w:p w14:paraId="61AD782B" w14:textId="77777777" w:rsidR="00696F04" w:rsidRDefault="00696F04" w:rsidP="00CA27E3">
      <w:pPr>
        <w:pStyle w:val="a2"/>
        <w:shd w:val="clear" w:color="auto" w:fill="auto"/>
        <w:spacing w:after="160" w:line="360" w:lineRule="auto"/>
        <w:jc w:val="right"/>
        <w:rPr>
          <w:rFonts w:ascii="Sylfaen" w:hAnsi="Sylfaen"/>
          <w:sz w:val="24"/>
          <w:szCs w:val="24"/>
          <w:lang w:val="en-US"/>
        </w:rPr>
      </w:pPr>
    </w:p>
    <w:p w14:paraId="56E803D4"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19</w:t>
      </w:r>
    </w:p>
    <w:p w14:paraId="1DE7BFAC" w14:textId="77777777" w:rsidR="00CA27E3" w:rsidRPr="00CA27E3" w:rsidRDefault="00CA27E3" w:rsidP="00696F04">
      <w:pPr>
        <w:pStyle w:val="a2"/>
        <w:shd w:val="clear" w:color="auto" w:fill="auto"/>
        <w:spacing w:after="160" w:line="360" w:lineRule="auto"/>
        <w:ind w:left="567" w:right="566"/>
        <w:jc w:val="center"/>
        <w:rPr>
          <w:rFonts w:ascii="Sylfaen" w:hAnsi="Sylfaen" w:cs="Sylfaen"/>
          <w:sz w:val="24"/>
          <w:szCs w:val="24"/>
        </w:rPr>
      </w:pPr>
      <w:r w:rsidRPr="00CA27E3">
        <w:rPr>
          <w:rFonts w:ascii="Sylfaen" w:hAnsi="Sylfaen"/>
          <w:sz w:val="24"/>
          <w:szCs w:val="24"/>
        </w:rPr>
        <w:t xml:space="preserve">Բարձր ճնշման գազապարպումային լամպերի համար՝ </w:t>
      </w:r>
      <w:r w:rsidR="00696F04" w:rsidRPr="00696F04">
        <w:rPr>
          <w:rFonts w:ascii="Sylfaen" w:hAnsi="Sylfaen"/>
          <w:sz w:val="24"/>
          <w:szCs w:val="24"/>
        </w:rPr>
        <w:br/>
      </w:r>
      <w:r w:rsidRPr="00CA27E3">
        <w:rPr>
          <w:rFonts w:ascii="Sylfaen" w:hAnsi="Sylfaen"/>
          <w:sz w:val="24"/>
          <w:szCs w:val="24"/>
        </w:rPr>
        <w:t>գործարկումը կարգավորող ապարատների ՕԳԳ-ն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4594"/>
        <w:gridCol w:w="4800"/>
      </w:tblGrid>
      <w:tr w:rsidR="00CA27E3" w:rsidRPr="00D83000" w14:paraId="4954EB71" w14:textId="77777777" w:rsidTr="00CA27E3">
        <w:trPr>
          <w:jc w:val="center"/>
        </w:trPr>
        <w:tc>
          <w:tcPr>
            <w:tcW w:w="4594" w:type="dxa"/>
            <w:tcBorders>
              <w:top w:val="single" w:sz="4" w:space="0" w:color="auto"/>
              <w:left w:val="single" w:sz="4" w:space="0" w:color="auto"/>
            </w:tcBorders>
            <w:shd w:val="clear" w:color="auto" w:fill="FFFFFF"/>
            <w:vAlign w:val="center"/>
          </w:tcPr>
          <w:p w14:paraId="5EB0F34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սպառվող հզորությունը (Р</w:t>
            </w:r>
            <w:r w:rsidRPr="00D83000">
              <w:rPr>
                <w:rFonts w:ascii="Sylfaen" w:hAnsi="Sylfaen"/>
                <w:sz w:val="20"/>
                <w:szCs w:val="20"/>
                <w:vertAlign w:val="subscript"/>
              </w:rPr>
              <w:t>Լ</w:t>
            </w:r>
            <w:r w:rsidRPr="00D83000">
              <w:rPr>
                <w:rFonts w:ascii="Sylfaen" w:hAnsi="Sylfaen"/>
                <w:sz w:val="20"/>
                <w:szCs w:val="20"/>
              </w:rPr>
              <w:t>),Վտ</w:t>
            </w:r>
          </w:p>
        </w:tc>
        <w:tc>
          <w:tcPr>
            <w:tcW w:w="4800" w:type="dxa"/>
            <w:tcBorders>
              <w:top w:val="single" w:sz="4" w:space="0" w:color="auto"/>
              <w:left w:val="single" w:sz="4" w:space="0" w:color="auto"/>
              <w:right w:val="single" w:sz="4" w:space="0" w:color="auto"/>
            </w:tcBorders>
            <w:shd w:val="clear" w:color="auto" w:fill="FFFFFF"/>
            <w:vAlign w:val="bottom"/>
          </w:tcPr>
          <w:p w14:paraId="4572348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Գործարկումը կարգավորող ապարատի նվազագույն ՕԳԳ-ն (η</w:t>
            </w:r>
            <w:r w:rsidRPr="00D83000">
              <w:rPr>
                <w:rFonts w:ascii="Sylfaen" w:hAnsi="Sylfaen"/>
                <w:sz w:val="20"/>
                <w:szCs w:val="20"/>
                <w:vertAlign w:val="subscript"/>
              </w:rPr>
              <w:t>ԳԿԱ</w:t>
            </w:r>
            <w:r w:rsidRPr="00D83000">
              <w:rPr>
                <w:rFonts w:ascii="Sylfaen" w:hAnsi="Sylfaen"/>
                <w:sz w:val="20"/>
                <w:szCs w:val="20"/>
              </w:rPr>
              <w:t>), %</w:t>
            </w:r>
          </w:p>
        </w:tc>
      </w:tr>
      <w:tr w:rsidR="00CA27E3" w:rsidRPr="00D83000" w14:paraId="559B0EDD" w14:textId="77777777" w:rsidTr="00CA27E3">
        <w:trPr>
          <w:jc w:val="center"/>
        </w:trPr>
        <w:tc>
          <w:tcPr>
            <w:tcW w:w="4594" w:type="dxa"/>
            <w:tcBorders>
              <w:top w:val="single" w:sz="4" w:space="0" w:color="auto"/>
              <w:left w:val="single" w:sz="4" w:space="0" w:color="auto"/>
            </w:tcBorders>
            <w:shd w:val="clear" w:color="auto" w:fill="FFFFFF"/>
          </w:tcPr>
          <w:p w14:paraId="59D918D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Р</w:t>
            </w:r>
            <w:r w:rsidRPr="00D83000">
              <w:rPr>
                <w:rFonts w:ascii="Sylfaen" w:hAnsi="Sylfaen"/>
                <w:sz w:val="20"/>
                <w:szCs w:val="20"/>
                <w:vertAlign w:val="subscript"/>
              </w:rPr>
              <w:t>Լ</w:t>
            </w:r>
            <w:r w:rsidRPr="00D83000">
              <w:rPr>
                <w:rFonts w:ascii="Sylfaen" w:hAnsi="Sylfaen"/>
                <w:sz w:val="20"/>
                <w:szCs w:val="20"/>
              </w:rPr>
              <w:t xml:space="preserve"> ≤ 30</w:t>
            </w:r>
          </w:p>
        </w:tc>
        <w:tc>
          <w:tcPr>
            <w:tcW w:w="4800" w:type="dxa"/>
            <w:tcBorders>
              <w:top w:val="single" w:sz="4" w:space="0" w:color="auto"/>
              <w:left w:val="single" w:sz="4" w:space="0" w:color="auto"/>
              <w:right w:val="single" w:sz="4" w:space="0" w:color="auto"/>
            </w:tcBorders>
            <w:shd w:val="clear" w:color="auto" w:fill="FFFFFF"/>
          </w:tcPr>
          <w:p w14:paraId="789A617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65</w:t>
            </w:r>
          </w:p>
        </w:tc>
      </w:tr>
      <w:tr w:rsidR="00CA27E3" w:rsidRPr="00D83000" w14:paraId="2D5ECAE4" w14:textId="77777777" w:rsidTr="00CA27E3">
        <w:trPr>
          <w:jc w:val="center"/>
        </w:trPr>
        <w:tc>
          <w:tcPr>
            <w:tcW w:w="4594" w:type="dxa"/>
            <w:tcBorders>
              <w:top w:val="single" w:sz="4" w:space="0" w:color="auto"/>
              <w:left w:val="single" w:sz="4" w:space="0" w:color="auto"/>
            </w:tcBorders>
            <w:shd w:val="clear" w:color="auto" w:fill="FFFFFF"/>
            <w:vAlign w:val="bottom"/>
          </w:tcPr>
          <w:p w14:paraId="38962A4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 &lt;Р</w:t>
            </w:r>
            <w:r w:rsidRPr="00D83000">
              <w:rPr>
                <w:rFonts w:ascii="Sylfaen" w:hAnsi="Sylfaen"/>
                <w:sz w:val="20"/>
                <w:szCs w:val="20"/>
                <w:vertAlign w:val="subscript"/>
              </w:rPr>
              <w:t>Լ</w:t>
            </w:r>
            <w:r w:rsidRPr="00D83000">
              <w:rPr>
                <w:rFonts w:ascii="Sylfaen" w:hAnsi="Sylfaen"/>
                <w:sz w:val="20"/>
                <w:szCs w:val="20"/>
              </w:rPr>
              <w:t xml:space="preserve"> ≤ 75</w:t>
            </w:r>
          </w:p>
        </w:tc>
        <w:tc>
          <w:tcPr>
            <w:tcW w:w="4800" w:type="dxa"/>
            <w:tcBorders>
              <w:top w:val="single" w:sz="4" w:space="0" w:color="auto"/>
              <w:left w:val="single" w:sz="4" w:space="0" w:color="auto"/>
              <w:right w:val="single" w:sz="4" w:space="0" w:color="auto"/>
            </w:tcBorders>
            <w:shd w:val="clear" w:color="auto" w:fill="FFFFFF"/>
            <w:vAlign w:val="bottom"/>
          </w:tcPr>
          <w:p w14:paraId="73E182A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r>
      <w:tr w:rsidR="00CA27E3" w:rsidRPr="00D83000" w14:paraId="70DF3757" w14:textId="77777777" w:rsidTr="00CA27E3">
        <w:trPr>
          <w:jc w:val="center"/>
        </w:trPr>
        <w:tc>
          <w:tcPr>
            <w:tcW w:w="4594" w:type="dxa"/>
            <w:tcBorders>
              <w:top w:val="single" w:sz="4" w:space="0" w:color="auto"/>
              <w:left w:val="single" w:sz="4" w:space="0" w:color="auto"/>
            </w:tcBorders>
            <w:shd w:val="clear" w:color="auto" w:fill="FFFFFF"/>
            <w:vAlign w:val="bottom"/>
          </w:tcPr>
          <w:p w14:paraId="289A4E8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 &lt; Р</w:t>
            </w:r>
            <w:r w:rsidRPr="00D83000">
              <w:rPr>
                <w:rFonts w:ascii="Sylfaen" w:hAnsi="Sylfaen"/>
                <w:sz w:val="20"/>
                <w:szCs w:val="20"/>
                <w:vertAlign w:val="subscript"/>
              </w:rPr>
              <w:t>Լ</w:t>
            </w:r>
            <w:r w:rsidRPr="00D83000">
              <w:rPr>
                <w:rFonts w:ascii="Sylfaen" w:hAnsi="Sylfaen"/>
                <w:sz w:val="20"/>
                <w:szCs w:val="20"/>
              </w:rPr>
              <w:t xml:space="preserve"> ≤ 105</w:t>
            </w:r>
          </w:p>
        </w:tc>
        <w:tc>
          <w:tcPr>
            <w:tcW w:w="4800" w:type="dxa"/>
            <w:tcBorders>
              <w:top w:val="single" w:sz="4" w:space="0" w:color="auto"/>
              <w:left w:val="single" w:sz="4" w:space="0" w:color="auto"/>
              <w:right w:val="single" w:sz="4" w:space="0" w:color="auto"/>
            </w:tcBorders>
            <w:shd w:val="clear" w:color="auto" w:fill="FFFFFF"/>
            <w:vAlign w:val="bottom"/>
          </w:tcPr>
          <w:p w14:paraId="42C3E97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80</w:t>
            </w:r>
          </w:p>
        </w:tc>
      </w:tr>
      <w:tr w:rsidR="00CA27E3" w:rsidRPr="00D83000" w14:paraId="7A522D2D" w14:textId="77777777" w:rsidTr="00CA27E3">
        <w:trPr>
          <w:jc w:val="center"/>
        </w:trPr>
        <w:tc>
          <w:tcPr>
            <w:tcW w:w="4594" w:type="dxa"/>
            <w:tcBorders>
              <w:top w:val="single" w:sz="4" w:space="0" w:color="auto"/>
              <w:left w:val="single" w:sz="4" w:space="0" w:color="auto"/>
            </w:tcBorders>
            <w:shd w:val="clear" w:color="auto" w:fill="FFFFFF"/>
            <w:vAlign w:val="bottom"/>
          </w:tcPr>
          <w:p w14:paraId="3E5AF3A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105 &lt; P ≤ 405</w:t>
            </w:r>
          </w:p>
        </w:tc>
        <w:tc>
          <w:tcPr>
            <w:tcW w:w="4800" w:type="dxa"/>
            <w:tcBorders>
              <w:top w:val="single" w:sz="4" w:space="0" w:color="auto"/>
              <w:left w:val="single" w:sz="4" w:space="0" w:color="auto"/>
              <w:right w:val="single" w:sz="4" w:space="0" w:color="auto"/>
            </w:tcBorders>
            <w:shd w:val="clear" w:color="auto" w:fill="FFFFFF"/>
            <w:vAlign w:val="bottom"/>
          </w:tcPr>
          <w:p w14:paraId="424208A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85</w:t>
            </w:r>
          </w:p>
        </w:tc>
      </w:tr>
      <w:tr w:rsidR="00CA27E3" w:rsidRPr="00D83000" w14:paraId="0CA421AE" w14:textId="77777777" w:rsidTr="00CA27E3">
        <w:trPr>
          <w:jc w:val="center"/>
        </w:trPr>
        <w:tc>
          <w:tcPr>
            <w:tcW w:w="4594" w:type="dxa"/>
            <w:tcBorders>
              <w:top w:val="single" w:sz="4" w:space="0" w:color="auto"/>
              <w:left w:val="single" w:sz="4" w:space="0" w:color="auto"/>
              <w:bottom w:val="single" w:sz="4" w:space="0" w:color="auto"/>
            </w:tcBorders>
            <w:shd w:val="clear" w:color="auto" w:fill="FFFFFF"/>
          </w:tcPr>
          <w:p w14:paraId="3D9C20F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Р</w:t>
            </w:r>
            <w:r w:rsidRPr="00D83000">
              <w:rPr>
                <w:rFonts w:ascii="Sylfaen" w:hAnsi="Sylfaen"/>
                <w:sz w:val="20"/>
                <w:szCs w:val="20"/>
                <w:vertAlign w:val="subscript"/>
              </w:rPr>
              <w:t>Լ</w:t>
            </w:r>
            <w:r w:rsidRPr="00D83000">
              <w:rPr>
                <w:rFonts w:ascii="Sylfaen" w:hAnsi="Sylfaen"/>
                <w:sz w:val="20"/>
                <w:szCs w:val="20"/>
              </w:rPr>
              <w:t xml:space="preserve"> &gt; 405</w:t>
            </w:r>
          </w:p>
        </w:tc>
        <w:tc>
          <w:tcPr>
            <w:tcW w:w="4800" w:type="dxa"/>
            <w:tcBorders>
              <w:top w:val="single" w:sz="4" w:space="0" w:color="auto"/>
              <w:left w:val="single" w:sz="4" w:space="0" w:color="auto"/>
              <w:bottom w:val="single" w:sz="4" w:space="0" w:color="auto"/>
              <w:right w:val="single" w:sz="4" w:space="0" w:color="auto"/>
            </w:tcBorders>
            <w:shd w:val="clear" w:color="auto" w:fill="FFFFFF"/>
          </w:tcPr>
          <w:p w14:paraId="29AA7DA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w:t>
            </w:r>
          </w:p>
        </w:tc>
      </w:tr>
    </w:tbl>
    <w:p w14:paraId="0FACBCCC" w14:textId="77777777" w:rsidR="00CA27E3" w:rsidRPr="00CA27E3" w:rsidRDefault="00CA27E3" w:rsidP="00CA27E3">
      <w:pPr>
        <w:spacing w:after="160" w:line="360" w:lineRule="auto"/>
        <w:rPr>
          <w:rFonts w:ascii="Sylfaen" w:hAnsi="Sylfaen" w:cs="Sylfaen"/>
        </w:rPr>
      </w:pPr>
    </w:p>
    <w:p w14:paraId="70D3948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Լյումինեսցենտային լամպերով շահագործման համար՝ գործարկումը կարգավորող ապարատների էներգասպառումը չպետք է գերազանցի 0,5 Վտ-ը, եթե շահագործվող լամպերը շահագործման նորմալ պայմաններում չեն ճառագայթում որ</w:t>
      </w:r>
      <w:r>
        <w:rPr>
          <w:rFonts w:ascii="Sylfaen" w:hAnsi="Sylfaen"/>
          <w:sz w:val="24"/>
          <w:szCs w:val="24"/>
        </w:rPr>
        <w:t>եւ</w:t>
      </w:r>
      <w:r w:rsidRPr="00CA27E3">
        <w:rPr>
          <w:rFonts w:ascii="Sylfaen" w:hAnsi="Sylfaen"/>
          <w:sz w:val="24"/>
          <w:szCs w:val="24"/>
        </w:rPr>
        <w:t xml:space="preserve">է լույս։ Նշված պահանջը գործում է գործարկումը կարգավորող ապարատների համար, եթե մյուս՝ հավանաբար միացված կառուցվածքային տարրերը (ցանցային միացումներ, տվիչներ </w:t>
      </w:r>
      <w:r>
        <w:rPr>
          <w:rFonts w:ascii="Sylfaen" w:hAnsi="Sylfaen"/>
          <w:sz w:val="24"/>
          <w:szCs w:val="24"/>
        </w:rPr>
        <w:t>եւ</w:t>
      </w:r>
      <w:r w:rsidRPr="00CA27E3">
        <w:rPr>
          <w:rFonts w:ascii="Sylfaen" w:hAnsi="Sylfaen"/>
          <w:sz w:val="24"/>
          <w:szCs w:val="24"/>
        </w:rPr>
        <w:t xml:space="preserve"> այլն) անջատված են։ Եթե</w:t>
      </w:r>
      <w:r w:rsidR="00696F04" w:rsidRPr="00696F04">
        <w:rPr>
          <w:rFonts w:ascii="Sylfaen" w:hAnsi="Sylfaen"/>
          <w:sz w:val="24"/>
          <w:szCs w:val="24"/>
        </w:rPr>
        <w:t> </w:t>
      </w:r>
      <w:r w:rsidRPr="00CA27E3">
        <w:rPr>
          <w:rFonts w:ascii="Sylfaen" w:hAnsi="Sylfaen"/>
          <w:sz w:val="24"/>
          <w:szCs w:val="24"/>
        </w:rPr>
        <w:t xml:space="preserve">անջատումն անհնար է, ապա անհրաժեշտ է չափել դրանց հզորությունը </w:t>
      </w:r>
      <w:r>
        <w:rPr>
          <w:rFonts w:ascii="Sylfaen" w:hAnsi="Sylfaen"/>
          <w:sz w:val="24"/>
          <w:szCs w:val="24"/>
        </w:rPr>
        <w:t>եւ</w:t>
      </w:r>
      <w:r w:rsidRPr="00CA27E3">
        <w:rPr>
          <w:rFonts w:ascii="Sylfaen" w:hAnsi="Sylfaen"/>
          <w:sz w:val="24"/>
          <w:szCs w:val="24"/>
        </w:rPr>
        <w:t xml:space="preserve"> հանել արդյունքից։</w:t>
      </w:r>
    </w:p>
    <w:p w14:paraId="7FF5141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Նշված պահանջները պետք է կիրառվեն 2022 թվականի սեպտեմբերի 1-ից։</w:t>
      </w:r>
    </w:p>
    <w:p w14:paraId="7811BB7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Բարձր ճնշման գազապարպումային լամպերի համար գործարկումը կարգավորող ապարատները պետք է ունենան ՕԳԳ-ի՝ 20-րդ աղյուսակում բերված արժեքներից ոչ ցածր արժեքներ։ Նշված պահանջը պետք է կիրառվի 2022</w:t>
      </w:r>
      <w:r w:rsidR="00696F04" w:rsidRPr="003D2C38">
        <w:rPr>
          <w:rFonts w:ascii="Sylfaen" w:hAnsi="Sylfaen"/>
          <w:sz w:val="24"/>
          <w:szCs w:val="24"/>
        </w:rPr>
        <w:t> </w:t>
      </w:r>
      <w:r w:rsidRPr="00CA27E3">
        <w:rPr>
          <w:rFonts w:ascii="Sylfaen" w:hAnsi="Sylfaen"/>
          <w:sz w:val="24"/>
          <w:szCs w:val="24"/>
        </w:rPr>
        <w:t>թվականի սեպտեմբերի 1-ից։</w:t>
      </w:r>
    </w:p>
    <w:p w14:paraId="5B515B62"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5B2B9D62"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20</w:t>
      </w:r>
    </w:p>
    <w:p w14:paraId="3341B030"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Բարձր ճնշման գազապարպումային լամպերի համար </w:t>
      </w:r>
      <w:r w:rsidR="00696F04" w:rsidRPr="00696F04">
        <w:rPr>
          <w:rFonts w:ascii="Sylfaen" w:hAnsi="Sylfaen"/>
          <w:sz w:val="24"/>
          <w:szCs w:val="24"/>
        </w:rPr>
        <w:br/>
      </w:r>
      <w:r w:rsidRPr="00CA27E3">
        <w:rPr>
          <w:rFonts w:ascii="Sylfaen" w:hAnsi="Sylfaen"/>
          <w:sz w:val="24"/>
          <w:szCs w:val="24"/>
        </w:rPr>
        <w:t>գործարկումը կարգավորող ապարատների ՕԳԳ-ն</w:t>
      </w:r>
    </w:p>
    <w:tbl>
      <w:tblPr>
        <w:tblOverlap w:val="never"/>
        <w:tblW w:w="0" w:type="auto"/>
        <w:tblLayout w:type="fixed"/>
        <w:tblCellMar>
          <w:left w:w="10" w:type="dxa"/>
          <w:right w:w="10" w:type="dxa"/>
        </w:tblCellMar>
        <w:tblLook w:val="0000" w:firstRow="0" w:lastRow="0" w:firstColumn="0" w:lastColumn="0" w:noHBand="0" w:noVBand="0"/>
      </w:tblPr>
      <w:tblGrid>
        <w:gridCol w:w="4570"/>
        <w:gridCol w:w="4766"/>
      </w:tblGrid>
      <w:tr w:rsidR="00CA27E3" w:rsidRPr="00D83000" w14:paraId="2D58C075" w14:textId="77777777" w:rsidTr="00CA27E3">
        <w:tc>
          <w:tcPr>
            <w:tcW w:w="4570" w:type="dxa"/>
            <w:tcBorders>
              <w:top w:val="single" w:sz="4" w:space="0" w:color="auto"/>
              <w:left w:val="single" w:sz="4" w:space="0" w:color="auto"/>
            </w:tcBorders>
            <w:shd w:val="clear" w:color="auto" w:fill="FFFFFF"/>
            <w:vAlign w:val="center"/>
          </w:tcPr>
          <w:p w14:paraId="7A10F76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օգտագործվող հզորությունը (Р</w:t>
            </w:r>
            <w:r w:rsidRPr="00D83000">
              <w:rPr>
                <w:rFonts w:ascii="Sylfaen" w:hAnsi="Sylfaen"/>
                <w:sz w:val="20"/>
                <w:szCs w:val="20"/>
                <w:vertAlign w:val="subscript"/>
              </w:rPr>
              <w:t>Լ</w:t>
            </w:r>
            <w:r w:rsidRPr="00D83000">
              <w:rPr>
                <w:rFonts w:ascii="Sylfaen" w:hAnsi="Sylfaen"/>
                <w:sz w:val="20"/>
                <w:szCs w:val="20"/>
              </w:rPr>
              <w:t>), Վտ</w:t>
            </w:r>
          </w:p>
        </w:tc>
        <w:tc>
          <w:tcPr>
            <w:tcW w:w="4766" w:type="dxa"/>
            <w:tcBorders>
              <w:top w:val="single" w:sz="4" w:space="0" w:color="auto"/>
              <w:left w:val="single" w:sz="4" w:space="0" w:color="auto"/>
              <w:right w:val="single" w:sz="4" w:space="0" w:color="auto"/>
            </w:tcBorders>
            <w:shd w:val="clear" w:color="auto" w:fill="FFFFFF"/>
            <w:vAlign w:val="bottom"/>
          </w:tcPr>
          <w:p w14:paraId="77EF2B3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Գործարկումը կարգավորող ապարատի նվազագույն ՕԳԳ-ն (η</w:t>
            </w:r>
            <w:r w:rsidRPr="00D83000">
              <w:rPr>
                <w:rFonts w:ascii="Sylfaen" w:hAnsi="Sylfaen"/>
                <w:sz w:val="20"/>
                <w:szCs w:val="20"/>
                <w:vertAlign w:val="subscript"/>
              </w:rPr>
              <w:t>ԳԿԱ</w:t>
            </w:r>
            <w:r w:rsidRPr="00D83000">
              <w:rPr>
                <w:rFonts w:ascii="Sylfaen" w:hAnsi="Sylfaen"/>
                <w:sz w:val="20"/>
                <w:szCs w:val="20"/>
              </w:rPr>
              <w:t>), %</w:t>
            </w:r>
          </w:p>
        </w:tc>
      </w:tr>
      <w:tr w:rsidR="00CA27E3" w:rsidRPr="00D83000" w14:paraId="68F82CE5" w14:textId="77777777" w:rsidTr="00CA27E3">
        <w:tc>
          <w:tcPr>
            <w:tcW w:w="4570" w:type="dxa"/>
            <w:tcBorders>
              <w:top w:val="single" w:sz="4" w:space="0" w:color="auto"/>
              <w:left w:val="single" w:sz="4" w:space="0" w:color="auto"/>
            </w:tcBorders>
            <w:shd w:val="clear" w:color="auto" w:fill="FFFFFF"/>
          </w:tcPr>
          <w:p w14:paraId="40DC114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Р</w:t>
            </w:r>
            <w:r w:rsidRPr="00D83000">
              <w:rPr>
                <w:rFonts w:ascii="Sylfaen" w:hAnsi="Sylfaen"/>
                <w:sz w:val="20"/>
                <w:szCs w:val="20"/>
                <w:vertAlign w:val="subscript"/>
              </w:rPr>
              <w:t>Լ</w:t>
            </w:r>
            <w:r w:rsidRPr="00D83000">
              <w:rPr>
                <w:rFonts w:ascii="Sylfaen" w:hAnsi="Sylfaen"/>
                <w:sz w:val="20"/>
                <w:szCs w:val="20"/>
              </w:rPr>
              <w:t xml:space="preserve"> ≤ 30</w:t>
            </w:r>
          </w:p>
        </w:tc>
        <w:tc>
          <w:tcPr>
            <w:tcW w:w="4766" w:type="dxa"/>
            <w:tcBorders>
              <w:top w:val="single" w:sz="4" w:space="0" w:color="auto"/>
              <w:left w:val="single" w:sz="4" w:space="0" w:color="auto"/>
              <w:right w:val="single" w:sz="4" w:space="0" w:color="auto"/>
            </w:tcBorders>
            <w:shd w:val="clear" w:color="auto" w:fill="FFFFFF"/>
          </w:tcPr>
          <w:p w14:paraId="558EF92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78</w:t>
            </w:r>
          </w:p>
        </w:tc>
      </w:tr>
      <w:tr w:rsidR="00CA27E3" w:rsidRPr="00D83000" w14:paraId="471CC9CE" w14:textId="77777777" w:rsidTr="00CA27E3">
        <w:tc>
          <w:tcPr>
            <w:tcW w:w="4570" w:type="dxa"/>
            <w:tcBorders>
              <w:top w:val="single" w:sz="4" w:space="0" w:color="auto"/>
              <w:left w:val="single" w:sz="4" w:space="0" w:color="auto"/>
            </w:tcBorders>
            <w:shd w:val="clear" w:color="auto" w:fill="FFFFFF"/>
            <w:vAlign w:val="bottom"/>
          </w:tcPr>
          <w:p w14:paraId="13DF391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 &lt; Р</w:t>
            </w:r>
            <w:r w:rsidRPr="00D83000">
              <w:rPr>
                <w:rFonts w:ascii="Sylfaen" w:hAnsi="Sylfaen"/>
                <w:sz w:val="20"/>
                <w:szCs w:val="20"/>
                <w:vertAlign w:val="subscript"/>
              </w:rPr>
              <w:t>Լ</w:t>
            </w:r>
            <w:r w:rsidRPr="00D83000">
              <w:rPr>
                <w:rFonts w:ascii="Sylfaen" w:hAnsi="Sylfaen"/>
                <w:sz w:val="20"/>
                <w:szCs w:val="20"/>
              </w:rPr>
              <w:t xml:space="preserve"> ≤ 75</w:t>
            </w:r>
          </w:p>
        </w:tc>
        <w:tc>
          <w:tcPr>
            <w:tcW w:w="4766" w:type="dxa"/>
            <w:tcBorders>
              <w:top w:val="single" w:sz="4" w:space="0" w:color="auto"/>
              <w:left w:val="single" w:sz="4" w:space="0" w:color="auto"/>
              <w:right w:val="single" w:sz="4" w:space="0" w:color="auto"/>
            </w:tcBorders>
            <w:shd w:val="clear" w:color="auto" w:fill="FFFFFF"/>
            <w:vAlign w:val="bottom"/>
          </w:tcPr>
          <w:p w14:paraId="759DF06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85</w:t>
            </w:r>
          </w:p>
        </w:tc>
      </w:tr>
      <w:tr w:rsidR="00CA27E3" w:rsidRPr="00D83000" w14:paraId="37DEC7A5" w14:textId="77777777" w:rsidTr="00CA27E3">
        <w:tc>
          <w:tcPr>
            <w:tcW w:w="4570" w:type="dxa"/>
            <w:tcBorders>
              <w:top w:val="single" w:sz="4" w:space="0" w:color="auto"/>
              <w:left w:val="single" w:sz="4" w:space="0" w:color="auto"/>
            </w:tcBorders>
            <w:shd w:val="clear" w:color="auto" w:fill="FFFFFF"/>
            <w:vAlign w:val="bottom"/>
          </w:tcPr>
          <w:p w14:paraId="3676BFC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 &lt; Р</w:t>
            </w:r>
            <w:r w:rsidRPr="00D83000">
              <w:rPr>
                <w:rFonts w:ascii="Sylfaen" w:hAnsi="Sylfaen"/>
                <w:sz w:val="20"/>
                <w:szCs w:val="20"/>
                <w:vertAlign w:val="subscript"/>
              </w:rPr>
              <w:t>Լ</w:t>
            </w:r>
            <w:r w:rsidRPr="00D83000">
              <w:rPr>
                <w:rFonts w:ascii="Sylfaen" w:hAnsi="Sylfaen"/>
                <w:sz w:val="20"/>
                <w:szCs w:val="20"/>
              </w:rPr>
              <w:t xml:space="preserve"> ≤ 105</w:t>
            </w:r>
          </w:p>
        </w:tc>
        <w:tc>
          <w:tcPr>
            <w:tcW w:w="4766" w:type="dxa"/>
            <w:tcBorders>
              <w:top w:val="single" w:sz="4" w:space="0" w:color="auto"/>
              <w:left w:val="single" w:sz="4" w:space="0" w:color="auto"/>
              <w:right w:val="single" w:sz="4" w:space="0" w:color="auto"/>
            </w:tcBorders>
            <w:shd w:val="clear" w:color="auto" w:fill="FFFFFF"/>
            <w:vAlign w:val="bottom"/>
          </w:tcPr>
          <w:p w14:paraId="04A7E3E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87</w:t>
            </w:r>
          </w:p>
        </w:tc>
      </w:tr>
      <w:tr w:rsidR="00CA27E3" w:rsidRPr="00D83000" w14:paraId="4059EB9F" w14:textId="77777777" w:rsidTr="00CA27E3">
        <w:tc>
          <w:tcPr>
            <w:tcW w:w="4570" w:type="dxa"/>
            <w:tcBorders>
              <w:top w:val="single" w:sz="4" w:space="0" w:color="auto"/>
              <w:left w:val="single" w:sz="4" w:space="0" w:color="auto"/>
            </w:tcBorders>
            <w:shd w:val="clear" w:color="auto" w:fill="FFFFFF"/>
            <w:vAlign w:val="bottom"/>
          </w:tcPr>
          <w:p w14:paraId="789DDDA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105 &lt; Р</w:t>
            </w:r>
            <w:r w:rsidRPr="00D83000">
              <w:rPr>
                <w:rFonts w:ascii="Sylfaen" w:hAnsi="Sylfaen"/>
                <w:sz w:val="20"/>
                <w:szCs w:val="20"/>
                <w:vertAlign w:val="subscript"/>
              </w:rPr>
              <w:t>Լ</w:t>
            </w:r>
            <w:r w:rsidRPr="00D83000">
              <w:rPr>
                <w:rFonts w:ascii="Sylfaen" w:hAnsi="Sylfaen"/>
                <w:sz w:val="20"/>
                <w:szCs w:val="20"/>
              </w:rPr>
              <w:t xml:space="preserve"> ≤ 405</w:t>
            </w:r>
          </w:p>
        </w:tc>
        <w:tc>
          <w:tcPr>
            <w:tcW w:w="4766" w:type="dxa"/>
            <w:tcBorders>
              <w:top w:val="single" w:sz="4" w:space="0" w:color="auto"/>
              <w:left w:val="single" w:sz="4" w:space="0" w:color="auto"/>
              <w:right w:val="single" w:sz="4" w:space="0" w:color="auto"/>
            </w:tcBorders>
            <w:shd w:val="clear" w:color="auto" w:fill="FFFFFF"/>
            <w:vAlign w:val="bottom"/>
          </w:tcPr>
          <w:p w14:paraId="5B4D524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w:t>
            </w:r>
          </w:p>
        </w:tc>
      </w:tr>
      <w:tr w:rsidR="00CA27E3" w:rsidRPr="00D83000" w14:paraId="705C78C4" w14:textId="77777777" w:rsidTr="00CA27E3">
        <w:tc>
          <w:tcPr>
            <w:tcW w:w="4570" w:type="dxa"/>
            <w:tcBorders>
              <w:top w:val="single" w:sz="4" w:space="0" w:color="auto"/>
              <w:left w:val="single" w:sz="4" w:space="0" w:color="auto"/>
              <w:bottom w:val="single" w:sz="4" w:space="0" w:color="auto"/>
            </w:tcBorders>
            <w:shd w:val="clear" w:color="auto" w:fill="FFFFFF"/>
          </w:tcPr>
          <w:p w14:paraId="54B1025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Р</w:t>
            </w:r>
            <w:r w:rsidRPr="00D83000">
              <w:rPr>
                <w:rFonts w:ascii="Sylfaen" w:hAnsi="Sylfaen"/>
                <w:sz w:val="20"/>
                <w:szCs w:val="20"/>
                <w:vertAlign w:val="subscript"/>
              </w:rPr>
              <w:t>Լ</w:t>
            </w:r>
            <w:r w:rsidRPr="00D83000">
              <w:rPr>
                <w:rFonts w:ascii="Sylfaen" w:hAnsi="Sylfaen"/>
                <w:sz w:val="20"/>
                <w:szCs w:val="20"/>
              </w:rPr>
              <w:t xml:space="preserve"> &gt; 405</w:t>
            </w:r>
          </w:p>
        </w:tc>
        <w:tc>
          <w:tcPr>
            <w:tcW w:w="4766" w:type="dxa"/>
            <w:tcBorders>
              <w:top w:val="single" w:sz="4" w:space="0" w:color="auto"/>
              <w:left w:val="single" w:sz="4" w:space="0" w:color="auto"/>
              <w:bottom w:val="single" w:sz="4" w:space="0" w:color="auto"/>
              <w:right w:val="single" w:sz="4" w:space="0" w:color="auto"/>
            </w:tcBorders>
            <w:shd w:val="clear" w:color="auto" w:fill="FFFFFF"/>
          </w:tcPr>
          <w:p w14:paraId="25B3735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92</w:t>
            </w:r>
          </w:p>
        </w:tc>
      </w:tr>
    </w:tbl>
    <w:p w14:paraId="2691DED5"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451E4CF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Լյումինեսցենտային լամպերի համար գործարկումը կարգավորող ապարատները դասակարգվում են ՕԳԳ-ի համաձայն։ Դա նշանակում է առանց ներկառուցված՝ գործարկումը կարգավորող ապարատի լյումինեսցենտային </w:t>
      </w:r>
      <w:r w:rsidRPr="00CA27E3">
        <w:rPr>
          <w:rFonts w:ascii="Sylfaen" w:hAnsi="Sylfaen"/>
          <w:sz w:val="24"/>
          <w:szCs w:val="24"/>
        </w:rPr>
        <w:lastRenderedPageBreak/>
        <w:t xml:space="preserve">լամպերի համար գործարկումը կարգավորող ապարատների դասակարգման համակարգ՝ ՕԳԳ-ի սահմանային արժեքների համաձայն։ Չկարգավորվող՝ </w:t>
      </w:r>
      <w:r w:rsidRPr="00696F04">
        <w:rPr>
          <w:rFonts w:ascii="Sylfaen" w:hAnsi="Sylfaen"/>
          <w:spacing w:val="-4"/>
          <w:sz w:val="24"/>
          <w:szCs w:val="24"/>
        </w:rPr>
        <w:t>գործարկումը կարգավորող ապարատների համար դասերն են A2 BAT-ը, A2-ը, A3-ը, B1-ը եւ</w:t>
      </w:r>
      <w:r w:rsidRPr="00CA27E3">
        <w:rPr>
          <w:rFonts w:ascii="Sylfaen" w:hAnsi="Sylfaen"/>
          <w:sz w:val="24"/>
          <w:szCs w:val="24"/>
        </w:rPr>
        <w:t xml:space="preserve"> B2-ը (դասակարգվում են նվազման կարգով՝ համաձայն ՕԳԳ-ի), իսկ կարգավորվող՝ գործարկումը կարգավորող ապարատների դասերն են A1 BAT-ը </w:t>
      </w:r>
      <w:r>
        <w:rPr>
          <w:rFonts w:ascii="Sylfaen" w:hAnsi="Sylfaen"/>
          <w:sz w:val="24"/>
          <w:szCs w:val="24"/>
        </w:rPr>
        <w:t>եւ</w:t>
      </w:r>
      <w:r w:rsidRPr="00CA27E3">
        <w:rPr>
          <w:rFonts w:ascii="Sylfaen" w:hAnsi="Sylfaen"/>
          <w:sz w:val="24"/>
          <w:szCs w:val="24"/>
        </w:rPr>
        <w:t xml:space="preserve"> A1-ը։</w:t>
      </w:r>
    </w:p>
    <w:p w14:paraId="367AC94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16-րդ աղյուսակում բերված են նշված լամպերով կամ գործարկումը կարգավորող համանման ապարատներով շահագործման համար նախատեսված այլ լամպերի հետ (չափանմուշային՝ գործարկումը կարգավորող ապարատի նույնական տվյալներով լամպեր) շահագործման համար գործարկումը կարգավորող ապարատների էներգետիկ արդյունավետության դասերը։</w:t>
      </w:r>
    </w:p>
    <w:p w14:paraId="1F87F80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16-րդ աղյուսակում չնշված՝ չկարգավորվող՝ գործարկումը կարգավորող ապարատներին ներկայացվող լրացուցիչ պահանջները բերված են 17-րդ աղյուսակում։</w:t>
      </w:r>
    </w:p>
    <w:p w14:paraId="3E4281C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Լյումինեսցենտային լամպերի համար կարգավորվող՝ գործարկումը կարգավորվող ապարատները՝ համաձայն այն դասի, որին գործարկումը կարգավորող ապարատը կդասվեր 100 %</w:t>
      </w:r>
      <w:r>
        <w:rPr>
          <w:rFonts w:ascii="Sylfaen" w:hAnsi="Sylfaen"/>
          <w:sz w:val="24"/>
          <w:szCs w:val="24"/>
        </w:rPr>
        <w:t xml:space="preserve"> </w:t>
      </w:r>
      <w:r w:rsidRPr="00CA27E3">
        <w:rPr>
          <w:rFonts w:ascii="Sylfaen" w:hAnsi="Sylfaen"/>
          <w:sz w:val="24"/>
          <w:szCs w:val="24"/>
        </w:rPr>
        <w:t>լուսատացքով շահագործման դեպքում, դասակարգվում են ըստ էներգետիկ արդյունավետության դասերի՝</w:t>
      </w:r>
      <w:r w:rsidRPr="00CA27E3" w:rsidDel="00375FB3">
        <w:rPr>
          <w:rFonts w:ascii="Sylfaen" w:hAnsi="Sylfaen"/>
          <w:sz w:val="24"/>
          <w:szCs w:val="24"/>
        </w:rPr>
        <w:t xml:space="preserve"> </w:t>
      </w:r>
      <w:r w:rsidRPr="00CA27E3">
        <w:rPr>
          <w:rFonts w:ascii="Sylfaen" w:hAnsi="Sylfaen"/>
          <w:sz w:val="24"/>
          <w:szCs w:val="24"/>
        </w:rPr>
        <w:t>18-րդ աղյուսակին համապատասախան։</w:t>
      </w:r>
    </w:p>
    <w:p w14:paraId="18797E5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Փոխարկվող՝ գործարկումը կարգավորող ապարատները դասակարգվում են ամենացածր (վատագույն) ՕԳԳ-ին համապատասխան, կամ յուրաքանչյուր շահագործվող լամպի համար նշվում է դասը։</w:t>
      </w:r>
    </w:p>
    <w:p w14:paraId="07F0C1A6"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5C50BB" w:rsidRPr="005C50BB">
        <w:rPr>
          <w:rFonts w:ascii="Sylfaen" w:hAnsi="Sylfaen"/>
          <w:sz w:val="24"/>
          <w:szCs w:val="24"/>
        </w:rPr>
        <w:tab/>
      </w:r>
      <w:r w:rsidRPr="00CA27E3">
        <w:rPr>
          <w:rFonts w:ascii="Sylfaen" w:hAnsi="Sylfaen"/>
          <w:sz w:val="24"/>
          <w:szCs w:val="24"/>
        </w:rPr>
        <w:t xml:space="preserve">Առանց ներկառուցված՝ գործարկումը կարգավորող ապարատի լյումինեսցենտային լամպերի համար լուսատուների </w:t>
      </w:r>
      <w:r>
        <w:rPr>
          <w:rFonts w:ascii="Sylfaen" w:hAnsi="Sylfaen"/>
          <w:sz w:val="24"/>
          <w:szCs w:val="24"/>
        </w:rPr>
        <w:t>եւ</w:t>
      </w:r>
      <w:r w:rsidRPr="00CA27E3">
        <w:rPr>
          <w:rFonts w:ascii="Sylfaen" w:hAnsi="Sylfaen"/>
          <w:sz w:val="24"/>
          <w:szCs w:val="24"/>
        </w:rPr>
        <w:t xml:space="preserve"> բարձր ճնշման գազապարպումային լամպերի համար լուսատուների էներգասպառումը չպետք է գերազանցի ներկառուցված՝ գործարկումը կարգավորող ապարատների ընդհանուր էներգասպառումը, եթե լամպերը շահագործման նորմալ պայմաններում չեն ճառագայթում որ</w:t>
      </w:r>
      <w:r>
        <w:rPr>
          <w:rFonts w:ascii="Sylfaen" w:hAnsi="Sylfaen"/>
          <w:sz w:val="24"/>
          <w:szCs w:val="24"/>
        </w:rPr>
        <w:t>եւ</w:t>
      </w:r>
      <w:r w:rsidRPr="00CA27E3">
        <w:rPr>
          <w:rFonts w:ascii="Sylfaen" w:hAnsi="Sylfaen"/>
          <w:sz w:val="24"/>
          <w:szCs w:val="24"/>
        </w:rPr>
        <w:t xml:space="preserve">է լույս </w:t>
      </w:r>
      <w:r>
        <w:rPr>
          <w:rFonts w:ascii="Sylfaen" w:hAnsi="Sylfaen"/>
          <w:sz w:val="24"/>
          <w:szCs w:val="24"/>
        </w:rPr>
        <w:t>եւ</w:t>
      </w:r>
      <w:r w:rsidRPr="00CA27E3">
        <w:rPr>
          <w:rFonts w:ascii="Sylfaen" w:hAnsi="Sylfaen"/>
          <w:sz w:val="24"/>
          <w:szCs w:val="24"/>
        </w:rPr>
        <w:t xml:space="preserve"> մյուս միացված կառուցվածքային </w:t>
      </w:r>
      <w:r w:rsidRPr="00CA27E3">
        <w:rPr>
          <w:rFonts w:ascii="Sylfaen" w:hAnsi="Sylfaen"/>
          <w:sz w:val="24"/>
          <w:szCs w:val="24"/>
        </w:rPr>
        <w:lastRenderedPageBreak/>
        <w:t xml:space="preserve">տարրերը (ցանցային միացումներ, սենսորներ </w:t>
      </w:r>
      <w:r>
        <w:rPr>
          <w:rFonts w:ascii="Sylfaen" w:hAnsi="Sylfaen"/>
          <w:sz w:val="24"/>
          <w:szCs w:val="24"/>
        </w:rPr>
        <w:t>եւ</w:t>
      </w:r>
      <w:r w:rsidRPr="00CA27E3">
        <w:rPr>
          <w:rFonts w:ascii="Sylfaen" w:hAnsi="Sylfaen"/>
          <w:sz w:val="24"/>
          <w:szCs w:val="24"/>
        </w:rPr>
        <w:t xml:space="preserve"> այլն) անջատված են։ Եթե անջատումն անհնար է, ապա անհրաժեշտ է չափել դրանց հզորությունը </w:t>
      </w:r>
      <w:r>
        <w:rPr>
          <w:rFonts w:ascii="Sylfaen" w:hAnsi="Sylfaen"/>
          <w:sz w:val="24"/>
          <w:szCs w:val="24"/>
        </w:rPr>
        <w:t>եւ</w:t>
      </w:r>
      <w:r w:rsidRPr="00CA27E3">
        <w:rPr>
          <w:rFonts w:ascii="Sylfaen" w:hAnsi="Sylfaen"/>
          <w:sz w:val="24"/>
          <w:szCs w:val="24"/>
        </w:rPr>
        <w:t xml:space="preserve"> հանել արդյունքից։</w:t>
      </w:r>
    </w:p>
    <w:p w14:paraId="3A41C25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Առանց ներկառուցված՝ գործարկումը կարգավորող ապարատի լյումինեսցենտային լամպերի </w:t>
      </w:r>
      <w:r>
        <w:rPr>
          <w:rFonts w:ascii="Sylfaen" w:hAnsi="Sylfaen"/>
          <w:sz w:val="24"/>
          <w:szCs w:val="24"/>
        </w:rPr>
        <w:t>եւ</w:t>
      </w:r>
      <w:r w:rsidRPr="00CA27E3">
        <w:rPr>
          <w:rFonts w:ascii="Sylfaen" w:hAnsi="Sylfaen"/>
          <w:sz w:val="24"/>
          <w:szCs w:val="24"/>
        </w:rPr>
        <w:t xml:space="preserve"> բարձր ճնշման գազապարպումային լամպերի համար նախատեսված լուսատուները պետք է համատեղելի լինեն գործարկումը կարգավորող ապարատների հետ, որոնք համապատասխանում են այդպիսի ապարատների համար գործող պահանջներին։ Նշված պահանջը պետք է կիրառվի 2022 թվականի սեպտեմբերի 1-ից։</w:t>
      </w:r>
    </w:p>
    <w:p w14:paraId="07C85C12"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5C50BB" w:rsidRPr="005C50BB">
        <w:rPr>
          <w:rFonts w:ascii="Sylfaen" w:hAnsi="Sylfaen"/>
          <w:sz w:val="24"/>
          <w:szCs w:val="24"/>
        </w:rPr>
        <w:tab/>
      </w:r>
      <w:r w:rsidRPr="00CA27E3">
        <w:rPr>
          <w:rFonts w:ascii="Sylfaen" w:hAnsi="Sylfaen"/>
          <w:sz w:val="24"/>
          <w:szCs w:val="24"/>
        </w:rPr>
        <w:t>Ի լրումն «Էներգասպառող սարքվածքների էներգետիկ արդյունավետությանը ներկայացվող պահանջների մասին» Միության տեխնիկական կանոնակարգի (ԵԱՏՄ ՏԿ</w:t>
      </w:r>
      <w:r w:rsidR="00696F04" w:rsidRPr="00696F04">
        <w:rPr>
          <w:rFonts w:ascii="Sylfaen" w:hAnsi="Sylfaen"/>
          <w:sz w:val="24"/>
          <w:szCs w:val="24"/>
        </w:rPr>
        <w:tab/>
      </w:r>
      <w:r w:rsidRPr="00CA27E3">
        <w:rPr>
          <w:rFonts w:ascii="Sylfaen" w:hAnsi="Sylfaen"/>
          <w:sz w:val="24"/>
          <w:szCs w:val="24"/>
        </w:rPr>
        <w:t>/20</w:t>
      </w:r>
      <w:r w:rsidR="00696F04" w:rsidRPr="00696F04">
        <w:rPr>
          <w:rFonts w:ascii="Sylfaen" w:hAnsi="Sylfaen"/>
          <w:sz w:val="24"/>
          <w:szCs w:val="24"/>
        </w:rPr>
        <w:tab/>
      </w:r>
      <w:r w:rsidRPr="00CA27E3">
        <w:rPr>
          <w:rFonts w:ascii="Sylfaen" w:hAnsi="Sylfaen"/>
          <w:sz w:val="24"/>
          <w:szCs w:val="24"/>
        </w:rPr>
        <w:t>)</w:t>
      </w:r>
      <w:r>
        <w:rPr>
          <w:rFonts w:ascii="Sylfaen" w:hAnsi="Sylfaen"/>
          <w:sz w:val="24"/>
          <w:szCs w:val="24"/>
        </w:rPr>
        <w:t xml:space="preserve"> </w:t>
      </w:r>
      <w:r w:rsidRPr="00CA27E3">
        <w:rPr>
          <w:rFonts w:ascii="Sylfaen" w:hAnsi="Sylfaen"/>
          <w:sz w:val="24"/>
          <w:szCs w:val="24"/>
        </w:rPr>
        <w:t>(այսուհետ՝ տեխնիկական կանոնակարգ) IV բաժնում նշված պահանջների՝ փաթեթվածքը կամ շահագործման փաստաթղթերը պետք է պարունակեն հետ</w:t>
      </w:r>
      <w:r>
        <w:rPr>
          <w:rFonts w:ascii="Sylfaen" w:hAnsi="Sylfaen"/>
          <w:sz w:val="24"/>
          <w:szCs w:val="24"/>
        </w:rPr>
        <w:t>եւ</w:t>
      </w:r>
      <w:r w:rsidRPr="00CA27E3">
        <w:rPr>
          <w:rFonts w:ascii="Sylfaen" w:hAnsi="Sylfaen"/>
          <w:sz w:val="24"/>
          <w:szCs w:val="24"/>
        </w:rPr>
        <w:t>յալ տեղեկատվությունը.</w:t>
      </w:r>
    </w:p>
    <w:p w14:paraId="2C80CC52" w14:textId="77777777" w:rsidR="00CA27E3" w:rsidRPr="00CA27E3" w:rsidRDefault="00CA27E3" w:rsidP="00696F04">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5C50BB" w:rsidRPr="005C50BB">
        <w:rPr>
          <w:rFonts w:ascii="Sylfaen" w:hAnsi="Sylfaen"/>
          <w:sz w:val="24"/>
          <w:szCs w:val="24"/>
        </w:rPr>
        <w:tab/>
      </w:r>
      <w:r w:rsidRPr="00CA27E3">
        <w:rPr>
          <w:rFonts w:ascii="Sylfaen" w:hAnsi="Sylfaen"/>
          <w:sz w:val="24"/>
          <w:szCs w:val="24"/>
        </w:rPr>
        <w:t>շահագործման փաստաթղթերում լամպերի տեխնիկական նկարագրությանը ներկայացվող պահանջներ՝</w:t>
      </w:r>
    </w:p>
    <w:p w14:paraId="642B3EF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լամպի հզորության անվանական </w:t>
      </w:r>
      <w:r>
        <w:rPr>
          <w:rFonts w:ascii="Sylfaen" w:hAnsi="Sylfaen"/>
          <w:sz w:val="24"/>
          <w:szCs w:val="24"/>
        </w:rPr>
        <w:t>եւ</w:t>
      </w:r>
      <w:r w:rsidRPr="00CA27E3">
        <w:rPr>
          <w:rFonts w:ascii="Sylfaen" w:hAnsi="Sylfaen"/>
          <w:sz w:val="24"/>
          <w:szCs w:val="24"/>
        </w:rPr>
        <w:t xml:space="preserve"> հաշվարկային արժեքը.</w:t>
      </w:r>
    </w:p>
    <w:p w14:paraId="6A1AF65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լամպի լուսային հոսքի անվանական </w:t>
      </w:r>
      <w:r>
        <w:rPr>
          <w:rFonts w:ascii="Sylfaen" w:hAnsi="Sylfaen"/>
          <w:sz w:val="24"/>
          <w:szCs w:val="24"/>
        </w:rPr>
        <w:t>եւ</w:t>
      </w:r>
      <w:r w:rsidRPr="00CA27E3">
        <w:rPr>
          <w:rFonts w:ascii="Sylfaen" w:hAnsi="Sylfaen"/>
          <w:sz w:val="24"/>
          <w:szCs w:val="24"/>
        </w:rPr>
        <w:t xml:space="preserve"> հաշվարկային արժեքը.</w:t>
      </w:r>
    </w:p>
    <w:p w14:paraId="2768A64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ստանդարտ պայմաններում 100 ժ շահագործումից հետո լամպի լուսային հոսքի հաշվարկային արժեքը (շահագործման ջերմաստիճանը 25 °C, Т5 լամպերի համար՝ 35 °C).</w:t>
      </w:r>
    </w:p>
    <w:p w14:paraId="74BF6FEB" w14:textId="77777777" w:rsidR="00CA27E3" w:rsidRPr="00CA27E3" w:rsidRDefault="00CA27E3" w:rsidP="00696F04">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 xml:space="preserve">լյումինեսցենտային լամպերի համար, եթե չափվող լուսային հոսքը բոլոր դեպքերում նույնն է, ապա բարձր հաճախականության դեպքում (&gt; 50 Հց) շահագործման համար հարկ է նշել փորձարկման պայմանների ստուգաչափման հոսանքը </w:t>
      </w:r>
      <w:r>
        <w:rPr>
          <w:rFonts w:ascii="Sylfaen" w:hAnsi="Sylfaen"/>
          <w:sz w:val="24"/>
          <w:szCs w:val="24"/>
        </w:rPr>
        <w:t>եւ</w:t>
      </w:r>
      <w:r w:rsidRPr="00CA27E3">
        <w:rPr>
          <w:rFonts w:ascii="Sylfaen" w:hAnsi="Sylfaen"/>
          <w:sz w:val="24"/>
          <w:szCs w:val="24"/>
        </w:rPr>
        <w:t xml:space="preserve"> (կամ) դիմադրությամբ՝ բարձրահաճախական գեներատորի հաշվարկային լարումը։ Հարկ է նա</w:t>
      </w:r>
      <w:r>
        <w:rPr>
          <w:rFonts w:ascii="Sylfaen" w:hAnsi="Sylfaen"/>
          <w:sz w:val="24"/>
          <w:szCs w:val="24"/>
        </w:rPr>
        <w:t>եւ</w:t>
      </w:r>
      <w:r w:rsidRPr="00CA27E3">
        <w:rPr>
          <w:rFonts w:ascii="Sylfaen" w:hAnsi="Sylfaen"/>
          <w:sz w:val="24"/>
          <w:szCs w:val="24"/>
        </w:rPr>
        <w:t xml:space="preserve"> նշել, որ լույսի աղբյուրի էլեկտրաէներգիայի </w:t>
      </w:r>
      <w:r w:rsidRPr="00CA27E3">
        <w:rPr>
          <w:rFonts w:ascii="Sylfaen" w:hAnsi="Sylfaen"/>
          <w:sz w:val="24"/>
          <w:szCs w:val="24"/>
        </w:rPr>
        <w:lastRenderedPageBreak/>
        <w:t>սպառման արժեքի մեջ չեն ներառվում այնպիսի օժանդակ սարքվածքների՝ ինչպես օրինակ՝ գործարկումը կարգավորող ապարատների</w:t>
      </w:r>
      <w:r w:rsidRPr="00CA27E3" w:rsidDel="00060A3E">
        <w:rPr>
          <w:rFonts w:ascii="Sylfaen" w:hAnsi="Sylfaen"/>
          <w:sz w:val="24"/>
          <w:szCs w:val="24"/>
        </w:rPr>
        <w:t xml:space="preserve"> </w:t>
      </w:r>
      <w:r w:rsidRPr="00CA27E3">
        <w:rPr>
          <w:rFonts w:ascii="Sylfaen" w:hAnsi="Sylfaen"/>
          <w:sz w:val="24"/>
          <w:szCs w:val="24"/>
        </w:rPr>
        <w:t>օգտագործման արդյունքում հզորության կորուստները.</w:t>
      </w:r>
    </w:p>
    <w:p w14:paraId="6F3575D1" w14:textId="77777777" w:rsidR="00CA27E3" w:rsidRPr="00CA27E3" w:rsidRDefault="00CA27E3" w:rsidP="00696F04">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լամպում սնդիկի պարունակություն միլիգրամներով՝</w:t>
      </w:r>
      <w:r>
        <w:rPr>
          <w:rFonts w:ascii="Sylfaen" w:hAnsi="Sylfaen"/>
          <w:sz w:val="24"/>
          <w:szCs w:val="24"/>
        </w:rPr>
        <w:t xml:space="preserve"> </w:t>
      </w:r>
      <w:r w:rsidRPr="00CA27E3">
        <w:rPr>
          <w:rFonts w:ascii="Sylfaen" w:hAnsi="Sylfaen"/>
          <w:sz w:val="24"/>
          <w:szCs w:val="24"/>
        </w:rPr>
        <w:t>X,X մգ կամ X,X mg ձ</w:t>
      </w:r>
      <w:r>
        <w:rPr>
          <w:rFonts w:ascii="Sylfaen" w:hAnsi="Sylfaen"/>
          <w:sz w:val="24"/>
          <w:szCs w:val="24"/>
        </w:rPr>
        <w:t>եւ</w:t>
      </w:r>
      <w:r w:rsidRPr="00CA27E3">
        <w:rPr>
          <w:rFonts w:ascii="Sylfaen" w:hAnsi="Sylfaen"/>
          <w:sz w:val="24"/>
          <w:szCs w:val="24"/>
        </w:rPr>
        <w:t>աչափով (մինչ</w:t>
      </w:r>
      <w:r>
        <w:rPr>
          <w:rFonts w:ascii="Sylfaen" w:hAnsi="Sylfaen"/>
          <w:sz w:val="24"/>
          <w:szCs w:val="24"/>
        </w:rPr>
        <w:t>եւ</w:t>
      </w:r>
      <w:r w:rsidRPr="00CA27E3">
        <w:rPr>
          <w:rFonts w:ascii="Sylfaen" w:hAnsi="Sylfaen"/>
          <w:sz w:val="24"/>
          <w:szCs w:val="24"/>
        </w:rPr>
        <w:t xml:space="preserve"> 1 տասնորդական նիշ կլորացմամբ).</w:t>
      </w:r>
    </w:p>
    <w:p w14:paraId="70F5BF0B" w14:textId="77777777" w:rsidR="00CA27E3" w:rsidRPr="00CA27E3" w:rsidRDefault="00CA27E3" w:rsidP="00696F04">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լամպի գունահաղորդման ցուցիչը (Ra).</w:t>
      </w:r>
    </w:p>
    <w:p w14:paraId="1EAF0D66" w14:textId="77777777" w:rsidR="00CA27E3" w:rsidRPr="00CA27E3" w:rsidRDefault="00CA27E3" w:rsidP="00696F04">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լամպի գունային ջերմաստիճանը.</w:t>
      </w:r>
    </w:p>
    <w:p w14:paraId="3CA1B408" w14:textId="77777777" w:rsidR="00CA27E3" w:rsidRPr="00CA27E3" w:rsidRDefault="00CA27E3" w:rsidP="00696F04">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առանց ներկառուցված՝ գործարկումը կարգավորող ապարատի լյումինեսցենտային լամպի համար՝ գործարկումը կարգավորող այն ապարատների դասը, որոնց հետ լամպը կարող է շահագործվել.</w:t>
      </w:r>
    </w:p>
    <w:p w14:paraId="228476AB" w14:textId="77777777" w:rsidR="00CA27E3" w:rsidRPr="00CA27E3" w:rsidRDefault="00CA27E3" w:rsidP="00696F04">
      <w:pPr>
        <w:pStyle w:val="a0"/>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բ)</w:t>
      </w:r>
      <w:r w:rsidR="005C50BB" w:rsidRPr="005C50BB">
        <w:rPr>
          <w:rFonts w:ascii="Sylfaen" w:hAnsi="Sylfaen"/>
          <w:sz w:val="24"/>
          <w:szCs w:val="24"/>
        </w:rPr>
        <w:tab/>
      </w:r>
      <w:r w:rsidRPr="00CA27E3">
        <w:rPr>
          <w:rFonts w:ascii="Sylfaen" w:hAnsi="Sylfaen"/>
          <w:sz w:val="24"/>
          <w:szCs w:val="24"/>
        </w:rPr>
        <w:t>շահագործման փաստաթղթերում գործարկումը կարգավորող ապարատների տեխնիկական նկարագրությանը ներկայացվող պահանջներ՝</w:t>
      </w:r>
    </w:p>
    <w:p w14:paraId="4EC936D7" w14:textId="77777777" w:rsidR="00CA27E3" w:rsidRPr="00CA27E3" w:rsidRDefault="00CA27E3" w:rsidP="00696F04">
      <w:pPr>
        <w:pStyle w:val="a0"/>
        <w:shd w:val="clear" w:color="auto" w:fill="auto"/>
        <w:tabs>
          <w:tab w:val="left" w:pos="1134"/>
        </w:tabs>
        <w:spacing w:after="160" w:line="350" w:lineRule="auto"/>
        <w:ind w:firstLine="567"/>
        <w:jc w:val="both"/>
        <w:rPr>
          <w:rFonts w:ascii="Sylfaen" w:hAnsi="Sylfaen" w:cs="Sylfaen"/>
          <w:sz w:val="24"/>
          <w:szCs w:val="24"/>
        </w:rPr>
      </w:pPr>
      <w:r w:rsidRPr="005C50BB">
        <w:rPr>
          <w:rFonts w:ascii="Sylfaen" w:hAnsi="Sylfaen"/>
          <w:spacing w:val="-4"/>
          <w:sz w:val="24"/>
          <w:szCs w:val="24"/>
        </w:rPr>
        <w:t>գործարկումը կարգավորող ապարատի յուրաքանչյուր մոդելի համար պետք է նշվի</w:t>
      </w:r>
      <w:r w:rsidRPr="00CA27E3">
        <w:rPr>
          <w:rFonts w:ascii="Sylfaen" w:hAnsi="Sylfaen"/>
          <w:sz w:val="24"/>
          <w:szCs w:val="24"/>
        </w:rPr>
        <w:t xml:space="preserve"> էներգետիկ արդյունավետության դասը (բերվում է գործարկումը կարգավորող ապարատի վրա՝ հստակ տեսանելի </w:t>
      </w:r>
      <w:r>
        <w:rPr>
          <w:rFonts w:ascii="Sylfaen" w:hAnsi="Sylfaen"/>
          <w:sz w:val="24"/>
          <w:szCs w:val="24"/>
        </w:rPr>
        <w:t>եւ</w:t>
      </w:r>
      <w:r w:rsidRPr="00CA27E3">
        <w:rPr>
          <w:rFonts w:ascii="Sylfaen" w:hAnsi="Sylfaen"/>
          <w:sz w:val="24"/>
          <w:szCs w:val="24"/>
        </w:rPr>
        <w:t xml:space="preserve"> հաստատուն ձ</w:t>
      </w:r>
      <w:r>
        <w:rPr>
          <w:rFonts w:ascii="Sylfaen" w:hAnsi="Sylfaen"/>
          <w:sz w:val="24"/>
          <w:szCs w:val="24"/>
        </w:rPr>
        <w:t>եւ</w:t>
      </w:r>
      <w:r w:rsidRPr="00CA27E3">
        <w:rPr>
          <w:rFonts w:ascii="Sylfaen" w:hAnsi="Sylfaen"/>
          <w:sz w:val="24"/>
          <w:szCs w:val="24"/>
        </w:rPr>
        <w:t>ով).</w:t>
      </w:r>
    </w:p>
    <w:p w14:paraId="1849C334" w14:textId="77777777" w:rsidR="00CA27E3" w:rsidRPr="00CA27E3" w:rsidRDefault="00CA27E3" w:rsidP="00696F04">
      <w:pPr>
        <w:pStyle w:val="a0"/>
        <w:shd w:val="clear" w:color="auto" w:fill="auto"/>
        <w:tabs>
          <w:tab w:val="left" w:pos="1134"/>
        </w:tabs>
        <w:spacing w:after="160" w:line="350" w:lineRule="auto"/>
        <w:ind w:firstLine="567"/>
        <w:jc w:val="both"/>
        <w:rPr>
          <w:rFonts w:ascii="Sylfaen" w:hAnsi="Sylfaen" w:cs="Sylfaen"/>
          <w:sz w:val="24"/>
          <w:szCs w:val="24"/>
        </w:rPr>
      </w:pPr>
      <w:r w:rsidRPr="00CA27E3">
        <w:rPr>
          <w:rFonts w:ascii="Sylfaen" w:hAnsi="Sylfaen"/>
          <w:sz w:val="24"/>
          <w:szCs w:val="24"/>
        </w:rPr>
        <w:t>գ)</w:t>
      </w:r>
      <w:r w:rsidR="005C50BB" w:rsidRPr="005C50BB">
        <w:rPr>
          <w:rFonts w:ascii="Sylfaen" w:hAnsi="Sylfaen"/>
          <w:sz w:val="24"/>
          <w:szCs w:val="24"/>
        </w:rPr>
        <w:tab/>
      </w:r>
      <w:r w:rsidRPr="00CA27E3">
        <w:rPr>
          <w:rFonts w:ascii="Sylfaen" w:hAnsi="Sylfaen"/>
          <w:sz w:val="24"/>
          <w:szCs w:val="24"/>
        </w:rPr>
        <w:t xml:space="preserve">2000 լմ-ից բարձր ընդհանուր լուսային հոսքով՝ առանց ներկառուցված՝ գործարկումը կարգավորող ապարատի լյումինեսցենտային լամպերի համար լուսատուների յուրաքանչյուր՝ մոդելի համար շահագործման փաստաթղթերում լուսատուների տեխնիկական նկարագրությանը ներկայացվող պահանջներ՝ </w:t>
      </w:r>
    </w:p>
    <w:p w14:paraId="60D26759" w14:textId="77777777" w:rsidR="00CA27E3" w:rsidRPr="00CA27E3" w:rsidRDefault="00CA27E3" w:rsidP="00696F04">
      <w:pPr>
        <w:pStyle w:val="a0"/>
        <w:shd w:val="clear" w:color="auto" w:fill="auto"/>
        <w:spacing w:after="160" w:line="350" w:lineRule="auto"/>
        <w:ind w:firstLine="567"/>
        <w:jc w:val="both"/>
        <w:rPr>
          <w:rFonts w:ascii="Sylfaen" w:hAnsi="Sylfaen" w:cs="Sylfaen"/>
          <w:sz w:val="24"/>
          <w:szCs w:val="24"/>
        </w:rPr>
      </w:pPr>
      <w:r w:rsidRPr="00CA27E3">
        <w:rPr>
          <w:rFonts w:ascii="Sylfaen" w:hAnsi="Sylfaen"/>
          <w:sz w:val="24"/>
          <w:szCs w:val="24"/>
        </w:rPr>
        <w:t>եթե լուսատուն մատակարարվում է գործարկումը կարգավորող ապարատով, ապա նշվում է գործարկումը կարգավորող ապարատի ՕԳԳ-ի մասին տեղեկատվությունը՝ արտադրողի կողմից տրված տվյալներին համապատասխան.</w:t>
      </w:r>
    </w:p>
    <w:p w14:paraId="02D3A9C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եթե լուսատուն մատակարարվում է լամպի հետ միասին, ապա նշվում է լամպի լուսատացքը (լմ/Վտ)՝ արտադրողի կողմից տրված տվյալների համաձայն։ </w:t>
      </w:r>
    </w:p>
    <w:p w14:paraId="0D253F71"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8.</w:t>
      </w:r>
      <w:r w:rsidR="005C50BB" w:rsidRPr="005C50BB">
        <w:rPr>
          <w:rFonts w:ascii="Sylfaen" w:hAnsi="Sylfaen"/>
          <w:sz w:val="24"/>
          <w:szCs w:val="24"/>
        </w:rPr>
        <w:tab/>
      </w:r>
      <w:r w:rsidRPr="00CA27E3">
        <w:rPr>
          <w:rFonts w:ascii="Sylfaen" w:hAnsi="Sylfaen"/>
          <w:sz w:val="24"/>
          <w:szCs w:val="24"/>
        </w:rPr>
        <w:t>Ի լրումն սույն փաստաթղթի 7-րդ կետում բերված տեղեկատվության՝ տրամադրվում է հետ</w:t>
      </w:r>
      <w:r>
        <w:rPr>
          <w:rFonts w:ascii="Sylfaen" w:hAnsi="Sylfaen"/>
          <w:sz w:val="24"/>
          <w:szCs w:val="24"/>
        </w:rPr>
        <w:t>եւ</w:t>
      </w:r>
      <w:r w:rsidRPr="00CA27E3">
        <w:rPr>
          <w:rFonts w:ascii="Sylfaen" w:hAnsi="Sylfaen"/>
          <w:sz w:val="24"/>
          <w:szCs w:val="24"/>
        </w:rPr>
        <w:t>յալ տեղեկատվությունը (արտադրողի համար ցանկացած հարմար ձ</w:t>
      </w:r>
      <w:r>
        <w:rPr>
          <w:rFonts w:ascii="Sylfaen" w:hAnsi="Sylfaen"/>
          <w:sz w:val="24"/>
          <w:szCs w:val="24"/>
        </w:rPr>
        <w:t>եւ</w:t>
      </w:r>
      <w:r w:rsidRPr="00CA27E3">
        <w:rPr>
          <w:rFonts w:ascii="Sylfaen" w:hAnsi="Sylfaen"/>
          <w:sz w:val="24"/>
          <w:szCs w:val="24"/>
        </w:rPr>
        <w:t>ով)՝</w:t>
      </w:r>
    </w:p>
    <w:p w14:paraId="68FF871A"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ա)</w:t>
      </w:r>
      <w:r w:rsidR="005C50BB" w:rsidRPr="00BF7FB9">
        <w:rPr>
          <w:rFonts w:ascii="Sylfaen" w:hAnsi="Sylfaen"/>
          <w:sz w:val="24"/>
          <w:szCs w:val="24"/>
        </w:rPr>
        <w:tab/>
      </w:r>
      <w:r w:rsidRPr="00CA27E3">
        <w:rPr>
          <w:rFonts w:ascii="Sylfaen" w:hAnsi="Sylfaen"/>
          <w:sz w:val="24"/>
          <w:szCs w:val="24"/>
        </w:rPr>
        <w:t>լամպերի համար՝</w:t>
      </w:r>
    </w:p>
    <w:p w14:paraId="2DEED1F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հզորության հաշվարկային արժեքը.</w:t>
      </w:r>
    </w:p>
    <w:p w14:paraId="3DFADAD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լուսային հոսքի հաշվարկային արժեքը.</w:t>
      </w:r>
    </w:p>
    <w:p w14:paraId="5BAAFEB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լյումինեսցենտային լամպերի համար, եթե չափվող լուսային հոսքը բոլոր դեպքերում նույնն է, ապա բարձր հաճախականությամբ (&gt; 50 Հց) շահագործման համար հարկ է նշել փորձարկման պայմանների ստուգաչափման հոսանքը </w:t>
      </w:r>
      <w:r>
        <w:rPr>
          <w:rFonts w:ascii="Sylfaen" w:hAnsi="Sylfaen"/>
          <w:sz w:val="24"/>
          <w:szCs w:val="24"/>
        </w:rPr>
        <w:t>եւ</w:t>
      </w:r>
      <w:r w:rsidRPr="00CA27E3">
        <w:rPr>
          <w:rFonts w:ascii="Sylfaen" w:hAnsi="Sylfaen"/>
          <w:sz w:val="24"/>
          <w:szCs w:val="24"/>
        </w:rPr>
        <w:t xml:space="preserve"> (կամ) դիմադրությամբ՝ բարձրահաճախական գեներատորի հաշվարկային լարումը։ Հարկ է նա</w:t>
      </w:r>
      <w:r>
        <w:rPr>
          <w:rFonts w:ascii="Sylfaen" w:hAnsi="Sylfaen"/>
          <w:sz w:val="24"/>
          <w:szCs w:val="24"/>
        </w:rPr>
        <w:t>եւ</w:t>
      </w:r>
      <w:r w:rsidRPr="00CA27E3">
        <w:rPr>
          <w:rFonts w:ascii="Sylfaen" w:hAnsi="Sylfaen"/>
          <w:sz w:val="24"/>
          <w:szCs w:val="24"/>
        </w:rPr>
        <w:t xml:space="preserve"> նշել, որ լույսի աղբյուրի էլեկտրաէներգիայի սպառման արժեքի մեջ չեն ներառվում օժանդակ սարքվածքների, ինչպես օրինակ՝ գործարկումը կարգավորող ապարատների</w:t>
      </w:r>
      <w:r w:rsidRPr="00CA27E3" w:rsidDel="00060A3E">
        <w:rPr>
          <w:rFonts w:ascii="Sylfaen" w:hAnsi="Sylfaen"/>
          <w:sz w:val="24"/>
          <w:szCs w:val="24"/>
        </w:rPr>
        <w:t xml:space="preserve"> </w:t>
      </w:r>
      <w:r w:rsidRPr="00CA27E3">
        <w:rPr>
          <w:rFonts w:ascii="Sylfaen" w:hAnsi="Sylfaen"/>
          <w:sz w:val="24"/>
          <w:szCs w:val="24"/>
        </w:rPr>
        <w:t>օգտագործման արդյունքում հզորության կորուստները.</w:t>
      </w:r>
    </w:p>
    <w:p w14:paraId="49FB8A2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696F04">
        <w:rPr>
          <w:rFonts w:ascii="Sylfaen" w:hAnsi="Sylfaen"/>
          <w:spacing w:val="-4"/>
          <w:sz w:val="24"/>
          <w:szCs w:val="24"/>
        </w:rPr>
        <w:t>լամպի լուսային հոսքի պահպանման գործակցի հաշվարկային արժեքը՝ 2 000 ժ, 4 000 ժ</w:t>
      </w:r>
      <w:r w:rsidRPr="00CA27E3">
        <w:rPr>
          <w:rFonts w:ascii="Sylfaen" w:hAnsi="Sylfaen"/>
          <w:sz w:val="24"/>
          <w:szCs w:val="24"/>
        </w:rPr>
        <w:t xml:space="preserve">, 6 000 ժ, 8 000 ժ, 12 000 ժ, 16 000 ժ </w:t>
      </w:r>
      <w:r>
        <w:rPr>
          <w:rFonts w:ascii="Sylfaen" w:hAnsi="Sylfaen"/>
          <w:sz w:val="24"/>
          <w:szCs w:val="24"/>
        </w:rPr>
        <w:t>եւ</w:t>
      </w:r>
      <w:r w:rsidRPr="00CA27E3">
        <w:rPr>
          <w:rFonts w:ascii="Sylfaen" w:hAnsi="Sylfaen"/>
          <w:sz w:val="24"/>
          <w:szCs w:val="24"/>
        </w:rPr>
        <w:t xml:space="preserve"> 20 000 ժ դեպքում (նոր լամպերի </w:t>
      </w:r>
      <w:r w:rsidRPr="005C50BB">
        <w:rPr>
          <w:rFonts w:ascii="Sylfaen" w:hAnsi="Sylfaen"/>
          <w:spacing w:val="-4"/>
          <w:sz w:val="24"/>
          <w:szCs w:val="24"/>
        </w:rPr>
        <w:t>համար, որոնց վերաբերյալ տեղեկատվությունը բացակայում է, միայն մինչեւ 8 000 ժ), ընդ</w:t>
      </w:r>
      <w:r w:rsidR="00696F04" w:rsidRPr="00696F04">
        <w:rPr>
          <w:rFonts w:ascii="Sylfaen" w:hAnsi="Sylfaen"/>
          <w:spacing w:val="-4"/>
          <w:sz w:val="24"/>
          <w:szCs w:val="24"/>
        </w:rPr>
        <w:t> </w:t>
      </w:r>
      <w:r w:rsidRPr="005C50BB">
        <w:rPr>
          <w:rFonts w:ascii="Sylfaen" w:hAnsi="Sylfaen"/>
          <w:spacing w:val="-4"/>
          <w:sz w:val="24"/>
          <w:szCs w:val="24"/>
        </w:rPr>
        <w:t>որում</w:t>
      </w:r>
      <w:r w:rsidRPr="00CA27E3">
        <w:rPr>
          <w:rFonts w:ascii="Sylfaen" w:hAnsi="Sylfaen"/>
          <w:sz w:val="24"/>
          <w:szCs w:val="24"/>
        </w:rPr>
        <w:t xml:space="preserve"> այն լամպերի համար, որոնք կարող են շահագործվել 50 Հց </w:t>
      </w:r>
      <w:r>
        <w:rPr>
          <w:rFonts w:ascii="Sylfaen" w:hAnsi="Sylfaen"/>
          <w:sz w:val="24"/>
          <w:szCs w:val="24"/>
        </w:rPr>
        <w:t>եւ</w:t>
      </w:r>
      <w:r w:rsidRPr="00CA27E3">
        <w:rPr>
          <w:rFonts w:ascii="Sylfaen" w:hAnsi="Sylfaen"/>
          <w:sz w:val="24"/>
          <w:szCs w:val="24"/>
        </w:rPr>
        <w:t xml:space="preserve"> ավելի հաճախականությամբ, հարկ է նշել շահագործման հաճախականությունը.</w:t>
      </w:r>
    </w:p>
    <w:p w14:paraId="51F0C14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ծառայության ժամկետի գործակցի հաշվարկային արժեքը՝ 2 000 ժ, 4</w:t>
      </w:r>
      <w:r w:rsidR="00696F04" w:rsidRPr="00696F04">
        <w:rPr>
          <w:rFonts w:ascii="Sylfaen" w:hAnsi="Sylfaen"/>
          <w:sz w:val="24"/>
          <w:szCs w:val="24"/>
        </w:rPr>
        <w:t> </w:t>
      </w:r>
      <w:r w:rsidRPr="00CA27E3">
        <w:rPr>
          <w:rFonts w:ascii="Sylfaen" w:hAnsi="Sylfaen"/>
          <w:sz w:val="24"/>
          <w:szCs w:val="24"/>
        </w:rPr>
        <w:t xml:space="preserve">000 ժ, 6 000 ժ, 8 000 ժ, 12 000 ժ, 16 000 ժ </w:t>
      </w:r>
      <w:r>
        <w:rPr>
          <w:rFonts w:ascii="Sylfaen" w:hAnsi="Sylfaen"/>
          <w:sz w:val="24"/>
          <w:szCs w:val="24"/>
        </w:rPr>
        <w:t>եւ</w:t>
      </w:r>
      <w:r w:rsidRPr="00CA27E3">
        <w:rPr>
          <w:rFonts w:ascii="Sylfaen" w:hAnsi="Sylfaen"/>
          <w:sz w:val="24"/>
          <w:szCs w:val="24"/>
        </w:rPr>
        <w:t xml:space="preserve"> 20 000 ժ դեպքում (նոր լամպերի </w:t>
      </w:r>
      <w:r w:rsidRPr="00696F04">
        <w:rPr>
          <w:rFonts w:ascii="Sylfaen" w:hAnsi="Sylfaen"/>
          <w:spacing w:val="-4"/>
          <w:sz w:val="24"/>
          <w:szCs w:val="24"/>
        </w:rPr>
        <w:t>համար, որոնց վերաբերյալ տեղեկատվությունը բացակայում է, միայն մինչեւ 8 000 ժ), ընդ որում</w:t>
      </w:r>
      <w:r w:rsidRPr="00CA27E3">
        <w:rPr>
          <w:rFonts w:ascii="Sylfaen" w:hAnsi="Sylfaen"/>
          <w:sz w:val="24"/>
          <w:szCs w:val="24"/>
        </w:rPr>
        <w:t>՝ այն լամպերի համար, որոնք կարող են շահագործվել ինչպես 50 Հց, այնպես էլ ավելի բարձր հաճախականությամբ, հարկ է նշել շահագործման հաճախականությունը.</w:t>
      </w:r>
    </w:p>
    <w:p w14:paraId="1C34A8D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spacing w:val="-4"/>
          <w:sz w:val="24"/>
          <w:szCs w:val="24"/>
        </w:rPr>
        <w:t>շրջակա միջավայրի ջերմաստիճանը, որի դեպքում լուսատուի լամպը պետք է ստեղծի իր</w:t>
      </w:r>
      <w:r w:rsidRPr="00CA27E3">
        <w:rPr>
          <w:rFonts w:ascii="Sylfaen" w:hAnsi="Sylfaen"/>
          <w:sz w:val="24"/>
          <w:szCs w:val="24"/>
        </w:rPr>
        <w:t xml:space="preserve"> առավելագույն լուսային հոսքը։</w:t>
      </w:r>
      <w:r>
        <w:rPr>
          <w:rFonts w:ascii="Sylfaen" w:hAnsi="Sylfaen"/>
          <w:sz w:val="24"/>
          <w:szCs w:val="24"/>
        </w:rPr>
        <w:t xml:space="preserve"> </w:t>
      </w:r>
      <w:r w:rsidRPr="00CA27E3">
        <w:rPr>
          <w:rFonts w:ascii="Sylfaen" w:hAnsi="Sylfaen"/>
          <w:sz w:val="24"/>
          <w:szCs w:val="24"/>
        </w:rPr>
        <w:t>Եթե ջերմաստիճանը 0 °C-ից ցածր կամ 50 °C-ից բարձր է, ապա հարկ է նշել, որ լամպը հարմար չէ շենքերում օգտագործման համար.</w:t>
      </w:r>
    </w:p>
    <w:p w14:paraId="2B3D782D"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5C50BB" w:rsidRPr="00BF7FB9">
        <w:rPr>
          <w:rFonts w:ascii="Sylfaen" w:hAnsi="Sylfaen"/>
          <w:sz w:val="24"/>
          <w:szCs w:val="24"/>
        </w:rPr>
        <w:tab/>
      </w:r>
      <w:r w:rsidRPr="00CA27E3">
        <w:rPr>
          <w:rFonts w:ascii="Sylfaen" w:hAnsi="Sylfaen"/>
          <w:sz w:val="24"/>
          <w:szCs w:val="24"/>
        </w:rPr>
        <w:t>լուսատուների համար՝</w:t>
      </w:r>
    </w:p>
    <w:p w14:paraId="703821CC" w14:textId="77777777" w:rsidR="00CA27E3" w:rsidRPr="00CA27E3" w:rsidRDefault="00CA27E3" w:rsidP="00CA27E3">
      <w:pPr>
        <w:pStyle w:val="a0"/>
        <w:shd w:val="clear" w:color="auto" w:fill="auto"/>
        <w:tabs>
          <w:tab w:val="left" w:pos="3261"/>
        </w:tabs>
        <w:spacing w:after="160"/>
        <w:ind w:firstLine="567"/>
        <w:jc w:val="both"/>
        <w:rPr>
          <w:rFonts w:ascii="Sylfaen" w:hAnsi="Sylfaen" w:cs="Sylfaen"/>
          <w:sz w:val="24"/>
          <w:szCs w:val="24"/>
        </w:rPr>
      </w:pPr>
      <w:r w:rsidRPr="00CA27E3">
        <w:rPr>
          <w:rFonts w:ascii="Sylfaen" w:hAnsi="Sylfaen"/>
          <w:sz w:val="24"/>
          <w:szCs w:val="24"/>
        </w:rPr>
        <w:lastRenderedPageBreak/>
        <w:t xml:space="preserve">եթե գործարկումը կարգավորող ապարատը կամ լամպը չեն մատակարարվում լուսատուի հետ միասին, ապա լուսատուի հետ համատեղելի լամպերի </w:t>
      </w:r>
      <w:r>
        <w:rPr>
          <w:rFonts w:ascii="Sylfaen" w:hAnsi="Sylfaen"/>
          <w:sz w:val="24"/>
          <w:szCs w:val="24"/>
        </w:rPr>
        <w:t>եւ</w:t>
      </w:r>
      <w:r w:rsidRPr="00CA27E3">
        <w:rPr>
          <w:rFonts w:ascii="Sylfaen" w:hAnsi="Sylfaen"/>
          <w:sz w:val="24"/>
          <w:szCs w:val="24"/>
        </w:rPr>
        <w:t xml:space="preserve"> գործարկումը կարգավորող ապարատների տիպերի մասին տեղեկատվությունը հարկ է տրամադրել արտադրողների կատալոգներից (օրինակ, ILCOS` լամպերի նշագրման միջազգային համակարգից).</w:t>
      </w:r>
    </w:p>
    <w:p w14:paraId="34758BF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լուսատուի տեխնիկական սպասարկման ձեռնարկը՝ ծառայության ամբողջ ժամկետում դրա սկզբնական որակի պահպանումն ապահովելու համար.</w:t>
      </w:r>
    </w:p>
    <w:p w14:paraId="1C8667B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մոնտաժման ձեռնարկը.</w:t>
      </w:r>
    </w:p>
    <w:p w14:paraId="6B45455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բարձր ճնշման գազապարպումային լամպերի համար բոլոր լուսատուների համար տեղեկատվությունն այն մասին, թե նախագծված են դրանք թափանցիկ </w:t>
      </w:r>
      <w:r>
        <w:rPr>
          <w:rFonts w:ascii="Sylfaen" w:hAnsi="Sylfaen"/>
          <w:sz w:val="24"/>
          <w:szCs w:val="24"/>
        </w:rPr>
        <w:t>եւ</w:t>
      </w:r>
      <w:r w:rsidRPr="00CA27E3">
        <w:rPr>
          <w:rFonts w:ascii="Sylfaen" w:hAnsi="Sylfaen"/>
          <w:sz w:val="24"/>
          <w:szCs w:val="24"/>
        </w:rPr>
        <w:t xml:space="preserve"> (կամ) անփայլ ապակուց լամպանոթ ունեցող լամպով աշխատելու համար։</w:t>
      </w:r>
    </w:p>
    <w:p w14:paraId="5B8242D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2F4A43E3"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IV. Առանց ներկառուցված՝ գործարկումը կարգավորող ապարատի լյումինեսցենտային լամպերի, բարձր ճնշման գազապարպումային լամպերի, գործարկումը կարգավորող ապարատների </w:t>
      </w:r>
      <w:r>
        <w:rPr>
          <w:rFonts w:ascii="Sylfaen" w:hAnsi="Sylfaen"/>
          <w:sz w:val="24"/>
          <w:szCs w:val="24"/>
        </w:rPr>
        <w:t>եւ</w:t>
      </w:r>
      <w:r w:rsidRPr="00CA27E3">
        <w:rPr>
          <w:rFonts w:ascii="Sylfaen" w:hAnsi="Sylfaen"/>
          <w:sz w:val="24"/>
          <w:szCs w:val="24"/>
        </w:rPr>
        <w:t xml:space="preserve"> այդպիսի լամպերի համար լուսատուների էներգետիկ արդյունավետության պարամետրերի թույլատրելի շեղումները՝ դրանք շրջանառության մեջ դնելուց հետո փորձարկումներ (չափումներ) անցկացնելիս</w:t>
      </w:r>
    </w:p>
    <w:p w14:paraId="4F1B2DE3"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5C50BB" w:rsidRPr="005C50BB">
        <w:rPr>
          <w:rFonts w:ascii="Sylfaen" w:hAnsi="Sylfaen"/>
          <w:sz w:val="24"/>
          <w:szCs w:val="24"/>
        </w:rPr>
        <w:tab/>
      </w:r>
      <w:r w:rsidRPr="00CA27E3">
        <w:rPr>
          <w:rFonts w:ascii="Sylfaen" w:hAnsi="Sylfaen"/>
          <w:sz w:val="24"/>
          <w:szCs w:val="24"/>
        </w:rPr>
        <w:t xml:space="preserve">Շրջանառության մեջ դնելուց հետո էլեկտրական լամպերի փորձարկումներ (չափումներ) անցկացնելիս պետք է փորձարկվի 1 մոդելի </w:t>
      </w:r>
      <w:r>
        <w:rPr>
          <w:rFonts w:ascii="Sylfaen" w:hAnsi="Sylfaen"/>
          <w:sz w:val="24"/>
          <w:szCs w:val="24"/>
        </w:rPr>
        <w:t>եւ</w:t>
      </w:r>
      <w:r w:rsidRPr="00CA27E3">
        <w:rPr>
          <w:rFonts w:ascii="Sylfaen" w:hAnsi="Sylfaen"/>
          <w:sz w:val="24"/>
          <w:szCs w:val="24"/>
        </w:rPr>
        <w:t xml:space="preserve"> 1 արտադրողի առնվազն 20 նմուշներից բաղկացած խմբաքանակը։ Արտադրանքի նմուշների պարամետրերի</w:t>
      </w:r>
      <w:r>
        <w:rPr>
          <w:rFonts w:ascii="Sylfaen" w:hAnsi="Sylfaen"/>
          <w:sz w:val="24"/>
          <w:szCs w:val="24"/>
        </w:rPr>
        <w:t xml:space="preserve"> եւ</w:t>
      </w:r>
      <w:r w:rsidRPr="00CA27E3">
        <w:rPr>
          <w:rFonts w:ascii="Sylfaen" w:hAnsi="Sylfaen"/>
          <w:sz w:val="24"/>
          <w:szCs w:val="24"/>
        </w:rPr>
        <w:t xml:space="preserve"> բնութագրերի չափված արժեքները պետք է համապատասխանեն արտադրողի կողմից հայտարարված անվանական արժեքներին </w:t>
      </w:r>
      <w:r>
        <w:rPr>
          <w:rFonts w:ascii="Sylfaen" w:hAnsi="Sylfaen"/>
          <w:sz w:val="24"/>
          <w:szCs w:val="24"/>
        </w:rPr>
        <w:t>եւ</w:t>
      </w:r>
      <w:r w:rsidRPr="00CA27E3">
        <w:rPr>
          <w:rFonts w:ascii="Sylfaen" w:hAnsi="Sylfaen"/>
          <w:sz w:val="24"/>
          <w:szCs w:val="24"/>
        </w:rPr>
        <w:t xml:space="preserve"> 10-%-ից ավելի չշեղվեն սույն փաստաթղթում նշված բնութագրերի սահմանային արժեքներից։</w:t>
      </w:r>
    </w:p>
    <w:p w14:paraId="60BC2FC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Այլ դեպքերում էլեկտրական լամպի տվյալ մոդելը հարկ է դիտարկել որպես տեխնիկական կանոնակարգի պահանջներին չհամապատասխանող։</w:t>
      </w:r>
    </w:p>
    <w:p w14:paraId="2E8309F1"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10.</w:t>
      </w:r>
      <w:r w:rsidR="005C50BB" w:rsidRPr="005C50BB">
        <w:rPr>
          <w:rFonts w:ascii="Sylfaen" w:hAnsi="Sylfaen"/>
          <w:sz w:val="24"/>
          <w:szCs w:val="24"/>
        </w:rPr>
        <w:tab/>
      </w:r>
      <w:r w:rsidRPr="00CA27E3">
        <w:rPr>
          <w:rFonts w:ascii="Sylfaen" w:hAnsi="Sylfaen"/>
          <w:sz w:val="24"/>
          <w:szCs w:val="24"/>
        </w:rPr>
        <w:t xml:space="preserve">Շրջանառության մեջ դնելուց հետո գործարկումը կարգավորող ապարատների </w:t>
      </w:r>
      <w:r>
        <w:rPr>
          <w:rFonts w:ascii="Sylfaen" w:hAnsi="Sylfaen"/>
          <w:sz w:val="24"/>
          <w:szCs w:val="24"/>
        </w:rPr>
        <w:t>եւ</w:t>
      </w:r>
      <w:r w:rsidRPr="00CA27E3">
        <w:rPr>
          <w:rFonts w:ascii="Sylfaen" w:hAnsi="Sylfaen"/>
          <w:sz w:val="24"/>
          <w:szCs w:val="24"/>
        </w:rPr>
        <w:t xml:space="preserve"> լուսատուների փորձարկումներ (չափումներ) անցկացնելիս պետք է փորձարկվի 1 արտադրողի մոդելի 1 նմուշ։ Նմուշի պարամետրերի </w:t>
      </w:r>
      <w:r>
        <w:rPr>
          <w:rFonts w:ascii="Sylfaen" w:hAnsi="Sylfaen"/>
          <w:sz w:val="24"/>
          <w:szCs w:val="24"/>
        </w:rPr>
        <w:t>եւ</w:t>
      </w:r>
      <w:r w:rsidRPr="00CA27E3">
        <w:rPr>
          <w:rFonts w:ascii="Sylfaen" w:hAnsi="Sylfaen"/>
          <w:sz w:val="24"/>
          <w:szCs w:val="24"/>
        </w:rPr>
        <w:t xml:space="preserve"> բնութագրերի չափված արժեքները պետք է համապատասխանեն արտադրողի կողմից հայտարարված անվանական արժեքներին։</w:t>
      </w:r>
    </w:p>
    <w:p w14:paraId="7421320C" w14:textId="77777777" w:rsidR="00D83000" w:rsidRPr="003D2C38"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 xml:space="preserve">Այլ դեպքերում գործարկումը կարգավորող ապարատների </w:t>
      </w:r>
      <w:r>
        <w:rPr>
          <w:rFonts w:ascii="Sylfaen" w:hAnsi="Sylfaen"/>
          <w:sz w:val="24"/>
          <w:szCs w:val="24"/>
        </w:rPr>
        <w:t>եւ</w:t>
      </w:r>
      <w:r w:rsidRPr="00CA27E3">
        <w:rPr>
          <w:rFonts w:ascii="Sylfaen" w:hAnsi="Sylfaen"/>
          <w:sz w:val="24"/>
          <w:szCs w:val="24"/>
        </w:rPr>
        <w:t xml:space="preserve"> լուսատուների տվյալ մոդելը հարկ է դիտարկել որպես տեխնիկական կանոնակարգի պահանջներին չհամապատասխանող. այդ դեպքում ստուգվում են տվյալ մոդելի 3</w:t>
      </w:r>
      <w:r w:rsidR="00D236C9" w:rsidRPr="00D236C9">
        <w:rPr>
          <w:rFonts w:ascii="Sylfaen" w:hAnsi="Sylfaen"/>
          <w:sz w:val="24"/>
          <w:szCs w:val="24"/>
        </w:rPr>
        <w:t> </w:t>
      </w:r>
      <w:r w:rsidRPr="00CA27E3">
        <w:rPr>
          <w:rFonts w:ascii="Sylfaen" w:hAnsi="Sylfaen"/>
          <w:sz w:val="24"/>
          <w:szCs w:val="24"/>
        </w:rPr>
        <w:t xml:space="preserve">այլ նմուշներ։ Եթե նմուշների պարամետրերի </w:t>
      </w:r>
      <w:r>
        <w:rPr>
          <w:rFonts w:ascii="Sylfaen" w:hAnsi="Sylfaen"/>
          <w:sz w:val="24"/>
          <w:szCs w:val="24"/>
        </w:rPr>
        <w:t>եւ</w:t>
      </w:r>
      <w:r w:rsidRPr="00CA27E3">
        <w:rPr>
          <w:rFonts w:ascii="Sylfaen" w:hAnsi="Sylfaen"/>
          <w:sz w:val="24"/>
          <w:szCs w:val="24"/>
        </w:rPr>
        <w:t xml:space="preserve"> բնութագրերի արժեքները համապատասխանում են արտադրողի կողմից հայտարարված անվանական արժեքներին, ապա համարվում է, որ տվյալ մոդելը համապատասխանում է տեխնիկական կանոնակարգի պահանջներին։</w:t>
      </w:r>
    </w:p>
    <w:p w14:paraId="3889EBD9" w14:textId="77777777" w:rsidR="00D236C9" w:rsidRPr="003D2C38" w:rsidRDefault="00D236C9" w:rsidP="00D236C9">
      <w:pPr>
        <w:pStyle w:val="a0"/>
        <w:shd w:val="clear" w:color="auto" w:fill="auto"/>
        <w:spacing w:after="160"/>
        <w:ind w:firstLine="0"/>
        <w:jc w:val="center"/>
        <w:rPr>
          <w:rFonts w:ascii="Sylfaen" w:hAnsi="Sylfaen"/>
          <w:sz w:val="24"/>
          <w:szCs w:val="24"/>
        </w:rPr>
      </w:pPr>
      <w:r w:rsidRPr="003D2C38">
        <w:rPr>
          <w:rFonts w:ascii="Sylfaen" w:hAnsi="Sylfaen"/>
          <w:sz w:val="24"/>
          <w:szCs w:val="24"/>
        </w:rPr>
        <w:t>______________</w:t>
      </w:r>
    </w:p>
    <w:p w14:paraId="1E29B67B" w14:textId="77777777" w:rsidR="005C50BB" w:rsidRPr="00BF7FB9" w:rsidRDefault="005C50BB" w:rsidP="00CA27E3">
      <w:pPr>
        <w:pStyle w:val="a0"/>
        <w:shd w:val="clear" w:color="auto" w:fill="auto"/>
        <w:spacing w:after="160"/>
        <w:ind w:firstLine="567"/>
        <w:jc w:val="both"/>
        <w:rPr>
          <w:rFonts w:ascii="Sylfaen" w:hAnsi="Sylfaen"/>
          <w:sz w:val="24"/>
          <w:szCs w:val="24"/>
        </w:rPr>
      </w:pPr>
    </w:p>
    <w:p w14:paraId="414A4D92" w14:textId="77777777" w:rsidR="005C50BB" w:rsidRPr="00BF7FB9" w:rsidRDefault="005C50BB" w:rsidP="00CA27E3">
      <w:pPr>
        <w:pStyle w:val="a0"/>
        <w:shd w:val="clear" w:color="auto" w:fill="auto"/>
        <w:spacing w:after="160"/>
        <w:ind w:firstLine="567"/>
        <w:jc w:val="both"/>
        <w:rPr>
          <w:rFonts w:ascii="Sylfaen" w:hAnsi="Sylfaen"/>
          <w:sz w:val="24"/>
          <w:szCs w:val="24"/>
        </w:rPr>
        <w:sectPr w:rsidR="005C50BB" w:rsidRPr="00BF7FB9" w:rsidSect="0027701C">
          <w:pgSz w:w="11907" w:h="16840" w:code="9"/>
          <w:pgMar w:top="1418" w:right="1418" w:bottom="1418" w:left="1418" w:header="0" w:footer="680" w:gutter="0"/>
          <w:pgNumType w:start="1"/>
          <w:cols w:space="720"/>
          <w:noEndnote/>
          <w:titlePg/>
          <w:docGrid w:linePitch="360"/>
        </w:sectPr>
      </w:pPr>
    </w:p>
    <w:p w14:paraId="5A8EBF6A" w14:textId="77777777" w:rsidR="00CA27E3" w:rsidRPr="00CA27E3" w:rsidRDefault="00CA27E3" w:rsidP="005C50BB">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lastRenderedPageBreak/>
        <w:t>ՀԱՎԵԼՎԱԾ ԹԻՎ 14</w:t>
      </w:r>
    </w:p>
    <w:p w14:paraId="31523C7F" w14:textId="77777777" w:rsidR="00CA27E3" w:rsidRPr="00CA27E3" w:rsidRDefault="00CA27E3" w:rsidP="005C50BB">
      <w:pPr>
        <w:pStyle w:val="a0"/>
        <w:shd w:val="clear" w:color="auto" w:fill="auto"/>
        <w:spacing w:after="160"/>
        <w:ind w:left="3969" w:firstLine="0"/>
        <w:jc w:val="center"/>
        <w:rPr>
          <w:rFonts w:ascii="Sylfaen" w:hAnsi="Sylfaen" w:cs="Sylfaen"/>
          <w:sz w:val="24"/>
          <w:szCs w:val="24"/>
        </w:rPr>
      </w:pPr>
      <w:r w:rsidRPr="00CA27E3">
        <w:rPr>
          <w:rFonts w:ascii="Sylfaen" w:hAnsi="Sylfaen"/>
          <w:sz w:val="24"/>
          <w:szCs w:val="24"/>
        </w:rPr>
        <w:t xml:space="preserve">«Էներգասպառող սարքվածքների </w:t>
      </w:r>
      <w:r w:rsidR="00D236C9" w:rsidRPr="00D236C9">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D236C9" w:rsidRPr="003D2C38">
        <w:rPr>
          <w:rFonts w:ascii="Sylfaen" w:hAnsi="Sylfaen"/>
          <w:sz w:val="24"/>
          <w:szCs w:val="24"/>
        </w:rPr>
        <w:br/>
      </w:r>
      <w:r w:rsidRPr="00CA27E3">
        <w:rPr>
          <w:rFonts w:ascii="Sylfaen" w:hAnsi="Sylfaen"/>
          <w:sz w:val="24"/>
          <w:szCs w:val="24"/>
        </w:rPr>
        <w:t>(ԵԱՏՄ ՏԿ</w:t>
      </w:r>
      <w:r w:rsidR="005C50BB" w:rsidRPr="005C50BB">
        <w:rPr>
          <w:rFonts w:ascii="Sylfaen" w:hAnsi="Sylfaen"/>
          <w:sz w:val="24"/>
          <w:szCs w:val="24"/>
        </w:rPr>
        <w:tab/>
      </w:r>
      <w:r w:rsidRPr="00CA27E3">
        <w:rPr>
          <w:rFonts w:ascii="Sylfaen" w:hAnsi="Sylfaen"/>
          <w:sz w:val="24"/>
          <w:szCs w:val="24"/>
        </w:rPr>
        <w:t>/20</w:t>
      </w:r>
      <w:r w:rsidR="005C50BB" w:rsidRPr="005C50BB">
        <w:rPr>
          <w:rFonts w:ascii="Sylfaen" w:hAnsi="Sylfaen"/>
          <w:sz w:val="24"/>
          <w:szCs w:val="24"/>
        </w:rPr>
        <w:tab/>
      </w:r>
      <w:r w:rsidRPr="00CA27E3">
        <w:rPr>
          <w:rFonts w:ascii="Sylfaen" w:hAnsi="Sylfaen"/>
          <w:sz w:val="24"/>
          <w:szCs w:val="24"/>
        </w:rPr>
        <w:t>)</w:t>
      </w:r>
    </w:p>
    <w:p w14:paraId="3AE798B2" w14:textId="77777777" w:rsidR="00CA27E3" w:rsidRPr="00CA27E3" w:rsidRDefault="00CA27E3" w:rsidP="00CA27E3">
      <w:pPr>
        <w:pStyle w:val="a0"/>
        <w:shd w:val="clear" w:color="auto" w:fill="auto"/>
        <w:spacing w:after="160"/>
        <w:ind w:firstLine="0"/>
        <w:jc w:val="center"/>
        <w:rPr>
          <w:rFonts w:ascii="Sylfaen" w:hAnsi="Sylfaen" w:cs="Sylfaen"/>
          <w:b/>
          <w:bCs/>
          <w:sz w:val="24"/>
          <w:szCs w:val="24"/>
        </w:rPr>
      </w:pPr>
    </w:p>
    <w:p w14:paraId="61D9C638" w14:textId="77777777" w:rsidR="00CA27E3" w:rsidRPr="00CA27E3" w:rsidRDefault="00CA27E3" w:rsidP="005C50BB">
      <w:pPr>
        <w:pStyle w:val="a0"/>
        <w:shd w:val="clear" w:color="auto" w:fill="auto"/>
        <w:spacing w:after="160"/>
        <w:ind w:left="567" w:right="566" w:firstLine="0"/>
        <w:jc w:val="center"/>
        <w:rPr>
          <w:rFonts w:ascii="Sylfaen" w:hAnsi="Sylfaen" w:cs="Sylfaen"/>
          <w:sz w:val="24"/>
          <w:szCs w:val="24"/>
        </w:rPr>
      </w:pPr>
      <w:r w:rsidRPr="00CA27E3">
        <w:rPr>
          <w:rFonts w:ascii="Sylfaen" w:hAnsi="Sylfaen"/>
          <w:b/>
          <w:sz w:val="24"/>
          <w:szCs w:val="24"/>
        </w:rPr>
        <w:t>ՊԱՀԱՆՋՆԵՐ</w:t>
      </w:r>
    </w:p>
    <w:p w14:paraId="7A963F36" w14:textId="77777777" w:rsidR="00CA27E3" w:rsidRPr="00CA27E3" w:rsidRDefault="00CA27E3" w:rsidP="005C50BB">
      <w:pPr>
        <w:pStyle w:val="a0"/>
        <w:shd w:val="clear" w:color="auto" w:fill="auto"/>
        <w:spacing w:after="160"/>
        <w:ind w:left="567" w:right="566" w:firstLine="0"/>
        <w:jc w:val="center"/>
        <w:rPr>
          <w:rFonts w:ascii="Sylfaen" w:hAnsi="Sylfaen" w:cs="Sylfaen"/>
          <w:sz w:val="24"/>
          <w:szCs w:val="24"/>
        </w:rPr>
      </w:pPr>
      <w:r w:rsidRPr="00CA27E3">
        <w:rPr>
          <w:rFonts w:ascii="Sylfaen" w:hAnsi="Sylfaen"/>
          <w:b/>
          <w:sz w:val="24"/>
          <w:szCs w:val="24"/>
        </w:rPr>
        <w:t xml:space="preserve">ուղղորդված լույսի լամպերի, լուսադիոդային լամպերի </w:t>
      </w:r>
      <w:r>
        <w:rPr>
          <w:rFonts w:ascii="Sylfaen" w:hAnsi="Sylfaen"/>
          <w:b/>
          <w:sz w:val="24"/>
          <w:szCs w:val="24"/>
        </w:rPr>
        <w:t>եւ</w:t>
      </w:r>
      <w:r w:rsidRPr="00CA27E3">
        <w:rPr>
          <w:rFonts w:ascii="Sylfaen" w:hAnsi="Sylfaen"/>
          <w:b/>
          <w:sz w:val="24"/>
          <w:szCs w:val="24"/>
        </w:rPr>
        <w:t xml:space="preserve"> հարակից սարքավորումների էներգետիկ արդյունավետությանը ներկայացվող</w:t>
      </w:r>
    </w:p>
    <w:p w14:paraId="7103F7E5"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404A0101"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 Կիրառման ոլորտը</w:t>
      </w:r>
    </w:p>
    <w:p w14:paraId="72156418" w14:textId="77777777" w:rsidR="00CA27E3" w:rsidRPr="00CA27E3" w:rsidRDefault="00CA27E3" w:rsidP="00D236C9">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w:t>
      </w:r>
      <w:r w:rsidR="00D236C9" w:rsidRPr="00D236C9">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(այսուհետ՝ Միություն) մաքսային տարածում շրջանառության մեջ դրվող ինչպես առանձին, այնպես էլ այլ արտադրատեսակներում ներկառուցված՝ ուղղորդված լույսի լամպերի, լուսադիոդային լամպերի (LED), ինչպես նա</w:t>
      </w:r>
      <w:r>
        <w:rPr>
          <w:rFonts w:ascii="Sylfaen" w:hAnsi="Sylfaen"/>
          <w:sz w:val="24"/>
          <w:szCs w:val="24"/>
        </w:rPr>
        <w:t>եւ</w:t>
      </w:r>
      <w:r w:rsidRPr="00CA27E3">
        <w:rPr>
          <w:rFonts w:ascii="Sylfaen" w:hAnsi="Sylfaen"/>
          <w:sz w:val="24"/>
          <w:szCs w:val="24"/>
        </w:rPr>
        <w:t xml:space="preserve"> հարակից սարքավորումների վրա, որոնք նախատեսված են էլեկտրասնուցման ցանցի </w:t>
      </w:r>
      <w:r>
        <w:rPr>
          <w:rFonts w:ascii="Sylfaen" w:hAnsi="Sylfaen"/>
          <w:sz w:val="24"/>
          <w:szCs w:val="24"/>
        </w:rPr>
        <w:t>եւ</w:t>
      </w:r>
      <w:r w:rsidRPr="00CA27E3">
        <w:rPr>
          <w:rFonts w:ascii="Sylfaen" w:hAnsi="Sylfaen"/>
          <w:sz w:val="24"/>
          <w:szCs w:val="24"/>
        </w:rPr>
        <w:t xml:space="preserve"> լամպերի՝ ներառյալ լամպերի, գործարկումը կարգավորող ապարատների (այսուհետ՝ ԳԿԱ) մեջ տեղակայման համար, կառավարման սարքվածքների </w:t>
      </w:r>
      <w:r>
        <w:rPr>
          <w:rFonts w:ascii="Sylfaen" w:hAnsi="Sylfaen"/>
          <w:sz w:val="24"/>
          <w:szCs w:val="24"/>
        </w:rPr>
        <w:t>եւ</w:t>
      </w:r>
      <w:r w:rsidRPr="00CA27E3">
        <w:rPr>
          <w:rFonts w:ascii="Sylfaen" w:hAnsi="Sylfaen"/>
          <w:sz w:val="24"/>
          <w:szCs w:val="24"/>
        </w:rPr>
        <w:t xml:space="preserve"> լուսատուների վրա՝ բացառությամբ </w:t>
      </w:r>
    </w:p>
    <w:p w14:paraId="39ADD9AA"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5C50BB" w:rsidRPr="005C50BB">
        <w:rPr>
          <w:rFonts w:ascii="Sylfaen" w:hAnsi="Sylfaen"/>
          <w:sz w:val="24"/>
          <w:szCs w:val="24"/>
        </w:rPr>
        <w:tab/>
      </w:r>
      <w:r w:rsidRPr="00CA27E3">
        <w:rPr>
          <w:rFonts w:ascii="Sylfaen" w:hAnsi="Sylfaen"/>
          <w:sz w:val="24"/>
          <w:szCs w:val="24"/>
        </w:rPr>
        <w:t>լուսավորման համար չնախատեսված հատուկ նշանակության լամպերի.</w:t>
      </w:r>
    </w:p>
    <w:p w14:paraId="5D842CCB" w14:textId="77777777" w:rsidR="00D236C9" w:rsidRDefault="00CA27E3" w:rsidP="005C50BB">
      <w:pPr>
        <w:pStyle w:val="a0"/>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բ)</w:t>
      </w:r>
      <w:r w:rsidR="005C50BB" w:rsidRPr="005C50BB">
        <w:rPr>
          <w:rFonts w:ascii="Sylfaen" w:hAnsi="Sylfaen"/>
          <w:sz w:val="24"/>
          <w:szCs w:val="24"/>
        </w:rPr>
        <w:tab/>
      </w:r>
      <w:r w:rsidRPr="00CA27E3">
        <w:rPr>
          <w:rFonts w:ascii="Sylfaen" w:hAnsi="Sylfaen"/>
          <w:sz w:val="24"/>
          <w:szCs w:val="24"/>
        </w:rPr>
        <w:t xml:space="preserve">ԳԿԱ-ի </w:t>
      </w:r>
      <w:r>
        <w:rPr>
          <w:rFonts w:ascii="Sylfaen" w:hAnsi="Sylfaen"/>
          <w:sz w:val="24"/>
          <w:szCs w:val="24"/>
        </w:rPr>
        <w:t>եւ</w:t>
      </w:r>
      <w:r w:rsidRPr="00CA27E3">
        <w:rPr>
          <w:rFonts w:ascii="Sylfaen" w:hAnsi="Sylfaen"/>
          <w:sz w:val="24"/>
          <w:szCs w:val="24"/>
        </w:rPr>
        <w:t xml:space="preserve"> լյումինեսցենտային լամպերի համար լուսատուների </w:t>
      </w:r>
      <w:r>
        <w:rPr>
          <w:rFonts w:ascii="Sylfaen" w:hAnsi="Sylfaen"/>
          <w:sz w:val="24"/>
          <w:szCs w:val="24"/>
        </w:rPr>
        <w:t>եւ</w:t>
      </w:r>
      <w:r w:rsidRPr="00CA27E3">
        <w:rPr>
          <w:rFonts w:ascii="Sylfaen" w:hAnsi="Sylfaen"/>
          <w:sz w:val="24"/>
          <w:szCs w:val="24"/>
        </w:rPr>
        <w:t xml:space="preserve"> բարձր ինտենսիվության պարպումային լամպերի.</w:t>
      </w:r>
    </w:p>
    <w:p w14:paraId="32B74003" w14:textId="77777777" w:rsidR="00D236C9" w:rsidRDefault="00D236C9">
      <w:pPr>
        <w:rPr>
          <w:rFonts w:ascii="Sylfaen" w:eastAsia="Times New Roman" w:hAnsi="Sylfaen" w:cs="Times New Roman"/>
          <w:color w:val="auto"/>
        </w:rPr>
      </w:pPr>
      <w:r>
        <w:rPr>
          <w:rFonts w:ascii="Sylfaen" w:hAnsi="Sylfaen"/>
        </w:rPr>
        <w:br w:type="page"/>
      </w:r>
    </w:p>
    <w:p w14:paraId="3B1F8BE1"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գ)</w:t>
      </w:r>
      <w:r w:rsidR="005C50BB" w:rsidRPr="005C50BB">
        <w:rPr>
          <w:rFonts w:ascii="Sylfaen" w:hAnsi="Sylfaen"/>
          <w:sz w:val="24"/>
          <w:szCs w:val="24"/>
        </w:rPr>
        <w:tab/>
      </w:r>
      <w:r w:rsidRPr="00CA27E3">
        <w:rPr>
          <w:rFonts w:ascii="Sylfaen" w:hAnsi="Sylfaen"/>
          <w:sz w:val="24"/>
          <w:szCs w:val="24"/>
        </w:rPr>
        <w:t>խմբաքանակի՝ տարեկան 200 միավորից ոչ ավելի չափի դեպքում որպես լուսատուների մաս հայտարարված լուսադիոդային մոդուլների։</w:t>
      </w:r>
    </w:p>
    <w:p w14:paraId="444619F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Եթե ուղղորդված լույսի լամպերի, լուսադիոդային լամպերի </w:t>
      </w:r>
      <w:r>
        <w:rPr>
          <w:rFonts w:ascii="Sylfaen" w:hAnsi="Sylfaen"/>
          <w:sz w:val="24"/>
          <w:szCs w:val="24"/>
        </w:rPr>
        <w:t>եւ</w:t>
      </w:r>
      <w:r w:rsidRPr="00CA27E3">
        <w:rPr>
          <w:rFonts w:ascii="Sylfaen" w:hAnsi="Sylfaen"/>
          <w:sz w:val="24"/>
          <w:szCs w:val="24"/>
        </w:rPr>
        <w:t xml:space="preserve"> հարակից սարքավորումների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ուղղորդված լույսի լամպերը, լուսադիոդային լամպերը </w:t>
      </w:r>
      <w:r>
        <w:rPr>
          <w:rFonts w:ascii="Sylfaen" w:hAnsi="Sylfaen"/>
          <w:sz w:val="24"/>
          <w:szCs w:val="24"/>
        </w:rPr>
        <w:t>եւ</w:t>
      </w:r>
      <w:r w:rsidRPr="00CA27E3">
        <w:rPr>
          <w:rFonts w:ascii="Sylfaen" w:hAnsi="Sylfaen"/>
          <w:sz w:val="24"/>
          <w:szCs w:val="24"/>
        </w:rPr>
        <w:t xml:space="preserve"> հարակից սարքավորումները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505E1F45"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45E28969"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II. Հիմնական հասկացությունները</w:t>
      </w:r>
    </w:p>
    <w:p w14:paraId="1EBE57D7"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2.</w:t>
      </w:r>
      <w:r w:rsidR="005C50BB" w:rsidRPr="005C50BB">
        <w:rPr>
          <w:rFonts w:ascii="Sylfaen" w:hAnsi="Sylfaen"/>
          <w:sz w:val="24"/>
          <w:szCs w:val="24"/>
        </w:rPr>
        <w:tab/>
      </w:r>
      <w:r w:rsidRPr="00CA27E3">
        <w:rPr>
          <w:rFonts w:ascii="Sylfaen" w:hAnsi="Sylfaen"/>
          <w:sz w:val="24"/>
          <w:szCs w:val="24"/>
        </w:rPr>
        <w:t>Սույն պահանջների կիրառման նպատակով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073C8CA7"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հակափայլքային էկրան</w:t>
      </w:r>
      <w:r w:rsidR="00CA27E3" w:rsidRPr="00D236C9">
        <w:rPr>
          <w:rFonts w:ascii="Sylfaen" w:hAnsi="Sylfaen"/>
          <w:b/>
          <w:sz w:val="24"/>
          <w:szCs w:val="24"/>
        </w:rPr>
        <w:t>՝</w:t>
      </w:r>
      <w:r w:rsidR="00CA27E3" w:rsidRPr="00CA27E3">
        <w:rPr>
          <w:rFonts w:ascii="Sylfaen" w:hAnsi="Sylfaen"/>
          <w:sz w:val="24"/>
          <w:szCs w:val="24"/>
        </w:rPr>
        <w:t xml:space="preserve"> ուղիղ տեսանելի ճառագայթումը, լույսի աղբյուրը, այսինքն՝ ուղղորդված ազդեցության լամպը բլոկավորելու համար նախատեսված՝ մեխանիկական կամ օպտիկական արտացոլող կամ չարտացոլող ոչ թափանցիկ միջնապատ, որը թույլ է տալիս կանխել ժամանակավոր կուրացումը (հաշմանդամության փայլքեր), եթե դիտողը նայում է ուղիղ լույսի աղբյուրին։ Դրա շարքին չի դասվում ուղղորդված լույսի լամպում լույսի աղբյուրի մակեր</w:t>
      </w:r>
      <w:r w:rsidR="00CA27E3">
        <w:rPr>
          <w:rFonts w:ascii="Sylfaen" w:hAnsi="Sylfaen"/>
          <w:sz w:val="24"/>
          <w:szCs w:val="24"/>
        </w:rPr>
        <w:t>եւ</w:t>
      </w:r>
      <w:r w:rsidR="00CA27E3" w:rsidRPr="00CA27E3">
        <w:rPr>
          <w:rFonts w:ascii="Sylfaen" w:hAnsi="Sylfaen"/>
          <w:sz w:val="24"/>
          <w:szCs w:val="24"/>
        </w:rPr>
        <w:t>ույթի պատվածքը.</w:t>
      </w:r>
    </w:p>
    <w:p w14:paraId="38ECA953" w14:textId="77777777" w:rsidR="00D236C9" w:rsidRDefault="00D236C9" w:rsidP="00CA27E3">
      <w:pPr>
        <w:pStyle w:val="a0"/>
        <w:shd w:val="clear" w:color="auto" w:fill="auto"/>
        <w:spacing w:after="160"/>
        <w:ind w:firstLine="567"/>
        <w:jc w:val="both"/>
        <w:rPr>
          <w:rFonts w:ascii="Sylfaen" w:hAnsi="Sylfaen"/>
          <w:sz w:val="24"/>
          <w:szCs w:val="24"/>
        </w:rPr>
      </w:pPr>
      <w:r w:rsidRPr="00D236C9">
        <w:rPr>
          <w:rFonts w:ascii="Sylfaen" w:hAnsi="Sylfaen"/>
          <w:b/>
          <w:sz w:val="24"/>
          <w:szCs w:val="24"/>
        </w:rPr>
        <w:t>բալաստ</w:t>
      </w:r>
      <w:r w:rsidR="00CA27E3" w:rsidRPr="00D236C9">
        <w:rPr>
          <w:rFonts w:ascii="Sylfaen" w:hAnsi="Sylfaen"/>
          <w:b/>
          <w:sz w:val="24"/>
          <w:szCs w:val="24"/>
        </w:rPr>
        <w:t>՝</w:t>
      </w:r>
      <w:r w:rsidR="00CA27E3" w:rsidRPr="00CA27E3">
        <w:rPr>
          <w:rFonts w:ascii="Sylfaen" w:hAnsi="Sylfaen"/>
          <w:sz w:val="24"/>
          <w:szCs w:val="24"/>
        </w:rPr>
        <w:t xml:space="preserve"> ԳԿԱ, որը միացված է էլեկտրական աղբյուրի </w:t>
      </w:r>
      <w:r w:rsidR="00CA27E3">
        <w:rPr>
          <w:rFonts w:ascii="Sylfaen" w:hAnsi="Sylfaen"/>
          <w:sz w:val="24"/>
          <w:szCs w:val="24"/>
        </w:rPr>
        <w:t>եւ</w:t>
      </w:r>
      <w:r w:rsidR="00CA27E3" w:rsidRPr="00CA27E3">
        <w:rPr>
          <w:rFonts w:ascii="Sylfaen" w:hAnsi="Sylfaen"/>
          <w:sz w:val="24"/>
          <w:szCs w:val="24"/>
        </w:rPr>
        <w:t xml:space="preserve"> մեկ կամ մի քանի պարպումային լամպերի միջ</w:t>
      </w:r>
      <w:r w:rsidR="00CA27E3">
        <w:rPr>
          <w:rFonts w:ascii="Sylfaen" w:hAnsi="Sylfaen"/>
          <w:sz w:val="24"/>
          <w:szCs w:val="24"/>
        </w:rPr>
        <w:t>եւ</w:t>
      </w:r>
      <w:r w:rsidR="00CA27E3" w:rsidRPr="00CA27E3">
        <w:rPr>
          <w:rFonts w:ascii="Sylfaen" w:hAnsi="Sylfaen"/>
          <w:sz w:val="24"/>
          <w:szCs w:val="24"/>
        </w:rPr>
        <w:t xml:space="preserve">, որը ինդուկտիվության, ունակության կամ ինդուկտիվության </w:t>
      </w:r>
      <w:r w:rsidR="00CA27E3">
        <w:rPr>
          <w:rFonts w:ascii="Sylfaen" w:hAnsi="Sylfaen"/>
          <w:sz w:val="24"/>
          <w:szCs w:val="24"/>
        </w:rPr>
        <w:t>եւ</w:t>
      </w:r>
      <w:r w:rsidR="00CA27E3" w:rsidRPr="00CA27E3">
        <w:rPr>
          <w:rFonts w:ascii="Sylfaen" w:hAnsi="Sylfaen"/>
          <w:sz w:val="24"/>
          <w:szCs w:val="24"/>
        </w:rPr>
        <w:t xml:space="preserve"> ունակության համակցության միջոցով գլխավորապես ծառայում է լամպի (լամպերի) հոսանքը՝ մինչ</w:t>
      </w:r>
      <w:r w:rsidR="00CA27E3">
        <w:rPr>
          <w:rFonts w:ascii="Sylfaen" w:hAnsi="Sylfaen"/>
          <w:sz w:val="24"/>
          <w:szCs w:val="24"/>
        </w:rPr>
        <w:t>եւ</w:t>
      </w:r>
      <w:r w:rsidR="00CA27E3" w:rsidRPr="00CA27E3">
        <w:rPr>
          <w:rFonts w:ascii="Sylfaen" w:hAnsi="Sylfaen"/>
          <w:sz w:val="24"/>
          <w:szCs w:val="24"/>
        </w:rPr>
        <w:t xml:space="preserve"> պահանջվող արժեքը սահմանափակելու համար.</w:t>
      </w:r>
    </w:p>
    <w:p w14:paraId="6A28BA01" w14:textId="77777777" w:rsidR="00D236C9" w:rsidRDefault="00D236C9">
      <w:pPr>
        <w:rPr>
          <w:rFonts w:ascii="Sylfaen" w:eastAsia="Times New Roman" w:hAnsi="Sylfaen" w:cs="Times New Roman"/>
          <w:color w:val="auto"/>
        </w:rPr>
      </w:pPr>
      <w:r>
        <w:rPr>
          <w:rFonts w:ascii="Sylfaen" w:hAnsi="Sylfaen"/>
        </w:rPr>
        <w:br w:type="page"/>
      </w:r>
    </w:p>
    <w:p w14:paraId="3774A4E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lastRenderedPageBreak/>
        <w:t>արտաքին</w:t>
      </w:r>
      <w:r w:rsidR="00D236C9" w:rsidRPr="00D236C9">
        <w:rPr>
          <w:rFonts w:ascii="Sylfaen" w:hAnsi="Sylfaen"/>
          <w:b/>
          <w:sz w:val="24"/>
          <w:szCs w:val="24"/>
        </w:rPr>
        <w:t xml:space="preserve"> ԳԿԱ</w:t>
      </w:r>
      <w:r w:rsidRPr="00D236C9">
        <w:rPr>
          <w:rFonts w:ascii="Sylfaen" w:hAnsi="Sylfaen"/>
          <w:b/>
          <w:sz w:val="24"/>
          <w:szCs w:val="24"/>
        </w:rPr>
        <w:t>՝</w:t>
      </w:r>
      <w:r w:rsidRPr="00CA27E3">
        <w:rPr>
          <w:rFonts w:ascii="Sylfaen" w:hAnsi="Sylfaen"/>
          <w:sz w:val="24"/>
          <w:szCs w:val="24"/>
        </w:rPr>
        <w:t xml:space="preserve"> չներկառուցված ԳԿԱ, որը նախատեսված է լամպի կամ լուսատուի կորպուսից դուրս տեղակայվելու համար կամ որը կարող է հեռացվել կորպուսից՝ առանց լամպը կամ լուսատուն զգալիորեն վնասելու.</w:t>
      </w:r>
    </w:p>
    <w:p w14:paraId="10E8463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վո</w:t>
      </w:r>
      <w:r w:rsidR="00D236C9" w:rsidRPr="00D236C9">
        <w:rPr>
          <w:rFonts w:ascii="Sylfaen" w:hAnsi="Sylfaen"/>
          <w:b/>
          <w:sz w:val="24"/>
          <w:szCs w:val="24"/>
        </w:rPr>
        <w:t>լֆրամային հալոգեն շիկացման լամպ</w:t>
      </w:r>
      <w:r w:rsidRPr="00D236C9">
        <w:rPr>
          <w:rFonts w:ascii="Sylfaen" w:hAnsi="Sylfaen"/>
          <w:b/>
          <w:sz w:val="24"/>
          <w:szCs w:val="24"/>
        </w:rPr>
        <w:t>՝</w:t>
      </w:r>
      <w:r w:rsidRPr="00CA27E3">
        <w:rPr>
          <w:rFonts w:ascii="Sylfaen" w:hAnsi="Sylfaen"/>
          <w:sz w:val="24"/>
          <w:szCs w:val="24"/>
        </w:rPr>
        <w:t xml:space="preserve"> շիկացման լամպ, որի շիկացման թելը կազմված է վոլֆրամից </w:t>
      </w:r>
      <w:r>
        <w:rPr>
          <w:rFonts w:ascii="Sylfaen" w:hAnsi="Sylfaen"/>
          <w:sz w:val="24"/>
          <w:szCs w:val="24"/>
        </w:rPr>
        <w:t>եւ</w:t>
      </w:r>
      <w:r w:rsidRPr="00CA27E3">
        <w:rPr>
          <w:rFonts w:ascii="Sylfaen" w:hAnsi="Sylfaen"/>
          <w:sz w:val="24"/>
          <w:szCs w:val="24"/>
        </w:rPr>
        <w:t xml:space="preserve"> շրջապատված է հալոգեններով կամ հալոգենային միացություններով լցված թաղանթով.</w:t>
      </w:r>
    </w:p>
    <w:p w14:paraId="39DB245E"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վառքի ժամանակ</w:t>
      </w:r>
      <w:r w:rsidR="00CA27E3" w:rsidRPr="00D236C9">
        <w:rPr>
          <w:rFonts w:ascii="Sylfaen" w:hAnsi="Sylfaen"/>
          <w:b/>
          <w:sz w:val="24"/>
          <w:szCs w:val="24"/>
        </w:rPr>
        <w:t>՝</w:t>
      </w:r>
      <w:r w:rsidR="00CA27E3" w:rsidRPr="00CA27E3">
        <w:rPr>
          <w:rFonts w:ascii="Sylfaen" w:hAnsi="Sylfaen"/>
          <w:sz w:val="24"/>
          <w:szCs w:val="24"/>
        </w:rPr>
        <w:t xml:space="preserve"> լամպը ցանցին միացնելուց հետո դրա լրիվ բոցավառման </w:t>
      </w:r>
      <w:r w:rsidR="00CA27E3">
        <w:rPr>
          <w:rFonts w:ascii="Sylfaen" w:hAnsi="Sylfaen"/>
          <w:sz w:val="24"/>
          <w:szCs w:val="24"/>
        </w:rPr>
        <w:t>եւ</w:t>
      </w:r>
      <w:r w:rsidR="00CA27E3" w:rsidRPr="00CA27E3">
        <w:rPr>
          <w:rFonts w:ascii="Sylfaen" w:hAnsi="Sylfaen"/>
          <w:sz w:val="24"/>
          <w:szCs w:val="24"/>
        </w:rPr>
        <w:t xml:space="preserve"> հետագա այրման համար անհրաժեշտ ժամանակը.</w:t>
      </w:r>
    </w:p>
    <w:p w14:paraId="270F094F"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թեժացման ժամանակ</w:t>
      </w:r>
      <w:r w:rsidR="00CA27E3" w:rsidRPr="00D236C9">
        <w:rPr>
          <w:rFonts w:ascii="Sylfaen" w:hAnsi="Sylfaen"/>
          <w:b/>
          <w:sz w:val="24"/>
          <w:szCs w:val="24"/>
        </w:rPr>
        <w:t>՝</w:t>
      </w:r>
      <w:r w:rsidR="00CA27E3" w:rsidRPr="00CA27E3">
        <w:rPr>
          <w:rFonts w:ascii="Sylfaen" w:hAnsi="Sylfaen"/>
          <w:sz w:val="24"/>
          <w:szCs w:val="24"/>
        </w:rPr>
        <w:t xml:space="preserve"> ժամանակ, որի ընթացքում անվանական լուսային հոսքը հասնում է 60%-ի՝ լամպը ցանցին միացնելուց հետո.</w:t>
      </w:r>
    </w:p>
    <w:p w14:paraId="06E4E967" w14:textId="77777777" w:rsidR="00CA27E3" w:rsidRPr="00D236C9" w:rsidRDefault="00CA27E3" w:rsidP="00CA27E3">
      <w:pPr>
        <w:pStyle w:val="a0"/>
        <w:shd w:val="clear" w:color="auto" w:fill="auto"/>
        <w:spacing w:after="160"/>
        <w:ind w:firstLine="567"/>
        <w:jc w:val="both"/>
        <w:rPr>
          <w:rFonts w:ascii="Sylfaen" w:hAnsi="Sylfaen" w:cs="Sylfaen"/>
          <w:spacing w:val="-6"/>
          <w:sz w:val="24"/>
          <w:szCs w:val="24"/>
        </w:rPr>
      </w:pPr>
      <w:r w:rsidRPr="00D236C9">
        <w:rPr>
          <w:rFonts w:ascii="Sylfaen" w:hAnsi="Sylfaen"/>
          <w:b/>
          <w:sz w:val="24"/>
          <w:szCs w:val="24"/>
        </w:rPr>
        <w:t>հ</w:t>
      </w:r>
      <w:r w:rsidR="00D236C9" w:rsidRPr="00D236C9">
        <w:rPr>
          <w:rFonts w:ascii="Sylfaen" w:hAnsi="Sylfaen"/>
          <w:b/>
          <w:sz w:val="24"/>
          <w:szCs w:val="24"/>
        </w:rPr>
        <w:t>ատուկ նշանակության արտադրատեսակ</w:t>
      </w:r>
      <w:r w:rsidRPr="00D236C9">
        <w:rPr>
          <w:rFonts w:ascii="Sylfaen" w:hAnsi="Sylfaen"/>
          <w:b/>
          <w:sz w:val="24"/>
          <w:szCs w:val="24"/>
        </w:rPr>
        <w:t>՝</w:t>
      </w:r>
      <w:r w:rsidRPr="00CA27E3">
        <w:rPr>
          <w:rFonts w:ascii="Sylfaen" w:hAnsi="Sylfaen"/>
          <w:sz w:val="24"/>
          <w:szCs w:val="24"/>
        </w:rPr>
        <w:t xml:space="preserve"> արտադրատեսակ, որն օգտագործում է տեխնոլոգիաներ, որոնց վրա տարածվում են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D236C9" w:rsidRPr="00D236C9">
        <w:rPr>
          <w:rFonts w:ascii="Sylfaen" w:hAnsi="Sylfaen"/>
          <w:sz w:val="24"/>
          <w:szCs w:val="24"/>
        </w:rPr>
        <w:tab/>
      </w:r>
      <w:r w:rsidRPr="00CA27E3">
        <w:rPr>
          <w:rFonts w:ascii="Sylfaen" w:hAnsi="Sylfaen"/>
          <w:sz w:val="24"/>
          <w:szCs w:val="24"/>
        </w:rPr>
        <w:t>/20</w:t>
      </w:r>
      <w:r w:rsidR="00D236C9" w:rsidRPr="00D236C9">
        <w:rPr>
          <w:rFonts w:ascii="Sylfaen" w:hAnsi="Sylfaen"/>
          <w:sz w:val="24"/>
          <w:szCs w:val="24"/>
        </w:rPr>
        <w:tab/>
      </w:r>
      <w:r w:rsidRPr="00CA27E3">
        <w:rPr>
          <w:rFonts w:ascii="Sylfaen" w:hAnsi="Sylfaen"/>
          <w:sz w:val="24"/>
          <w:szCs w:val="24"/>
        </w:rPr>
        <w:t xml:space="preserve">) (այսուհետ՝ տեխնիկական կանոնակարգ) պահանջները, սակայն որը նախատեսված է հատուկ կիրառումներում՝ դրա տեխնիկական </w:t>
      </w:r>
      <w:r w:rsidRPr="00D236C9">
        <w:rPr>
          <w:rFonts w:ascii="Sylfaen" w:hAnsi="Sylfaen"/>
          <w:spacing w:val="-6"/>
          <w:sz w:val="24"/>
          <w:szCs w:val="24"/>
        </w:rPr>
        <w:t>պարամետրերի հետ կապված օգտագործման համար, ինչպես հայտարարված է տեխնիկական փաստաթղթերում։ Հատուկ կիրառումներին են դասվում այնպիսի կիրառումներ, որոնք պահանջում են սովորական պայմաններում բեմերի կամ օբյեկտների լուսավորման համար ոչ անհրաժեշտ տեխնիկական պարամետրեր, այն է՝</w:t>
      </w:r>
    </w:p>
    <w:p w14:paraId="16DAD5C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կիրառումներ, որոնց հիմնական նպատակը լուսավորումը չէ, մասնավորապես՝</w:t>
      </w:r>
    </w:p>
    <w:p w14:paraId="644735F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D6C2A">
        <w:rPr>
          <w:rFonts w:ascii="Sylfaen" w:hAnsi="Sylfaen"/>
          <w:sz w:val="24"/>
          <w:szCs w:val="24"/>
        </w:rPr>
        <w:t>քիմիական կամ կենսաբանական գործընթացներում որպես ազդակ</w:t>
      </w:r>
      <w:r w:rsidRPr="005D6C2A">
        <w:rPr>
          <w:rFonts w:ascii="Sylfaen" w:hAnsi="Sylfaen"/>
          <w:b/>
          <w:sz w:val="24"/>
          <w:szCs w:val="24"/>
        </w:rPr>
        <w:t>՝</w:t>
      </w:r>
      <w:r w:rsidRPr="00CA27E3">
        <w:rPr>
          <w:rFonts w:ascii="Sylfaen" w:hAnsi="Sylfaen"/>
          <w:sz w:val="24"/>
          <w:szCs w:val="24"/>
        </w:rPr>
        <w:t xml:space="preserve"> լույսի ճառագայթումը (պոլիմերացում, պնդացման, չորացման կամ մխման համար օգտագործվող ուլտրամանուշակագույն լույս, լուսադինամիկ թերապիա, այգեգործությունում, անասնաբուծությունում, միջատների դեմ պայքարի սարքերում).</w:t>
      </w:r>
    </w:p>
    <w:p w14:paraId="1AED167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ազդանշանումը (օրինակ, շարժման կառավարում կամ աերոդրոմային լամպեր).</w:t>
      </w:r>
    </w:p>
    <w:p w14:paraId="1483009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լուսավորման համար կիրառումներ, մասնավորապես՝</w:t>
      </w:r>
    </w:p>
    <w:p w14:paraId="00BA46E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5D6C2A">
        <w:rPr>
          <w:rFonts w:ascii="Sylfaen" w:hAnsi="Sylfaen"/>
          <w:sz w:val="24"/>
          <w:szCs w:val="24"/>
        </w:rPr>
        <w:t>լույսի սպեկտրալ բաշխումը</w:t>
      </w:r>
      <w:r w:rsidRPr="00CA27E3">
        <w:rPr>
          <w:rFonts w:ascii="Sylfaen" w:hAnsi="Sylfaen"/>
          <w:sz w:val="24"/>
          <w:szCs w:val="24"/>
        </w:rPr>
        <w:t>՝ նախատեսված է բեմի արտաքին տեսքը կամ օբյեկտի լուսավորումը փոփոխելու համար՝ որպես դրա տեսանելի վիճակի լրացում (օրինակ, տրվող սննդի լուսավորում կամ գունավոր լամպեր, որոնք սահմանված են սույն փաստաթղթի IV բաժնի 55-րդ կետում)՝ բացառությամբ համանման եղանակներով գունային ջերմաստիճանի փոփոխակությունների.</w:t>
      </w:r>
    </w:p>
    <w:p w14:paraId="053F89B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լույսի սպեկտրալ բաշխումը համալարվում է կոնկրետ տեխնիկական սարքավորման հատուկ պահանջմունքների համար՝ ի լրումն մարդու համար տեսանելի բեմի կամ օբյեկտի ստեղծման (օրինակ՝ ստուդիաների լուսավորում, շոու-էֆեկտների համար լուսավորում, թատերական լուսավորում). </w:t>
      </w:r>
    </w:p>
    <w:p w14:paraId="71927A2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բեմի կամ օբյեկտի լուսավորումը պահանջում է հատուկ պաշտպանություն՝ լույսի աղբյուրի բացասական ազդեցությունից (օրինակ՝ հատուկ զտմամբ լուսավորում՝ լուսազգայուն պացիենտների կամ լուսազգայուն թանգարանային ցուցանմուշների համար). </w:t>
      </w:r>
    </w:p>
    <w:p w14:paraId="1B66407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լուսավորում պահանջվում է միայն արտակարգ իրավիճակներում (օրինակ՝ վթարային լուսավորման լուսատուներ կամ վթարային լուսավորման համար վիրահատարանի սարքավորում).</w:t>
      </w:r>
    </w:p>
    <w:p w14:paraId="3CC3D24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լուսավորման սարքերը պետք է դիմակայեն ծայրահեղ ֆիզիկական պայմանների (օրինակ՝ թրթռում կամ մինուս 20 °C-ից ցածր կամ 50 °C-ից բարձր ջերմաստիճան).</w:t>
      </w:r>
    </w:p>
    <w:p w14:paraId="3F6788D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լուսավորման լուսատեխնիկական սարքեր պարունակող արտադրատեսակներ, որոնց հիմնական նպատակը լուսավորումը չէ </w:t>
      </w:r>
      <w:r>
        <w:rPr>
          <w:rFonts w:ascii="Sylfaen" w:hAnsi="Sylfaen"/>
          <w:sz w:val="24"/>
          <w:szCs w:val="24"/>
        </w:rPr>
        <w:t>եւ</w:t>
      </w:r>
      <w:r w:rsidRPr="00CA27E3">
        <w:rPr>
          <w:rFonts w:ascii="Sylfaen" w:hAnsi="Sylfaen"/>
          <w:sz w:val="24"/>
          <w:szCs w:val="24"/>
        </w:rPr>
        <w:t xml:space="preserve"> որոնք ունեն օգտագործման ժամանակ դրա հիմնական նպատակի կատարման ժամանակ էլեկտրաէներգիայի ծախսերից կախված պարամետրեր (օրինակ՝ սառնարաններ, կարի մեքենաներ, ներդիտակներ, արյան անալիզատորներ).</w:t>
      </w:r>
    </w:p>
    <w:p w14:paraId="01FAB5FF"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lastRenderedPageBreak/>
        <w:t>գունահաղորդման ցուցիչ (Ra)</w:t>
      </w:r>
      <w:r w:rsidR="00CA27E3" w:rsidRPr="00D236C9">
        <w:rPr>
          <w:rFonts w:ascii="Sylfaen" w:hAnsi="Sylfaen"/>
          <w:b/>
          <w:sz w:val="24"/>
          <w:szCs w:val="24"/>
        </w:rPr>
        <w:t>՝</w:t>
      </w:r>
      <w:r w:rsidR="00CA27E3" w:rsidRPr="00CA27E3">
        <w:rPr>
          <w:rFonts w:ascii="Sylfaen" w:hAnsi="Sylfaen"/>
          <w:sz w:val="24"/>
          <w:szCs w:val="24"/>
        </w:rPr>
        <w:t xml:space="preserve"> դիտարկման որոշակի պայմաններում լույսի ուսումնասիրվող </w:t>
      </w:r>
      <w:r w:rsidR="00CA27E3">
        <w:rPr>
          <w:rFonts w:ascii="Sylfaen" w:hAnsi="Sylfaen"/>
          <w:sz w:val="24"/>
          <w:szCs w:val="24"/>
        </w:rPr>
        <w:t>եւ</w:t>
      </w:r>
      <w:r w:rsidR="00CA27E3" w:rsidRPr="00CA27E3">
        <w:rPr>
          <w:rFonts w:ascii="Sylfaen" w:hAnsi="Sylfaen"/>
          <w:sz w:val="24"/>
          <w:szCs w:val="24"/>
        </w:rPr>
        <w:t xml:space="preserve"> ստանդարտ աղբյուրներով լուսավորված գունավոր օբյեկտի տեսողական ընկալման համապատասխանության չափը.</w:t>
      </w:r>
    </w:p>
    <w:p w14:paraId="0A24A918" w14:textId="77777777" w:rsidR="00CA27E3" w:rsidRPr="00CA27E3" w:rsidRDefault="00D236C9"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լույսի աղբյուր</w:t>
      </w:r>
      <w:r w:rsidR="00CA27E3" w:rsidRPr="00D236C9">
        <w:rPr>
          <w:rFonts w:ascii="Sylfaen" w:hAnsi="Sylfaen"/>
          <w:b/>
          <w:sz w:val="24"/>
          <w:szCs w:val="24"/>
        </w:rPr>
        <w:t>՝</w:t>
      </w:r>
      <w:r w:rsidR="00CA27E3" w:rsidRPr="00CA27E3">
        <w:rPr>
          <w:rFonts w:ascii="Sylfaen" w:hAnsi="Sylfaen"/>
          <w:sz w:val="24"/>
          <w:szCs w:val="24"/>
        </w:rPr>
        <w:t xml:space="preserve"> մակեր</w:t>
      </w:r>
      <w:r w:rsidR="00CA27E3">
        <w:rPr>
          <w:rFonts w:ascii="Sylfaen" w:hAnsi="Sylfaen"/>
          <w:sz w:val="24"/>
          <w:szCs w:val="24"/>
        </w:rPr>
        <w:t>եւ</w:t>
      </w:r>
      <w:r w:rsidR="00CA27E3" w:rsidRPr="00CA27E3">
        <w:rPr>
          <w:rFonts w:ascii="Sylfaen" w:hAnsi="Sylfaen"/>
          <w:sz w:val="24"/>
          <w:szCs w:val="24"/>
        </w:rPr>
        <w:t>ույթ կամ օբյեկտ, որը նախատեսված է գլխավորապես էներգիայի կերպափոխման դեպքում առաջացող տեսանելի օպտիկական ճառագայթման համար։ «Տեսանելի» հա</w:t>
      </w:r>
      <w:r>
        <w:rPr>
          <w:rFonts w:ascii="Sylfaen" w:hAnsi="Sylfaen"/>
          <w:sz w:val="24"/>
          <w:szCs w:val="24"/>
        </w:rPr>
        <w:t>սկացությունը վերաբերում է 380-</w:t>
      </w:r>
      <w:r w:rsidR="00CA27E3" w:rsidRPr="00CA27E3">
        <w:rPr>
          <w:rFonts w:ascii="Sylfaen" w:hAnsi="Sylfaen"/>
          <w:sz w:val="24"/>
          <w:szCs w:val="24"/>
        </w:rPr>
        <w:t>780 նմ ալիքների երկարություններին.</w:t>
      </w:r>
    </w:p>
    <w:p w14:paraId="3B77ACB4" w14:textId="77777777" w:rsidR="00CA27E3" w:rsidRPr="00CA27E3" w:rsidRDefault="00D236C9"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կոմպակտ լյումինեսցենտային լամպ</w:t>
      </w:r>
      <w:r w:rsidR="00CA27E3" w:rsidRPr="00CA27E3">
        <w:rPr>
          <w:rFonts w:ascii="Sylfaen" w:hAnsi="Sylfaen"/>
          <w:sz w:val="24"/>
          <w:szCs w:val="24"/>
        </w:rPr>
        <w:t xml:space="preserve">՝ լյումինեսցենտային լամպ, որում դրա վառքը </w:t>
      </w:r>
      <w:r w:rsidR="00CA27E3">
        <w:rPr>
          <w:rFonts w:ascii="Sylfaen" w:hAnsi="Sylfaen"/>
          <w:sz w:val="24"/>
          <w:szCs w:val="24"/>
        </w:rPr>
        <w:t>եւ</w:t>
      </w:r>
      <w:r w:rsidR="00CA27E3" w:rsidRPr="00CA27E3">
        <w:rPr>
          <w:rFonts w:ascii="Sylfaen" w:hAnsi="Sylfaen"/>
          <w:sz w:val="24"/>
          <w:szCs w:val="24"/>
        </w:rPr>
        <w:t xml:space="preserve"> կայուն աշխատանքն ապահովվում է լամպակոթի մեջ ներկառուցված՝ գործարկումը կարգավորող ապարատով </w:t>
      </w:r>
      <w:r w:rsidR="00CA27E3">
        <w:rPr>
          <w:rFonts w:ascii="Sylfaen" w:hAnsi="Sylfaen"/>
          <w:sz w:val="24"/>
          <w:szCs w:val="24"/>
        </w:rPr>
        <w:t>եւ</w:t>
      </w:r>
      <w:r w:rsidR="00CA27E3" w:rsidRPr="00CA27E3">
        <w:rPr>
          <w:rFonts w:ascii="Sylfaen" w:hAnsi="Sylfaen"/>
          <w:sz w:val="24"/>
          <w:szCs w:val="24"/>
        </w:rPr>
        <w:t xml:space="preserve"> այլ լրացուցիչ տարրերով.</w:t>
      </w:r>
    </w:p>
    <w:p w14:paraId="79293B96" w14:textId="77777777" w:rsidR="00CA27E3" w:rsidRPr="00CA27E3" w:rsidRDefault="00CA27E3"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կորելացվա</w:t>
      </w:r>
      <w:r w:rsidR="00D236C9" w:rsidRPr="00D236C9">
        <w:rPr>
          <w:rFonts w:ascii="Sylfaen" w:hAnsi="Sylfaen"/>
          <w:b/>
          <w:sz w:val="24"/>
          <w:szCs w:val="24"/>
        </w:rPr>
        <w:t>ծ գունային ջերմաստիճան (Tc [К])</w:t>
      </w:r>
      <w:r w:rsidRPr="00D236C9">
        <w:rPr>
          <w:rFonts w:ascii="Sylfaen" w:hAnsi="Sylfaen"/>
          <w:b/>
          <w:sz w:val="24"/>
          <w:szCs w:val="24"/>
        </w:rPr>
        <w:t>՝</w:t>
      </w:r>
      <w:r w:rsidRPr="00CA27E3">
        <w:rPr>
          <w:rFonts w:ascii="Sylfaen" w:hAnsi="Sylfaen"/>
          <w:sz w:val="24"/>
          <w:szCs w:val="24"/>
        </w:rPr>
        <w:t xml:space="preserve"> Պլանկի ճառագայթիչի (ս</w:t>
      </w:r>
      <w:r>
        <w:rPr>
          <w:rFonts w:ascii="Sylfaen" w:hAnsi="Sylfaen"/>
          <w:sz w:val="24"/>
          <w:szCs w:val="24"/>
        </w:rPr>
        <w:t>եւ</w:t>
      </w:r>
      <w:r w:rsidR="00D236C9" w:rsidRPr="00D236C9">
        <w:rPr>
          <w:rFonts w:ascii="Sylfaen" w:hAnsi="Sylfaen"/>
          <w:sz w:val="24"/>
          <w:szCs w:val="24"/>
        </w:rPr>
        <w:t> </w:t>
      </w:r>
      <w:r w:rsidRPr="00CA27E3">
        <w:rPr>
          <w:rFonts w:ascii="Sylfaen" w:hAnsi="Sylfaen"/>
          <w:sz w:val="24"/>
          <w:szCs w:val="24"/>
        </w:rPr>
        <w:t xml:space="preserve">մարմնի) ջերմաստիճան, որի ընկալվող գույնը ամենամոտն է հիշեցնում այն գույնը, որն ունի տվյալ գրգռիչը միանման պայծառության </w:t>
      </w:r>
      <w:r>
        <w:rPr>
          <w:rFonts w:ascii="Sylfaen" w:hAnsi="Sylfaen"/>
          <w:sz w:val="24"/>
          <w:szCs w:val="24"/>
        </w:rPr>
        <w:t>եւ</w:t>
      </w:r>
      <w:r w:rsidRPr="00CA27E3">
        <w:rPr>
          <w:rFonts w:ascii="Sylfaen" w:hAnsi="Sylfaen"/>
          <w:sz w:val="24"/>
          <w:szCs w:val="24"/>
        </w:rPr>
        <w:t xml:space="preserve"> դիտման որոշակի պայմաններում.</w:t>
      </w:r>
    </w:p>
    <w:p w14:paraId="3DDFE1FA" w14:textId="77777777" w:rsidR="00CA27E3" w:rsidRPr="00CA27E3" w:rsidRDefault="00D236C9"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հզորության գործակից</w:t>
      </w:r>
      <w:r w:rsidR="00CA27E3" w:rsidRPr="00D236C9">
        <w:rPr>
          <w:rFonts w:ascii="Sylfaen" w:hAnsi="Sylfaen"/>
          <w:b/>
          <w:sz w:val="24"/>
          <w:szCs w:val="24"/>
        </w:rPr>
        <w:t>՝</w:t>
      </w:r>
      <w:r w:rsidR="00CA27E3" w:rsidRPr="00CA27E3">
        <w:rPr>
          <w:rFonts w:ascii="Sylfaen" w:hAnsi="Sylfaen"/>
          <w:sz w:val="24"/>
          <w:szCs w:val="24"/>
        </w:rPr>
        <w:t xml:space="preserve"> ակտիվ (օգտակար) հզորության հարաբերակցությունը լրիվ հզորության նկատմամբ՝ փոփոխական հոսանքով աշխատանքի պայմաններում.</w:t>
      </w:r>
    </w:p>
    <w:p w14:paraId="50ED10A8" w14:textId="77777777" w:rsidR="00CA27E3" w:rsidRPr="00CA27E3" w:rsidRDefault="00CA27E3"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 xml:space="preserve">լամպի լուսային </w:t>
      </w:r>
      <w:r w:rsidR="00D236C9" w:rsidRPr="00D236C9">
        <w:rPr>
          <w:rFonts w:ascii="Sylfaen" w:hAnsi="Sylfaen"/>
          <w:b/>
          <w:sz w:val="24"/>
          <w:szCs w:val="24"/>
        </w:rPr>
        <w:t>հոսքի պահպանման գործակից (LLMF)</w:t>
      </w:r>
      <w:r w:rsidRPr="00D236C9">
        <w:rPr>
          <w:rFonts w:ascii="Sylfaen" w:hAnsi="Sylfaen"/>
          <w:b/>
          <w:sz w:val="24"/>
          <w:szCs w:val="24"/>
        </w:rPr>
        <w:t>՝</w:t>
      </w:r>
      <w:r w:rsidRPr="00CA27E3">
        <w:rPr>
          <w:rFonts w:ascii="Sylfaen" w:hAnsi="Sylfaen"/>
          <w:sz w:val="24"/>
          <w:szCs w:val="24"/>
        </w:rPr>
        <w:t xml:space="preserve"> լամպի ծառայության ժամկետի (կենսական ցիկլի) տրված պահին այդ լամպի լուսային հոսքի հարաբերությունը այդ լամպի սկզբնական լուսային հոսքի նկատմամբ.</w:t>
      </w:r>
    </w:p>
    <w:p w14:paraId="31A4D8E5" w14:textId="77777777" w:rsidR="00CA27E3" w:rsidRPr="00CA27E3" w:rsidRDefault="00CA27E3"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լամպի ծառ</w:t>
      </w:r>
      <w:r w:rsidR="00D236C9" w:rsidRPr="00D236C9">
        <w:rPr>
          <w:rFonts w:ascii="Sylfaen" w:hAnsi="Sylfaen"/>
          <w:b/>
          <w:sz w:val="24"/>
          <w:szCs w:val="24"/>
        </w:rPr>
        <w:t>այության ժամկետի գործակից (LSF)</w:t>
      </w:r>
      <w:r w:rsidRPr="00D236C9">
        <w:rPr>
          <w:rFonts w:ascii="Sylfaen" w:hAnsi="Sylfaen"/>
          <w:b/>
          <w:sz w:val="24"/>
          <w:szCs w:val="24"/>
        </w:rPr>
        <w:t>`</w:t>
      </w:r>
      <w:r w:rsidRPr="00CA27E3">
        <w:rPr>
          <w:rFonts w:ascii="Sylfaen" w:hAnsi="Sylfaen"/>
          <w:sz w:val="24"/>
          <w:szCs w:val="24"/>
        </w:rPr>
        <w:t xml:space="preserve"> լամպերի ընդհանուր քանակի մեջ՝</w:t>
      </w:r>
      <w:r>
        <w:rPr>
          <w:rFonts w:ascii="Sylfaen" w:hAnsi="Sylfaen"/>
          <w:sz w:val="24"/>
          <w:szCs w:val="24"/>
        </w:rPr>
        <w:t xml:space="preserve"> </w:t>
      </w:r>
      <w:r w:rsidRPr="00CA27E3">
        <w:rPr>
          <w:rFonts w:ascii="Sylfaen" w:hAnsi="Sylfaen"/>
          <w:sz w:val="24"/>
          <w:szCs w:val="24"/>
        </w:rPr>
        <w:t xml:space="preserve">որոշակի պայմաններում </w:t>
      </w:r>
      <w:r>
        <w:rPr>
          <w:rFonts w:ascii="Sylfaen" w:hAnsi="Sylfaen"/>
          <w:sz w:val="24"/>
          <w:szCs w:val="24"/>
        </w:rPr>
        <w:t>եւ</w:t>
      </w:r>
      <w:r w:rsidRPr="00CA27E3">
        <w:rPr>
          <w:rFonts w:ascii="Sylfaen" w:hAnsi="Sylfaen"/>
          <w:sz w:val="24"/>
          <w:szCs w:val="24"/>
        </w:rPr>
        <w:t xml:space="preserve"> միացումների (փոխարկումների) որոշակի հաճախության դեպքում տվյալ պահին դեռ աշխատող լամպերի բաժինը.</w:t>
      </w:r>
    </w:p>
    <w:p w14:paraId="1C219732" w14:textId="77777777" w:rsidR="00CA27E3" w:rsidRPr="00CA27E3" w:rsidRDefault="00D236C9" w:rsidP="00D236C9">
      <w:pPr>
        <w:pStyle w:val="a0"/>
        <w:shd w:val="clear" w:color="auto" w:fill="auto"/>
        <w:spacing w:after="160" w:line="343" w:lineRule="auto"/>
        <w:ind w:firstLine="567"/>
        <w:jc w:val="both"/>
        <w:rPr>
          <w:rFonts w:ascii="Sylfaen" w:hAnsi="Sylfaen" w:cs="Sylfaen"/>
          <w:sz w:val="24"/>
          <w:szCs w:val="24"/>
        </w:rPr>
      </w:pPr>
      <w:r w:rsidRPr="00D236C9">
        <w:rPr>
          <w:rFonts w:ascii="Sylfaen" w:hAnsi="Sylfaen"/>
          <w:b/>
          <w:sz w:val="24"/>
          <w:szCs w:val="24"/>
        </w:rPr>
        <w:t>լամպ</w:t>
      </w:r>
      <w:r w:rsidR="00CA27E3" w:rsidRPr="00D236C9">
        <w:rPr>
          <w:rFonts w:ascii="Sylfaen" w:hAnsi="Sylfaen"/>
          <w:b/>
          <w:sz w:val="24"/>
          <w:szCs w:val="24"/>
        </w:rPr>
        <w:t>՝</w:t>
      </w:r>
      <w:r w:rsidR="00CA27E3" w:rsidRPr="00CA27E3">
        <w:rPr>
          <w:rFonts w:ascii="Sylfaen" w:hAnsi="Sylfaen"/>
          <w:sz w:val="24"/>
          <w:szCs w:val="24"/>
        </w:rPr>
        <w:t xml:space="preserve"> էլեկտրական էներգիայի կերպափոխման արդյունքում ստեղծվող օպտիկական ճառագայթման աղբյուր.</w:t>
      </w:r>
    </w:p>
    <w:p w14:paraId="4FB21003"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շիկացման լամպ</w:t>
      </w:r>
      <w:r w:rsidR="00CA27E3" w:rsidRPr="00D236C9">
        <w:rPr>
          <w:rFonts w:ascii="Sylfaen" w:hAnsi="Sylfaen"/>
          <w:b/>
          <w:sz w:val="24"/>
          <w:szCs w:val="24"/>
        </w:rPr>
        <w:t>՝</w:t>
      </w:r>
      <w:r w:rsidR="00CA27E3" w:rsidRPr="00CA27E3">
        <w:rPr>
          <w:rFonts w:ascii="Sylfaen" w:hAnsi="Sylfaen"/>
          <w:sz w:val="24"/>
          <w:szCs w:val="24"/>
        </w:rPr>
        <w:t xml:space="preserve"> հերմետիկ լամպանոթով լամպ, որում լույսը ճառագայթվում է շիկացման մարմնի (թելի) միջոցով` դրա միջով վակուումում կամ իներտ գազի միջավայրում էլեկտրական հոսանքն անցնելու դեպքում.</w:t>
      </w:r>
    </w:p>
    <w:p w14:paraId="7D1D1B6D"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lastRenderedPageBreak/>
        <w:t>ուղղորդված լույսի լամպ</w:t>
      </w:r>
      <w:r w:rsidR="00CA27E3" w:rsidRPr="00D236C9">
        <w:rPr>
          <w:rFonts w:ascii="Sylfaen" w:hAnsi="Sylfaen"/>
          <w:b/>
          <w:sz w:val="24"/>
          <w:szCs w:val="24"/>
        </w:rPr>
        <w:t>՝</w:t>
      </w:r>
      <w:r w:rsidR="00CA27E3" w:rsidRPr="00CA27E3">
        <w:rPr>
          <w:rFonts w:ascii="Sylfaen" w:hAnsi="Sylfaen"/>
          <w:sz w:val="24"/>
          <w:szCs w:val="24"/>
        </w:rPr>
        <w:t xml:space="preserve"> լամպ, որն իր լուսային հոսքի առնվազն 80%-ը ճառագայթում է</w:t>
      </w:r>
      <w:r w:rsidR="00CA27E3">
        <w:rPr>
          <w:rFonts w:ascii="Sylfaen" w:hAnsi="Sylfaen"/>
          <w:sz w:val="24"/>
          <w:szCs w:val="24"/>
        </w:rPr>
        <w:t xml:space="preserve"> </w:t>
      </w:r>
      <w:r w:rsidR="00CA27E3" w:rsidRPr="00CA27E3">
        <w:rPr>
          <w:rFonts w:ascii="Sylfaen" w:hAnsi="Sylfaen"/>
          <w:sz w:val="24"/>
          <w:szCs w:val="24"/>
        </w:rPr>
        <w:t>3,14 ստեռադիան մարմնային անկյան սահմաններում (համապատասխանում է 120° գագաթի դեպքում անկյան կոնին).</w:t>
      </w:r>
    </w:p>
    <w:p w14:paraId="60B22AB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չուղղորդված լույսի լամպ՝</w:t>
      </w:r>
      <w:r w:rsidRPr="00CA27E3">
        <w:rPr>
          <w:rFonts w:ascii="Sylfaen" w:hAnsi="Sylfaen"/>
          <w:sz w:val="24"/>
          <w:szCs w:val="24"/>
        </w:rPr>
        <w:t xml:space="preserve"> լամպ, որը ուղղորդված լույսի ճառագայթմամբ լամպ չէ.</w:t>
      </w:r>
    </w:p>
    <w:p w14:paraId="2E1DB414"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լյումինեսցենտային լամպ</w:t>
      </w:r>
      <w:r w:rsidR="00CA27E3" w:rsidRPr="00D236C9">
        <w:rPr>
          <w:rFonts w:ascii="Sylfaen" w:hAnsi="Sylfaen"/>
          <w:b/>
          <w:sz w:val="24"/>
          <w:szCs w:val="24"/>
        </w:rPr>
        <w:t>՝</w:t>
      </w:r>
      <w:r w:rsidR="00CA27E3" w:rsidRPr="00CA27E3">
        <w:rPr>
          <w:rFonts w:ascii="Sylfaen" w:hAnsi="Sylfaen"/>
          <w:sz w:val="24"/>
          <w:szCs w:val="24"/>
        </w:rPr>
        <w:t xml:space="preserve"> ցածր ճնշման սնդիկային լամպ, որում լույսը ճառագայթում է էլեկտրական պարպման ուլտրամանուշակագույն ճառագայթումով գրգռվող լյումինաֆորի մեկ կամ մի քանի շերտեր։ Լյումինեսցենտային լամպերը մատակարարվում են ներկառուցված՝ գործարկումը կարգավորող ապարատով կամ առանց դրա.</w:t>
      </w:r>
    </w:p>
    <w:p w14:paraId="449237E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առանց ներկառուցված</w:t>
      </w:r>
      <w:r w:rsidR="00D236C9" w:rsidRPr="00D236C9">
        <w:rPr>
          <w:rFonts w:ascii="Sylfaen" w:hAnsi="Sylfaen"/>
          <w:b/>
          <w:sz w:val="24"/>
          <w:szCs w:val="24"/>
        </w:rPr>
        <w:t xml:space="preserve"> բալաստի լյումինեսցենտային լամպ</w:t>
      </w:r>
      <w:r w:rsidRPr="00CA27E3">
        <w:rPr>
          <w:rFonts w:ascii="Sylfaen" w:hAnsi="Sylfaen"/>
          <w:sz w:val="24"/>
          <w:szCs w:val="24"/>
        </w:rPr>
        <w:t>՝ մեկ կամ երկու լամպակոթով լյումինեսցենտային լամպ առանց ներկառուցված բալաստի.</w:t>
      </w:r>
    </w:p>
    <w:p w14:paraId="3878AF68"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սպասման հզորություն</w:t>
      </w:r>
      <w:r w:rsidR="00CA27E3" w:rsidRPr="00D236C9">
        <w:rPr>
          <w:rFonts w:ascii="Sylfaen" w:hAnsi="Sylfaen"/>
          <w:b/>
          <w:sz w:val="24"/>
          <w:szCs w:val="24"/>
        </w:rPr>
        <w:t>՝</w:t>
      </w:r>
      <w:r w:rsidR="00CA27E3" w:rsidRPr="00CA27E3">
        <w:rPr>
          <w:rFonts w:ascii="Sylfaen" w:hAnsi="Sylfaen"/>
          <w:sz w:val="24"/>
          <w:szCs w:val="24"/>
        </w:rPr>
        <w:t xml:space="preserve"> հզորություն, որն սպառվում է ԳԿԱ-ով սպասման ռեժիմում.</w:t>
      </w:r>
    </w:p>
    <w:p w14:paraId="08EDEB9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 xml:space="preserve">պարապ </w:t>
      </w:r>
      <w:r w:rsidR="00D236C9" w:rsidRPr="00D236C9">
        <w:rPr>
          <w:rFonts w:ascii="Sylfaen" w:hAnsi="Sylfaen"/>
          <w:b/>
          <w:sz w:val="24"/>
          <w:szCs w:val="24"/>
        </w:rPr>
        <w:t>ընթացքի հզորություն</w:t>
      </w:r>
      <w:r w:rsidRPr="00CA27E3">
        <w:rPr>
          <w:rFonts w:ascii="Sylfaen" w:hAnsi="Sylfaen"/>
          <w:sz w:val="24"/>
          <w:szCs w:val="24"/>
        </w:rPr>
        <w:t>՝ հզորություն, որն սպառվում է ԳԿԱ-ով պարապ ընթացքի ռեժիմում.</w:t>
      </w:r>
    </w:p>
    <w:p w14:paraId="2A74E723"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նախնական լուսային հոսք</w:t>
      </w:r>
      <w:r w:rsidR="00CA27E3" w:rsidRPr="00D236C9">
        <w:rPr>
          <w:rFonts w:ascii="Sylfaen" w:hAnsi="Sylfaen"/>
          <w:b/>
          <w:sz w:val="24"/>
          <w:szCs w:val="24"/>
        </w:rPr>
        <w:t>՝</w:t>
      </w:r>
      <w:r w:rsidR="00CA27E3" w:rsidRPr="00CA27E3">
        <w:rPr>
          <w:rFonts w:ascii="Sylfaen" w:hAnsi="Sylfaen"/>
          <w:sz w:val="24"/>
          <w:szCs w:val="24"/>
        </w:rPr>
        <w:t xml:space="preserve"> լամպի լուսային հոսքը շահագործման ոչ երկարատ</w:t>
      </w:r>
      <w:r w:rsidR="00CA27E3">
        <w:rPr>
          <w:rFonts w:ascii="Sylfaen" w:hAnsi="Sylfaen"/>
          <w:sz w:val="24"/>
          <w:szCs w:val="24"/>
        </w:rPr>
        <w:t>եւ</w:t>
      </w:r>
      <w:r w:rsidR="00CA27E3" w:rsidRPr="00CA27E3">
        <w:rPr>
          <w:rFonts w:ascii="Sylfaen" w:hAnsi="Sylfaen"/>
          <w:sz w:val="24"/>
          <w:szCs w:val="24"/>
        </w:rPr>
        <w:t xml:space="preserve"> ժամանակահատվածից հետո.</w:t>
      </w:r>
    </w:p>
    <w:p w14:paraId="61D40247"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անվանական արժեք</w:t>
      </w:r>
      <w:r w:rsidR="00CA27E3" w:rsidRPr="00D236C9">
        <w:rPr>
          <w:rFonts w:ascii="Sylfaen" w:hAnsi="Sylfaen"/>
          <w:b/>
          <w:sz w:val="24"/>
          <w:szCs w:val="24"/>
        </w:rPr>
        <w:t>՝</w:t>
      </w:r>
      <w:r w:rsidR="00CA27E3" w:rsidRPr="00CA27E3">
        <w:rPr>
          <w:rFonts w:ascii="Sylfaen" w:hAnsi="Sylfaen"/>
          <w:sz w:val="24"/>
          <w:szCs w:val="24"/>
        </w:rPr>
        <w:t xml:space="preserve"> տրված աշխատանքային պայմաններում պարամետրի քանակական արժեքը, որն օգտագործվում է արտադրատեսակի նշագրման կամ նույնականացման</w:t>
      </w:r>
      <w:r w:rsidR="00CA27E3">
        <w:rPr>
          <w:rFonts w:ascii="Sylfaen" w:hAnsi="Sylfaen"/>
          <w:sz w:val="24"/>
          <w:szCs w:val="24"/>
        </w:rPr>
        <w:t xml:space="preserve"> </w:t>
      </w:r>
      <w:r w:rsidR="00CA27E3" w:rsidRPr="00CA27E3">
        <w:rPr>
          <w:rFonts w:ascii="Sylfaen" w:hAnsi="Sylfaen"/>
          <w:sz w:val="24"/>
          <w:szCs w:val="24"/>
        </w:rPr>
        <w:t xml:space="preserve">համար </w:t>
      </w:r>
      <w:r w:rsidR="00CA27E3">
        <w:rPr>
          <w:rFonts w:ascii="Sylfaen" w:hAnsi="Sylfaen"/>
          <w:sz w:val="24"/>
          <w:szCs w:val="24"/>
        </w:rPr>
        <w:t>եւ</w:t>
      </w:r>
      <w:r w:rsidR="00CA27E3" w:rsidRPr="00CA27E3">
        <w:rPr>
          <w:rFonts w:ascii="Sylfaen" w:hAnsi="Sylfaen"/>
          <w:sz w:val="24"/>
          <w:szCs w:val="24"/>
        </w:rPr>
        <w:t xml:space="preserve"> որը նշվում է արտադրողի կողմից շահագործման փաստաթղթերում.</w:t>
      </w:r>
    </w:p>
    <w:p w14:paraId="1D685275"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գույնի համասեռություն</w:t>
      </w:r>
      <w:r w:rsidR="00CA27E3" w:rsidRPr="00D236C9">
        <w:rPr>
          <w:rFonts w:ascii="Sylfaen" w:hAnsi="Sylfaen"/>
          <w:b/>
          <w:sz w:val="24"/>
          <w:szCs w:val="24"/>
        </w:rPr>
        <w:t>՝</w:t>
      </w:r>
      <w:r w:rsidR="00CA27E3" w:rsidRPr="00CA27E3">
        <w:rPr>
          <w:rFonts w:ascii="Sylfaen" w:hAnsi="Sylfaen"/>
          <w:sz w:val="24"/>
          <w:szCs w:val="24"/>
        </w:rPr>
        <w:t xml:space="preserve"> լամպի նմուշի գունավորության կոորդինատների (х</w:t>
      </w:r>
      <w:r w:rsidRPr="00D236C9">
        <w:rPr>
          <w:rFonts w:ascii="Sylfaen" w:hAnsi="Sylfaen"/>
          <w:sz w:val="24"/>
          <w:szCs w:val="24"/>
        </w:rPr>
        <w:t> </w:t>
      </w:r>
      <w:r w:rsidR="00CA27E3">
        <w:rPr>
          <w:rFonts w:ascii="Sylfaen" w:hAnsi="Sylfaen"/>
          <w:sz w:val="24"/>
          <w:szCs w:val="24"/>
        </w:rPr>
        <w:t>եւ</w:t>
      </w:r>
      <w:r w:rsidR="00CA27E3" w:rsidRPr="00CA27E3">
        <w:rPr>
          <w:rFonts w:ascii="Sylfaen" w:hAnsi="Sylfaen"/>
          <w:sz w:val="24"/>
          <w:szCs w:val="24"/>
        </w:rPr>
        <w:t xml:space="preserve"> у)</w:t>
      </w:r>
      <w:r w:rsidR="00CA27E3">
        <w:rPr>
          <w:rFonts w:ascii="Sylfaen" w:hAnsi="Sylfaen"/>
          <w:sz w:val="24"/>
          <w:szCs w:val="24"/>
        </w:rPr>
        <w:t xml:space="preserve"> </w:t>
      </w:r>
      <w:r w:rsidR="00CA27E3" w:rsidRPr="00CA27E3">
        <w:rPr>
          <w:rFonts w:ascii="Sylfaen" w:hAnsi="Sylfaen"/>
          <w:sz w:val="24"/>
          <w:szCs w:val="24"/>
        </w:rPr>
        <w:t xml:space="preserve">առավելագույն շեղումը գունավորության կենտրոնից (cx </w:t>
      </w:r>
      <w:r w:rsidR="00CA27E3">
        <w:rPr>
          <w:rFonts w:ascii="Sylfaen" w:hAnsi="Sylfaen"/>
          <w:sz w:val="24"/>
          <w:szCs w:val="24"/>
        </w:rPr>
        <w:t>եւ</w:t>
      </w:r>
      <w:r w:rsidR="00CA27E3" w:rsidRPr="00CA27E3">
        <w:rPr>
          <w:rFonts w:ascii="Sylfaen" w:hAnsi="Sylfaen"/>
          <w:sz w:val="24"/>
          <w:szCs w:val="24"/>
        </w:rPr>
        <w:t xml:space="preserve"> cy)՝ արտահայտված</w:t>
      </w:r>
      <w:r w:rsidR="00CA27E3">
        <w:rPr>
          <w:rFonts w:ascii="Sylfaen" w:hAnsi="Sylfaen"/>
          <w:sz w:val="24"/>
          <w:szCs w:val="24"/>
        </w:rPr>
        <w:t xml:space="preserve"> </w:t>
      </w:r>
      <w:r w:rsidR="00CA27E3" w:rsidRPr="00CA27E3">
        <w:rPr>
          <w:rFonts w:ascii="Sylfaen" w:hAnsi="Sylfaen"/>
          <w:sz w:val="24"/>
          <w:szCs w:val="24"/>
        </w:rPr>
        <w:t>գունավորության</w:t>
      </w:r>
      <w:r w:rsidR="00CA27E3">
        <w:rPr>
          <w:rFonts w:ascii="Sylfaen" w:hAnsi="Sylfaen"/>
          <w:sz w:val="24"/>
          <w:szCs w:val="24"/>
        </w:rPr>
        <w:t xml:space="preserve"> </w:t>
      </w:r>
      <w:r w:rsidR="00CA27E3" w:rsidRPr="00CA27E3">
        <w:rPr>
          <w:rFonts w:ascii="Sylfaen" w:hAnsi="Sylfaen"/>
          <w:sz w:val="24"/>
          <w:szCs w:val="24"/>
        </w:rPr>
        <w:t xml:space="preserve">կենտրոնի (cx </w:t>
      </w:r>
      <w:r w:rsidR="00CA27E3">
        <w:rPr>
          <w:rFonts w:ascii="Sylfaen" w:hAnsi="Sylfaen"/>
          <w:sz w:val="24"/>
          <w:szCs w:val="24"/>
        </w:rPr>
        <w:t>եւ</w:t>
      </w:r>
      <w:r w:rsidR="00CA27E3" w:rsidRPr="00CA27E3">
        <w:rPr>
          <w:rFonts w:ascii="Sylfaen" w:hAnsi="Sylfaen"/>
          <w:sz w:val="24"/>
          <w:szCs w:val="24"/>
        </w:rPr>
        <w:t xml:space="preserve"> cy) շուրջ կառուցված՝ ՄակԱդամի էլիպսի չափի (դիսկրետային) միավորներով.</w:t>
      </w:r>
    </w:p>
    <w:p w14:paraId="4630253A"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lastRenderedPageBreak/>
        <w:t>լուսավորում</w:t>
      </w:r>
      <w:r w:rsidR="00CA27E3" w:rsidRPr="00D236C9">
        <w:rPr>
          <w:rFonts w:ascii="Sylfaen" w:hAnsi="Sylfaen"/>
          <w:b/>
          <w:sz w:val="24"/>
          <w:szCs w:val="24"/>
        </w:rPr>
        <w:t>՝</w:t>
      </w:r>
      <w:r w:rsidR="00CA27E3" w:rsidRPr="00CA27E3">
        <w:rPr>
          <w:rFonts w:ascii="Sylfaen" w:hAnsi="Sylfaen"/>
          <w:sz w:val="24"/>
          <w:szCs w:val="24"/>
        </w:rPr>
        <w:t xml:space="preserve"> բեմի, օբյեկտների վրա կամ դրանց մոտակայքում լույսի կիրառում այնպես, որ դրանք տեսանելի լինեն մարդկանց.</w:t>
      </w:r>
    </w:p>
    <w:p w14:paraId="4010E9ED"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կոթառ</w:t>
      </w:r>
      <w:r w:rsidR="00CA27E3" w:rsidRPr="00D236C9">
        <w:rPr>
          <w:rFonts w:ascii="Sylfaen" w:hAnsi="Sylfaen"/>
          <w:b/>
          <w:sz w:val="24"/>
          <w:szCs w:val="24"/>
        </w:rPr>
        <w:t>՝</w:t>
      </w:r>
      <w:r w:rsidR="00CA27E3" w:rsidRPr="00CA27E3">
        <w:rPr>
          <w:rFonts w:ascii="Sylfaen" w:hAnsi="Sylfaen"/>
          <w:sz w:val="24"/>
          <w:szCs w:val="24"/>
        </w:rPr>
        <w:t xml:space="preserve"> սարքվածք, որում, ելնելով նշանակությունից, տեղադրվում է լամպը կամ դրանց՝ էլեկտրական ցանցին ամրակելու </w:t>
      </w:r>
      <w:r w:rsidR="00CA27E3">
        <w:rPr>
          <w:rFonts w:ascii="Sylfaen" w:hAnsi="Sylfaen"/>
          <w:sz w:val="24"/>
          <w:szCs w:val="24"/>
        </w:rPr>
        <w:t>եւ</w:t>
      </w:r>
      <w:r w:rsidR="00CA27E3" w:rsidRPr="00CA27E3">
        <w:rPr>
          <w:rFonts w:ascii="Sylfaen" w:hAnsi="Sylfaen"/>
          <w:sz w:val="24"/>
          <w:szCs w:val="24"/>
        </w:rPr>
        <w:t xml:space="preserve"> միացնելու համար մեկնարկիչը.</w:t>
      </w:r>
    </w:p>
    <w:p w14:paraId="63EB0A5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թեթեւ</w:t>
      </w:r>
      <w:r w:rsidR="00D236C9" w:rsidRPr="00D236C9">
        <w:rPr>
          <w:rFonts w:ascii="Sylfaen" w:hAnsi="Sylfaen"/>
          <w:b/>
          <w:sz w:val="24"/>
          <w:szCs w:val="24"/>
        </w:rPr>
        <w:t>ակի լուսավորում</w:t>
      </w:r>
      <w:r w:rsidRPr="00D236C9">
        <w:rPr>
          <w:rFonts w:ascii="Sylfaen" w:hAnsi="Sylfaen"/>
          <w:b/>
          <w:sz w:val="24"/>
          <w:szCs w:val="24"/>
        </w:rPr>
        <w:t>՝</w:t>
      </w:r>
      <w:r w:rsidRPr="00CA27E3">
        <w:rPr>
          <w:rFonts w:ascii="Sylfaen" w:hAnsi="Sylfaen"/>
          <w:sz w:val="24"/>
          <w:szCs w:val="24"/>
        </w:rPr>
        <w:t xml:space="preserve"> լուսավորման տեսակ, երբ լույսն ուղղորդվում է այնպես, որ առանձնացնի որ</w:t>
      </w:r>
      <w:r>
        <w:rPr>
          <w:rFonts w:ascii="Sylfaen" w:hAnsi="Sylfaen"/>
          <w:sz w:val="24"/>
          <w:szCs w:val="24"/>
        </w:rPr>
        <w:t>եւ</w:t>
      </w:r>
      <w:r w:rsidRPr="00CA27E3">
        <w:rPr>
          <w:rFonts w:ascii="Sylfaen" w:hAnsi="Sylfaen"/>
          <w:sz w:val="24"/>
          <w:szCs w:val="24"/>
        </w:rPr>
        <w:t>է օբյեկտ կամ մակերեսի մաս.</w:t>
      </w:r>
    </w:p>
    <w:p w14:paraId="4AF9160E"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օգտակար լուսային հոսք</w:t>
      </w:r>
      <w:r w:rsidR="00CA27E3" w:rsidRPr="00D236C9">
        <w:rPr>
          <w:rFonts w:ascii="Sylfaen" w:hAnsi="Sylfaen"/>
          <w:b/>
          <w:sz w:val="24"/>
          <w:szCs w:val="24"/>
        </w:rPr>
        <w:t xml:space="preserve"> (Φ</w:t>
      </w:r>
      <w:r w:rsidR="00CA27E3" w:rsidRPr="00D236C9">
        <w:rPr>
          <w:rFonts w:ascii="Sylfaen" w:hAnsi="Sylfaen"/>
          <w:b/>
          <w:sz w:val="24"/>
          <w:szCs w:val="24"/>
          <w:vertAlign w:val="subscript"/>
        </w:rPr>
        <w:t>use</w:t>
      </w:r>
      <w:r w:rsidR="00CA27E3" w:rsidRPr="00D236C9">
        <w:rPr>
          <w:rFonts w:ascii="Sylfaen" w:hAnsi="Sylfaen"/>
          <w:b/>
          <w:sz w:val="24"/>
          <w:szCs w:val="24"/>
        </w:rPr>
        <w:t>)՝</w:t>
      </w:r>
      <w:r w:rsidR="00CA27E3" w:rsidRPr="00CA27E3">
        <w:rPr>
          <w:rFonts w:ascii="Sylfaen" w:hAnsi="Sylfaen"/>
          <w:sz w:val="24"/>
          <w:szCs w:val="24"/>
        </w:rPr>
        <w:t xml:space="preserve"> լամպի լուսային հոսքի մաս, որն ընկնում է սույն պահանջների 4-րդ կետում՝ լամպի էներգետիկ արդյունավետության հաշվարկի համար օգտագործվող կոնի մեջ.</w:t>
      </w:r>
    </w:p>
    <w:p w14:paraId="50CFFE7C"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ժամանակից շուտ խափանում</w:t>
      </w:r>
      <w:r w:rsidR="00CA27E3" w:rsidRPr="00D236C9">
        <w:rPr>
          <w:rFonts w:ascii="Sylfaen" w:hAnsi="Sylfaen"/>
          <w:b/>
          <w:sz w:val="24"/>
          <w:szCs w:val="24"/>
        </w:rPr>
        <w:t>՝</w:t>
      </w:r>
      <w:r w:rsidR="00CA27E3" w:rsidRPr="00CA27E3">
        <w:rPr>
          <w:rFonts w:ascii="Sylfaen" w:hAnsi="Sylfaen"/>
          <w:sz w:val="24"/>
          <w:szCs w:val="24"/>
        </w:rPr>
        <w:t xml:space="preserve"> լամպի՝ շարքից դուրս գալը՝ նախքան շահագործման փաստաթղթերով սահմանված՝ ծառայության ժամկետը լրանալը.</w:t>
      </w:r>
    </w:p>
    <w:p w14:paraId="5662CE5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գործ</w:t>
      </w:r>
      <w:r w:rsidR="00D236C9" w:rsidRPr="00D236C9">
        <w:rPr>
          <w:rFonts w:ascii="Sylfaen" w:hAnsi="Sylfaen"/>
          <w:b/>
          <w:sz w:val="24"/>
          <w:szCs w:val="24"/>
        </w:rPr>
        <w:t>արկումը կարգավորող ապարատ (ԳԿԱ)</w:t>
      </w:r>
      <w:r w:rsidRPr="00D236C9">
        <w:rPr>
          <w:rFonts w:ascii="Sylfaen" w:hAnsi="Sylfaen"/>
          <w:b/>
          <w:sz w:val="24"/>
          <w:szCs w:val="24"/>
        </w:rPr>
        <w:t>՝</w:t>
      </w:r>
      <w:r w:rsidRPr="00CA27E3">
        <w:rPr>
          <w:rFonts w:ascii="Sylfaen" w:hAnsi="Sylfaen"/>
          <w:sz w:val="24"/>
          <w:szCs w:val="24"/>
        </w:rPr>
        <w:t xml:space="preserve"> սարքվածք, որը միացվում է ցանցի </w:t>
      </w:r>
      <w:r>
        <w:rPr>
          <w:rFonts w:ascii="Sylfaen" w:hAnsi="Sylfaen"/>
          <w:sz w:val="24"/>
          <w:szCs w:val="24"/>
        </w:rPr>
        <w:t>եւ</w:t>
      </w:r>
      <w:r w:rsidRPr="00CA27E3">
        <w:rPr>
          <w:rFonts w:ascii="Sylfaen" w:hAnsi="Sylfaen"/>
          <w:sz w:val="24"/>
          <w:szCs w:val="24"/>
        </w:rPr>
        <w:t xml:space="preserve"> մեկ կամ մի քանի պարպումային լամպերի միջ</w:t>
      </w:r>
      <w:r>
        <w:rPr>
          <w:rFonts w:ascii="Sylfaen" w:hAnsi="Sylfaen"/>
          <w:sz w:val="24"/>
          <w:szCs w:val="24"/>
        </w:rPr>
        <w:t>եւ</w:t>
      </w:r>
      <w:r w:rsidRPr="00CA27E3">
        <w:rPr>
          <w:rFonts w:ascii="Sylfaen" w:hAnsi="Sylfaen"/>
          <w:sz w:val="24"/>
          <w:szCs w:val="24"/>
        </w:rPr>
        <w:t>, որը ինդուկտիվության, ունակության կամ դրանց համակցության միջոցով գլխավորապես ապահովում է լամպի հոսանքի՝ պահանջվող արժեքի մակարդակով սահմանափակումը։ ԳԿԱ-ն կարող է բաղկացած լինել մեկ կամ մի քանի բլոկներից։ ԳԿԱ-ն նա</w:t>
      </w:r>
      <w:r>
        <w:rPr>
          <w:rFonts w:ascii="Sylfaen" w:hAnsi="Sylfaen"/>
          <w:sz w:val="24"/>
          <w:szCs w:val="24"/>
        </w:rPr>
        <w:t>եւ</w:t>
      </w:r>
      <w:r w:rsidRPr="00CA27E3">
        <w:rPr>
          <w:rFonts w:ascii="Sylfaen" w:hAnsi="Sylfaen"/>
          <w:sz w:val="24"/>
          <w:szCs w:val="24"/>
        </w:rPr>
        <w:t xml:space="preserve"> կարող է պարունակել ցանցի լարումը կերպափոխելու համար միջոցներ </w:t>
      </w:r>
      <w:r>
        <w:rPr>
          <w:rFonts w:ascii="Sylfaen" w:hAnsi="Sylfaen"/>
          <w:sz w:val="24"/>
          <w:szCs w:val="24"/>
        </w:rPr>
        <w:t>եւ</w:t>
      </w:r>
      <w:r w:rsidRPr="00CA27E3">
        <w:rPr>
          <w:rFonts w:ascii="Sylfaen" w:hAnsi="Sylfaen"/>
          <w:sz w:val="24"/>
          <w:szCs w:val="24"/>
        </w:rPr>
        <w:t xml:space="preserve"> սարքվածքներ, որոնք օգնում են ապահովել լամպի վառքի համար լարումը, սառը վառքի կանխումը, ստրոբոսկոպային էֆեկտի նվազեցումը, հզորության գործակցի ճշգրտումը </w:t>
      </w:r>
      <w:r>
        <w:rPr>
          <w:rFonts w:ascii="Sylfaen" w:hAnsi="Sylfaen"/>
          <w:sz w:val="24"/>
          <w:szCs w:val="24"/>
        </w:rPr>
        <w:t>եւ</w:t>
      </w:r>
      <w:r w:rsidRPr="00CA27E3">
        <w:rPr>
          <w:rFonts w:ascii="Sylfaen" w:hAnsi="Sylfaen"/>
          <w:sz w:val="24"/>
          <w:szCs w:val="24"/>
        </w:rPr>
        <w:t xml:space="preserve"> (կամ) ցանցային ռադիոխանգարումների ճնշումը։ ԳԿԱ-ն կարող է ներկառուցված լինել լամպի մեջ կամ դրանից առանձնացված.</w:t>
      </w:r>
    </w:p>
    <w:p w14:paraId="27938E2B"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հալոգենային լամպի ԳԿԱ</w:t>
      </w:r>
      <w:r w:rsidR="00CA27E3" w:rsidRPr="00D236C9">
        <w:rPr>
          <w:rFonts w:ascii="Sylfaen" w:hAnsi="Sylfaen"/>
          <w:b/>
          <w:sz w:val="24"/>
          <w:szCs w:val="24"/>
        </w:rPr>
        <w:t>՝</w:t>
      </w:r>
      <w:r w:rsidR="00CA27E3" w:rsidRPr="00CA27E3">
        <w:rPr>
          <w:rFonts w:ascii="Sylfaen" w:hAnsi="Sylfaen"/>
          <w:sz w:val="24"/>
          <w:szCs w:val="24"/>
        </w:rPr>
        <w:t xml:space="preserve"> ԳԿԱ, որը ցանցի լարումը կերպափոխում է ցածր լարման՝ հալոգենային լամպերի սնուցման համար.</w:t>
      </w:r>
    </w:p>
    <w:p w14:paraId="62C1CCEE" w14:textId="77777777" w:rsidR="00D236C9" w:rsidRDefault="00D236C9" w:rsidP="00CA27E3">
      <w:pPr>
        <w:pStyle w:val="a0"/>
        <w:shd w:val="clear" w:color="auto" w:fill="auto"/>
        <w:spacing w:after="160"/>
        <w:ind w:firstLine="567"/>
        <w:jc w:val="both"/>
        <w:rPr>
          <w:rFonts w:ascii="Sylfaen" w:hAnsi="Sylfaen"/>
          <w:sz w:val="24"/>
          <w:szCs w:val="24"/>
        </w:rPr>
      </w:pPr>
      <w:r w:rsidRPr="00D236C9">
        <w:rPr>
          <w:rFonts w:ascii="Sylfaen" w:hAnsi="Sylfaen"/>
          <w:b/>
          <w:spacing w:val="-6"/>
          <w:sz w:val="24"/>
          <w:szCs w:val="24"/>
        </w:rPr>
        <w:t>պարպումային լամպ</w:t>
      </w:r>
      <w:r w:rsidR="00CA27E3" w:rsidRPr="00D236C9">
        <w:rPr>
          <w:rFonts w:ascii="Sylfaen" w:hAnsi="Sylfaen"/>
          <w:b/>
          <w:spacing w:val="-6"/>
          <w:sz w:val="24"/>
          <w:szCs w:val="24"/>
        </w:rPr>
        <w:t>՝</w:t>
      </w:r>
      <w:r w:rsidR="00CA27E3" w:rsidRPr="00D236C9">
        <w:rPr>
          <w:rFonts w:ascii="Sylfaen" w:hAnsi="Sylfaen"/>
          <w:spacing w:val="-6"/>
          <w:sz w:val="24"/>
          <w:szCs w:val="24"/>
        </w:rPr>
        <w:t xml:space="preserve"> լամպ, որում օպտիկական ճառագայթումն առաջանում է գազում</w:t>
      </w:r>
      <w:r w:rsidR="00CA27E3" w:rsidRPr="00CA27E3">
        <w:rPr>
          <w:rFonts w:ascii="Sylfaen" w:hAnsi="Sylfaen"/>
          <w:sz w:val="24"/>
          <w:szCs w:val="24"/>
        </w:rPr>
        <w:t>, մետաղների գոլորշիներում,</w:t>
      </w:r>
      <w:r w:rsidR="00CA27E3">
        <w:rPr>
          <w:rFonts w:ascii="Sylfaen" w:hAnsi="Sylfaen"/>
          <w:sz w:val="24"/>
          <w:szCs w:val="24"/>
        </w:rPr>
        <w:t xml:space="preserve"> </w:t>
      </w:r>
      <w:r w:rsidR="00CA27E3" w:rsidRPr="00CA27E3">
        <w:rPr>
          <w:rFonts w:ascii="Sylfaen" w:hAnsi="Sylfaen"/>
          <w:sz w:val="24"/>
          <w:szCs w:val="24"/>
        </w:rPr>
        <w:t xml:space="preserve">հալոգենիդներում </w:t>
      </w:r>
      <w:r w:rsidR="00CA27E3">
        <w:rPr>
          <w:rFonts w:ascii="Sylfaen" w:hAnsi="Sylfaen"/>
          <w:sz w:val="24"/>
          <w:szCs w:val="24"/>
        </w:rPr>
        <w:t>եւ</w:t>
      </w:r>
      <w:r w:rsidR="00CA27E3" w:rsidRPr="00CA27E3">
        <w:rPr>
          <w:rFonts w:ascii="Sylfaen" w:hAnsi="Sylfaen"/>
          <w:sz w:val="24"/>
          <w:szCs w:val="24"/>
        </w:rPr>
        <w:t xml:space="preserve"> դրանց խառնուրդներում էլեկտրական պարպման արդյունքում.</w:t>
      </w:r>
    </w:p>
    <w:p w14:paraId="3FDFA0FA" w14:textId="77777777" w:rsidR="00D236C9" w:rsidRDefault="00D236C9">
      <w:pPr>
        <w:rPr>
          <w:rFonts w:ascii="Sylfaen" w:eastAsia="Times New Roman" w:hAnsi="Sylfaen" w:cs="Times New Roman"/>
          <w:color w:val="auto"/>
        </w:rPr>
      </w:pPr>
      <w:r>
        <w:rPr>
          <w:rFonts w:ascii="Sylfaen" w:hAnsi="Sylfaen"/>
        </w:rPr>
        <w:br w:type="page"/>
      </w:r>
    </w:p>
    <w:p w14:paraId="012F5A7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lastRenderedPageBreak/>
        <w:t>բարձր ինտենսիվության պա</w:t>
      </w:r>
      <w:r w:rsidR="00D236C9" w:rsidRPr="00D236C9">
        <w:rPr>
          <w:rFonts w:ascii="Sylfaen" w:hAnsi="Sylfaen"/>
          <w:b/>
          <w:sz w:val="24"/>
          <w:szCs w:val="24"/>
        </w:rPr>
        <w:t>րպումային լամպ</w:t>
      </w:r>
      <w:r w:rsidRPr="00D236C9">
        <w:rPr>
          <w:rFonts w:ascii="Sylfaen" w:hAnsi="Sylfaen"/>
          <w:b/>
          <w:sz w:val="24"/>
          <w:szCs w:val="24"/>
        </w:rPr>
        <w:t>՝</w:t>
      </w:r>
      <w:r w:rsidRPr="00CA27E3">
        <w:rPr>
          <w:rFonts w:ascii="Sylfaen" w:hAnsi="Sylfaen"/>
          <w:sz w:val="24"/>
          <w:szCs w:val="24"/>
        </w:rPr>
        <w:t xml:space="preserve"> էլեկտրական պարպումային լամպ, որում լուսաճառագայթող աղեղը կարգավորվում է պատի ջերմաստիճանով, </w:t>
      </w:r>
      <w:r>
        <w:rPr>
          <w:rFonts w:ascii="Sylfaen" w:hAnsi="Sylfaen"/>
          <w:sz w:val="24"/>
          <w:szCs w:val="24"/>
        </w:rPr>
        <w:t>եւ</w:t>
      </w:r>
      <w:r w:rsidRPr="00CA27E3">
        <w:rPr>
          <w:rFonts w:ascii="Sylfaen" w:hAnsi="Sylfaen"/>
          <w:sz w:val="24"/>
          <w:szCs w:val="24"/>
        </w:rPr>
        <w:t xml:space="preserve"> այդ աղեղի համար գլանանոթի պատի բեռնվածքը կազմվում է 3 Վտ-ից ավելի՝ քառակուսի սանտիմետրի վրա.</w:t>
      </w:r>
    </w:p>
    <w:p w14:paraId="10AEFB5A"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հաշվարկային արժեք</w:t>
      </w:r>
      <w:r w:rsidR="00CA27E3" w:rsidRPr="00D236C9">
        <w:rPr>
          <w:rFonts w:ascii="Sylfaen" w:hAnsi="Sylfaen"/>
          <w:b/>
          <w:sz w:val="24"/>
          <w:szCs w:val="24"/>
        </w:rPr>
        <w:t>՝</w:t>
      </w:r>
      <w:r w:rsidR="00CA27E3" w:rsidRPr="00CA27E3">
        <w:rPr>
          <w:rFonts w:ascii="Sylfaen" w:hAnsi="Sylfaen"/>
          <w:sz w:val="24"/>
          <w:szCs w:val="24"/>
        </w:rPr>
        <w:t xml:space="preserve"> պարամետրի քանակական արժեքը որոշակի աշխատանքային պայմաններում։ Արժեքները </w:t>
      </w:r>
      <w:r w:rsidR="00CA27E3">
        <w:rPr>
          <w:rFonts w:ascii="Sylfaen" w:hAnsi="Sylfaen"/>
          <w:sz w:val="24"/>
          <w:szCs w:val="24"/>
        </w:rPr>
        <w:t>եւ</w:t>
      </w:r>
      <w:r w:rsidR="00CA27E3" w:rsidRPr="00CA27E3">
        <w:rPr>
          <w:rFonts w:ascii="Sylfaen" w:hAnsi="Sylfaen"/>
          <w:sz w:val="24"/>
          <w:szCs w:val="24"/>
        </w:rPr>
        <w:t xml:space="preserve"> պայմանները բերվում են համապատասխան ստանդարտներում կամ հաղորդվում են արտադրողի (մատակարարի) կողմից։ Եթե այլ բան նշված չէ, ապա բոլոր պահանջներն արտահայտված են որպես հաշվարկային արժեքներ։ Հաշվարկային արժեքը ստացվում է հաշվարկման, այսինքն՝ ոչ փորձարարական եղանակով.</w:t>
      </w:r>
    </w:p>
    <w:p w14:paraId="23ED56EF"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պարապ ընթացքի ռեժիմ</w:t>
      </w:r>
      <w:r w:rsidR="00CA27E3" w:rsidRPr="00D236C9">
        <w:rPr>
          <w:rFonts w:ascii="Sylfaen" w:hAnsi="Sylfaen"/>
          <w:b/>
          <w:sz w:val="24"/>
          <w:szCs w:val="24"/>
        </w:rPr>
        <w:t>՝</w:t>
      </w:r>
      <w:r w:rsidR="00CA27E3" w:rsidRPr="00CA27E3">
        <w:rPr>
          <w:rFonts w:ascii="Sylfaen" w:hAnsi="Sylfaen"/>
          <w:sz w:val="24"/>
          <w:szCs w:val="24"/>
        </w:rPr>
        <w:t xml:space="preserve"> ԳԿԱ-ի վիճակ, որի դեպքում այն միացված է սնուցման աղբյուրին, </w:t>
      </w:r>
      <w:r w:rsidR="00CA27E3">
        <w:rPr>
          <w:rFonts w:ascii="Sylfaen" w:hAnsi="Sylfaen"/>
          <w:sz w:val="24"/>
          <w:szCs w:val="24"/>
        </w:rPr>
        <w:t>եւ</w:t>
      </w:r>
      <w:r w:rsidR="00CA27E3" w:rsidRPr="00CA27E3">
        <w:rPr>
          <w:rFonts w:ascii="Sylfaen" w:hAnsi="Sylfaen"/>
          <w:sz w:val="24"/>
          <w:szCs w:val="24"/>
        </w:rPr>
        <w:t xml:space="preserve"> երբ դրա ելքն անջատված է նորմալ շահագործման դեպքում բոլոր սկզբնական բեռնվածքներից՝ այդ նպատակի համար նախատեսված փոխարկիչով (վթարային անջատիչը գործարկվելիս լամպի անսարքությունը կամ բացակայությունը կամ բեռնվածքի անջատումը չեն</w:t>
      </w:r>
      <w:r w:rsidRPr="00D236C9">
        <w:rPr>
          <w:rFonts w:ascii="Sylfaen" w:hAnsi="Sylfaen"/>
          <w:sz w:val="24"/>
          <w:szCs w:val="24"/>
        </w:rPr>
        <w:t> </w:t>
      </w:r>
      <w:r w:rsidR="00CA27E3" w:rsidRPr="00CA27E3">
        <w:rPr>
          <w:rFonts w:ascii="Sylfaen" w:hAnsi="Sylfaen"/>
          <w:sz w:val="24"/>
          <w:szCs w:val="24"/>
        </w:rPr>
        <w:t>համարվում նորմալ շահագործում).</w:t>
      </w:r>
    </w:p>
    <w:p w14:paraId="632CC662"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սպասման ռեժիմ</w:t>
      </w:r>
      <w:r w:rsidR="00CA27E3" w:rsidRPr="00D236C9">
        <w:rPr>
          <w:rFonts w:ascii="Sylfaen" w:hAnsi="Sylfaen"/>
          <w:b/>
          <w:sz w:val="24"/>
          <w:szCs w:val="24"/>
        </w:rPr>
        <w:t>՝</w:t>
      </w:r>
      <w:r w:rsidR="00CA27E3" w:rsidRPr="00CA27E3">
        <w:rPr>
          <w:rFonts w:ascii="Sylfaen" w:hAnsi="Sylfaen"/>
          <w:sz w:val="24"/>
          <w:szCs w:val="24"/>
        </w:rPr>
        <w:t xml:space="preserve"> ԳԿԱ-ի ռեժիմ, որի դեպքում լամպը շահագործման նորմալ պայմաններում անջատված է կառավարող ազդանշանի օգնությամբ։ </w:t>
      </w:r>
      <w:r w:rsidR="00CA27E3" w:rsidRPr="005C50BB">
        <w:rPr>
          <w:rFonts w:ascii="Sylfaen" w:hAnsi="Sylfaen"/>
          <w:spacing w:val="-4"/>
          <w:sz w:val="24"/>
          <w:szCs w:val="24"/>
        </w:rPr>
        <w:t>Հասկացությունը վերաբերում է փոխարկման ներկառուցված ֆունկցիայով ԳԿԱ-ին, որը շահագործման</w:t>
      </w:r>
      <w:r w:rsidR="00CA27E3" w:rsidRPr="00CA27E3">
        <w:rPr>
          <w:rFonts w:ascii="Sylfaen" w:hAnsi="Sylfaen"/>
          <w:sz w:val="24"/>
          <w:szCs w:val="24"/>
        </w:rPr>
        <w:t xml:space="preserve"> նորմալ պայմաններում մշտապես միացված է սնուցման աղբյուրին.</w:t>
      </w:r>
    </w:p>
    <w:p w14:paraId="47C37E99"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սնդիկ պարունակող լամպ</w:t>
      </w:r>
      <w:r w:rsidR="00CA27E3" w:rsidRPr="00D236C9">
        <w:rPr>
          <w:rFonts w:ascii="Sylfaen" w:hAnsi="Sylfaen"/>
          <w:b/>
          <w:sz w:val="24"/>
          <w:szCs w:val="24"/>
        </w:rPr>
        <w:t>՝</w:t>
      </w:r>
      <w:r w:rsidR="00CA27E3" w:rsidRPr="00CA27E3">
        <w:rPr>
          <w:rFonts w:ascii="Sylfaen" w:hAnsi="Sylfaen"/>
          <w:sz w:val="24"/>
          <w:szCs w:val="24"/>
        </w:rPr>
        <w:t xml:space="preserve"> լամպ, որը պարունակում է սնդիկ.</w:t>
      </w:r>
    </w:p>
    <w:p w14:paraId="31DC7F69"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լուսատու</w:t>
      </w:r>
      <w:r w:rsidR="00CA27E3" w:rsidRPr="00D236C9">
        <w:rPr>
          <w:rFonts w:ascii="Sylfaen" w:hAnsi="Sylfaen"/>
          <w:b/>
          <w:sz w:val="24"/>
          <w:szCs w:val="24"/>
        </w:rPr>
        <w:t>՝</w:t>
      </w:r>
      <w:r w:rsidR="00CA27E3" w:rsidRPr="00CA27E3">
        <w:rPr>
          <w:rFonts w:ascii="Sylfaen" w:hAnsi="Sylfaen"/>
          <w:sz w:val="24"/>
          <w:szCs w:val="24"/>
        </w:rPr>
        <w:t xml:space="preserve"> սարքվածք, որը բաշխում, զտում կամ կերպափոխում է մեկ կամ մի քանի լամպերով ճառագայթվող լույսը </w:t>
      </w:r>
      <w:r w:rsidR="00CA27E3">
        <w:rPr>
          <w:rFonts w:ascii="Sylfaen" w:hAnsi="Sylfaen"/>
          <w:sz w:val="24"/>
          <w:szCs w:val="24"/>
        </w:rPr>
        <w:t>եւ</w:t>
      </w:r>
      <w:r w:rsidR="00CA27E3" w:rsidRPr="00CA27E3">
        <w:rPr>
          <w:rFonts w:ascii="Sylfaen" w:hAnsi="Sylfaen"/>
          <w:sz w:val="24"/>
          <w:szCs w:val="24"/>
        </w:rPr>
        <w:t xml:space="preserve"> որն իր մեջ ներառում է լամպի պահման, ֆիքսման </w:t>
      </w:r>
      <w:r w:rsidR="00CA27E3">
        <w:rPr>
          <w:rFonts w:ascii="Sylfaen" w:hAnsi="Sylfaen"/>
          <w:sz w:val="24"/>
          <w:szCs w:val="24"/>
        </w:rPr>
        <w:t>եւ</w:t>
      </w:r>
      <w:r w:rsidR="00CA27E3" w:rsidRPr="00CA27E3">
        <w:rPr>
          <w:rFonts w:ascii="Sylfaen" w:hAnsi="Sylfaen"/>
          <w:sz w:val="24"/>
          <w:szCs w:val="24"/>
        </w:rPr>
        <w:t xml:space="preserve"> պաշտպանության համար անհրաժեշտ բոլոր մասերը </w:t>
      </w:r>
      <w:r w:rsidR="00CA27E3">
        <w:rPr>
          <w:rFonts w:ascii="Sylfaen" w:hAnsi="Sylfaen"/>
          <w:sz w:val="24"/>
          <w:szCs w:val="24"/>
        </w:rPr>
        <w:t>եւ</w:t>
      </w:r>
      <w:r w:rsidR="00CA27E3" w:rsidRPr="00CA27E3">
        <w:rPr>
          <w:rFonts w:ascii="Sylfaen" w:hAnsi="Sylfaen"/>
          <w:sz w:val="24"/>
          <w:szCs w:val="24"/>
        </w:rPr>
        <w:t>, անհրաժեշտության դեպքում, օժանդակ սխեմաները՝ էլեկտրասնուցումը միացնելու համար միջոցների հետ միասին.</w:t>
      </w:r>
    </w:p>
    <w:p w14:paraId="7310B21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lastRenderedPageBreak/>
        <w:t>լուսային հ</w:t>
      </w:r>
      <w:r w:rsidR="00D236C9" w:rsidRPr="00D236C9">
        <w:rPr>
          <w:rFonts w:ascii="Sylfaen" w:hAnsi="Sylfaen"/>
          <w:b/>
          <w:sz w:val="24"/>
          <w:szCs w:val="24"/>
        </w:rPr>
        <w:t>ոսք (Ф)</w:t>
      </w:r>
      <w:r w:rsidRPr="00D236C9">
        <w:rPr>
          <w:rFonts w:ascii="Sylfaen" w:hAnsi="Sylfaen"/>
          <w:b/>
          <w:sz w:val="24"/>
          <w:szCs w:val="24"/>
        </w:rPr>
        <w:t>՝</w:t>
      </w:r>
      <w:r w:rsidRPr="00CA27E3">
        <w:rPr>
          <w:rFonts w:ascii="Sylfaen" w:hAnsi="Sylfaen"/>
          <w:sz w:val="24"/>
          <w:szCs w:val="24"/>
        </w:rPr>
        <w:t xml:space="preserve"> տեսանելի ճառագայթման էներգիա, որը փոխանցվում է ճառագայթման հոսքով միավոր ժամանակում.</w:t>
      </w:r>
    </w:p>
    <w:p w14:paraId="628CF91D"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լուսադիոդ (LED)</w:t>
      </w:r>
      <w:r w:rsidR="00CA27E3" w:rsidRPr="00D236C9">
        <w:rPr>
          <w:rFonts w:ascii="Sylfaen" w:hAnsi="Sylfaen"/>
          <w:b/>
          <w:sz w:val="24"/>
          <w:szCs w:val="24"/>
        </w:rPr>
        <w:t>՝</w:t>
      </w:r>
      <w:r w:rsidR="00CA27E3" w:rsidRPr="00CA27E3">
        <w:rPr>
          <w:rFonts w:ascii="Sylfaen" w:hAnsi="Sylfaen"/>
          <w:sz w:val="24"/>
          <w:szCs w:val="24"/>
        </w:rPr>
        <w:t xml:space="preserve"> կիսահաղորդչային սարք՝ p-n անցումով, որն արձակում է ոչ կոհերենտ տեսանելի ճառագայթում՝ դրա վրա էլեկտրական լարում մատուցելիս.</w:t>
      </w:r>
    </w:p>
    <w:p w14:paraId="553DC8F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լուսադիոդային հավա</w:t>
      </w:r>
      <w:r w:rsidR="00D236C9" w:rsidRPr="00D236C9">
        <w:rPr>
          <w:rFonts w:ascii="Sylfaen" w:hAnsi="Sylfaen"/>
          <w:b/>
          <w:sz w:val="24"/>
          <w:szCs w:val="24"/>
        </w:rPr>
        <w:t>քվածք</w:t>
      </w:r>
      <w:r w:rsidRPr="00D236C9">
        <w:rPr>
          <w:rFonts w:ascii="Sylfaen" w:hAnsi="Sylfaen"/>
          <w:b/>
          <w:sz w:val="24"/>
          <w:szCs w:val="24"/>
        </w:rPr>
        <w:t>՝</w:t>
      </w:r>
      <w:r w:rsidRPr="00CA27E3">
        <w:rPr>
          <w:rFonts w:ascii="Sylfaen" w:hAnsi="Sylfaen"/>
          <w:sz w:val="24"/>
          <w:szCs w:val="24"/>
        </w:rPr>
        <w:t xml:space="preserve"> մեկ կամ մի քանի լուսադիոդների</w:t>
      </w:r>
      <w:r>
        <w:rPr>
          <w:rFonts w:ascii="Sylfaen" w:hAnsi="Sylfaen"/>
          <w:sz w:val="24"/>
          <w:szCs w:val="24"/>
        </w:rPr>
        <w:t xml:space="preserve"> </w:t>
      </w:r>
      <w:r w:rsidRPr="00CA27E3">
        <w:rPr>
          <w:rFonts w:ascii="Sylfaen" w:hAnsi="Sylfaen"/>
          <w:sz w:val="24"/>
          <w:szCs w:val="24"/>
        </w:rPr>
        <w:t xml:space="preserve">լրակազմ։ Հավաքվածքն իր մեջ կարող է ներառել օպտիկական տարր </w:t>
      </w:r>
      <w:r>
        <w:rPr>
          <w:rFonts w:ascii="Sylfaen" w:hAnsi="Sylfaen"/>
          <w:sz w:val="24"/>
          <w:szCs w:val="24"/>
        </w:rPr>
        <w:t>եւ</w:t>
      </w:r>
      <w:r w:rsidRPr="00CA27E3">
        <w:rPr>
          <w:rFonts w:ascii="Sylfaen" w:hAnsi="Sylfaen"/>
          <w:sz w:val="24"/>
          <w:szCs w:val="24"/>
        </w:rPr>
        <w:t xml:space="preserve"> ջերմային, մեխանիկական </w:t>
      </w:r>
      <w:r>
        <w:rPr>
          <w:rFonts w:ascii="Sylfaen" w:hAnsi="Sylfaen"/>
          <w:sz w:val="24"/>
          <w:szCs w:val="24"/>
        </w:rPr>
        <w:t>եւ</w:t>
      </w:r>
      <w:r w:rsidRPr="00CA27E3">
        <w:rPr>
          <w:rFonts w:ascii="Sylfaen" w:hAnsi="Sylfaen"/>
          <w:sz w:val="24"/>
          <w:szCs w:val="24"/>
        </w:rPr>
        <w:t xml:space="preserve"> էլեկտրական բաղադրիչներ.</w:t>
      </w:r>
    </w:p>
    <w:p w14:paraId="3E52A59C" w14:textId="77777777" w:rsidR="00CA27E3" w:rsidRPr="00CA27E3" w:rsidRDefault="00D236C9" w:rsidP="00CA27E3">
      <w:pPr>
        <w:pStyle w:val="a0"/>
        <w:shd w:val="clear" w:color="auto" w:fill="auto"/>
        <w:spacing w:after="160"/>
        <w:ind w:firstLine="567"/>
        <w:jc w:val="both"/>
        <w:rPr>
          <w:rFonts w:ascii="Sylfaen" w:hAnsi="Sylfaen" w:cs="Sylfaen"/>
          <w:sz w:val="24"/>
          <w:szCs w:val="24"/>
        </w:rPr>
      </w:pPr>
      <w:r w:rsidRPr="00D236C9">
        <w:rPr>
          <w:rFonts w:ascii="Sylfaen" w:hAnsi="Sylfaen"/>
          <w:b/>
          <w:sz w:val="24"/>
          <w:szCs w:val="24"/>
        </w:rPr>
        <w:t>լուսադիոդային լամպ</w:t>
      </w:r>
      <w:r w:rsidR="00CA27E3" w:rsidRPr="00D236C9">
        <w:rPr>
          <w:rFonts w:ascii="Sylfaen" w:hAnsi="Sylfaen"/>
          <w:b/>
          <w:sz w:val="24"/>
          <w:szCs w:val="24"/>
        </w:rPr>
        <w:t>՝</w:t>
      </w:r>
      <w:r w:rsidR="00CA27E3" w:rsidRPr="00CA27E3">
        <w:rPr>
          <w:rFonts w:ascii="Sylfaen" w:hAnsi="Sylfaen"/>
          <w:sz w:val="24"/>
          <w:szCs w:val="24"/>
        </w:rPr>
        <w:t xml:space="preserve"> լամպ, որը պարունակում է մեկ կամ մի քանի լուսադիոդային հավաքվածքներ։ Լամպը կարող է ապահովված լինել լամպակոթով.</w:t>
      </w:r>
    </w:p>
    <w:p w14:paraId="03A82645"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լուսադիոդային մոդուլ</w:t>
      </w:r>
      <w:r w:rsidR="00CA27E3" w:rsidRPr="009727B7">
        <w:rPr>
          <w:rFonts w:ascii="Sylfaen" w:hAnsi="Sylfaen"/>
          <w:b/>
          <w:sz w:val="24"/>
          <w:szCs w:val="24"/>
        </w:rPr>
        <w:t xml:space="preserve"> լրակազմ,</w:t>
      </w:r>
      <w:r w:rsidR="00CA27E3" w:rsidRPr="00CA27E3">
        <w:rPr>
          <w:rFonts w:ascii="Sylfaen" w:hAnsi="Sylfaen"/>
          <w:sz w:val="24"/>
          <w:szCs w:val="24"/>
        </w:rPr>
        <w:t xml:space="preserve"> որը չունի կափարիչ </w:t>
      </w:r>
      <w:r w:rsidR="00CA27E3">
        <w:rPr>
          <w:rFonts w:ascii="Sylfaen" w:hAnsi="Sylfaen"/>
          <w:sz w:val="24"/>
          <w:szCs w:val="24"/>
        </w:rPr>
        <w:t>եւ</w:t>
      </w:r>
      <w:r w:rsidR="00CA27E3" w:rsidRPr="00CA27E3">
        <w:rPr>
          <w:rFonts w:ascii="Sylfaen" w:hAnsi="Sylfaen"/>
          <w:sz w:val="24"/>
          <w:szCs w:val="24"/>
        </w:rPr>
        <w:t xml:space="preserve"> պարունակում է մեկ կամ մի քանի լուսադիոդային հավաքվածքներ տպատախտակի վրա։ Լրակազմն իր մեջ կարող է ներառել էլեկտրական, օպտիկական, մեխանիկական </w:t>
      </w:r>
      <w:r w:rsidR="00CA27E3">
        <w:rPr>
          <w:rFonts w:ascii="Sylfaen" w:hAnsi="Sylfaen"/>
          <w:sz w:val="24"/>
          <w:szCs w:val="24"/>
        </w:rPr>
        <w:t>եւ</w:t>
      </w:r>
      <w:r w:rsidR="00CA27E3" w:rsidRPr="00CA27E3">
        <w:rPr>
          <w:rFonts w:ascii="Sylfaen" w:hAnsi="Sylfaen"/>
          <w:sz w:val="24"/>
          <w:szCs w:val="24"/>
        </w:rPr>
        <w:t xml:space="preserve"> ջերմային բաղադրիչներ, միջերեսներ </w:t>
      </w:r>
      <w:r w:rsidR="00CA27E3">
        <w:rPr>
          <w:rFonts w:ascii="Sylfaen" w:hAnsi="Sylfaen"/>
          <w:sz w:val="24"/>
          <w:szCs w:val="24"/>
        </w:rPr>
        <w:t>եւ</w:t>
      </w:r>
      <w:r w:rsidR="00CA27E3" w:rsidRPr="00CA27E3">
        <w:rPr>
          <w:rFonts w:ascii="Sylfaen" w:hAnsi="Sylfaen"/>
          <w:sz w:val="24"/>
          <w:szCs w:val="24"/>
        </w:rPr>
        <w:t xml:space="preserve"> կառավարման սարքվածք.</w:t>
      </w:r>
    </w:p>
    <w:p w14:paraId="64D0DB50"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լույսի ուժ</w:t>
      </w:r>
      <w:r w:rsidR="00CA27E3" w:rsidRPr="009727B7">
        <w:rPr>
          <w:rFonts w:ascii="Sylfaen" w:hAnsi="Sylfaen"/>
          <w:b/>
          <w:sz w:val="24"/>
          <w:szCs w:val="24"/>
        </w:rPr>
        <w:t xml:space="preserve"> (կանդելա կամ կդ</w:t>
      </w:r>
      <w:r w:rsidR="00CA27E3" w:rsidRPr="00CA27E3">
        <w:rPr>
          <w:rFonts w:ascii="Sylfaen" w:hAnsi="Sylfaen"/>
          <w:sz w:val="24"/>
          <w:szCs w:val="24"/>
        </w:rPr>
        <w:t>)՝ նախապես որոշված ուղղությամբ որոշակի մարմնային անկյունում աղբյուրից արձակվող լուսային հոսքի հարաբերությունը այդ մարմնային անկյան մեծության նկատմամբ.</w:t>
      </w:r>
    </w:p>
    <w:p w14:paraId="3B7A7962"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համատեղելիություն</w:t>
      </w:r>
      <w:r w:rsidR="00CA27E3" w:rsidRPr="009727B7">
        <w:rPr>
          <w:rFonts w:ascii="Sylfaen" w:hAnsi="Sylfaen"/>
          <w:b/>
          <w:sz w:val="24"/>
          <w:szCs w:val="24"/>
        </w:rPr>
        <w:t>՝</w:t>
      </w:r>
      <w:r w:rsidR="00CA27E3" w:rsidRPr="00CA27E3">
        <w:rPr>
          <w:rFonts w:ascii="Sylfaen" w:hAnsi="Sylfaen"/>
          <w:sz w:val="24"/>
          <w:szCs w:val="24"/>
        </w:rPr>
        <w:t xml:space="preserve"> նշանակում է, որ եթե սարքվածքը նախատեսված է մեկ սարքավորման մեջ ներկառուցման համար, տեղակայվում է այլ սարքվածքի մեջ կամ միանում է դրան ֆիզիկական միակցիչի կամ անլար միացման եղանակով, ապա՝ </w:t>
      </w:r>
    </w:p>
    <w:p w14:paraId="648F7EF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հնարավոր է կատարել տեղակայումը, ներկառուցումը կամ միացումը.</w:t>
      </w:r>
    </w:p>
    <w:p w14:paraId="7006A5D1" w14:textId="77777777" w:rsidR="009727B7"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դրանց համատեղ օգտագործումն սկսելուց անմիջապես հետո օգտագործողները չեն հայտնաբերի թերություն սարքվածքներից ոչ մեկում.</w:t>
      </w:r>
    </w:p>
    <w:p w14:paraId="4A1425D5" w14:textId="77777777" w:rsidR="009727B7" w:rsidRDefault="009727B7">
      <w:pPr>
        <w:rPr>
          <w:rFonts w:ascii="Sylfaen" w:eastAsia="Times New Roman" w:hAnsi="Sylfaen" w:cs="Times New Roman"/>
          <w:color w:val="auto"/>
        </w:rPr>
      </w:pPr>
      <w:r>
        <w:rPr>
          <w:rFonts w:ascii="Sylfaen" w:hAnsi="Sylfaen"/>
        </w:rPr>
        <w:br w:type="page"/>
      </w:r>
    </w:p>
    <w:p w14:paraId="01FC2D3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սարքվածքների համատեղ օգտագործման անվտանգությունը ոչ պակաս, քան այն ժամանակ, երբ նույն սարքվածքները առանձին-առանձին օգտագործվում են այլ սարքվածքների հետ. </w:t>
      </w:r>
    </w:p>
    <w:p w14:paraId="425FE389"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լամպի ծառայության ժամկետ</w:t>
      </w:r>
      <w:r w:rsidR="00CA27E3" w:rsidRPr="009727B7">
        <w:rPr>
          <w:rFonts w:ascii="Sylfaen" w:hAnsi="Sylfaen"/>
          <w:b/>
          <w:sz w:val="24"/>
          <w:szCs w:val="24"/>
        </w:rPr>
        <w:t>՝</w:t>
      </w:r>
      <w:r w:rsidR="00CA27E3" w:rsidRPr="00CA27E3">
        <w:rPr>
          <w:rFonts w:ascii="Sylfaen" w:hAnsi="Sylfaen"/>
          <w:sz w:val="24"/>
          <w:szCs w:val="24"/>
        </w:rPr>
        <w:t xml:space="preserve"> աշխատանքի տ</w:t>
      </w:r>
      <w:r w:rsidR="00CA27E3">
        <w:rPr>
          <w:rFonts w:ascii="Sylfaen" w:hAnsi="Sylfaen"/>
          <w:sz w:val="24"/>
          <w:szCs w:val="24"/>
        </w:rPr>
        <w:t>եւ</w:t>
      </w:r>
      <w:r w:rsidR="00CA27E3" w:rsidRPr="00CA27E3">
        <w:rPr>
          <w:rFonts w:ascii="Sylfaen" w:hAnsi="Sylfaen"/>
          <w:sz w:val="24"/>
          <w:szCs w:val="24"/>
        </w:rPr>
        <w:t xml:space="preserve">ողություն, որից հետո լամպերի ընդհանուր քանակից մի մասը, որոնք շարունակում են գործարկվել, համապատասխանում են որոշակի պայմաններում </w:t>
      </w:r>
      <w:r w:rsidR="00CA27E3">
        <w:rPr>
          <w:rFonts w:ascii="Sylfaen" w:hAnsi="Sylfaen"/>
          <w:sz w:val="24"/>
          <w:szCs w:val="24"/>
        </w:rPr>
        <w:t>եւ</w:t>
      </w:r>
      <w:r w:rsidR="00CA27E3" w:rsidRPr="00CA27E3">
        <w:rPr>
          <w:rFonts w:ascii="Sylfaen" w:hAnsi="Sylfaen"/>
          <w:sz w:val="24"/>
          <w:szCs w:val="24"/>
        </w:rPr>
        <w:t xml:space="preserve"> կոմուտացիայի հաճախականության դեպքում լամպի ռեսուրսի չափորոշչին։ Լուսադիոդային լամպերի համար լամպի ծառայության ժամկետը նշանակում է դրանց օգտագործումն սկսելու </w:t>
      </w:r>
      <w:r w:rsidR="00CA27E3">
        <w:rPr>
          <w:rFonts w:ascii="Sylfaen" w:hAnsi="Sylfaen"/>
          <w:sz w:val="24"/>
          <w:szCs w:val="24"/>
        </w:rPr>
        <w:t>եւ</w:t>
      </w:r>
      <w:r w:rsidR="00CA27E3" w:rsidRPr="00CA27E3">
        <w:rPr>
          <w:rFonts w:ascii="Sylfaen" w:hAnsi="Sylfaen"/>
          <w:sz w:val="24"/>
          <w:szCs w:val="24"/>
        </w:rPr>
        <w:t xml:space="preserve"> այն պահի միջ</w:t>
      </w:r>
      <w:r w:rsidR="00CA27E3">
        <w:rPr>
          <w:rFonts w:ascii="Sylfaen" w:hAnsi="Sylfaen"/>
          <w:sz w:val="24"/>
          <w:szCs w:val="24"/>
        </w:rPr>
        <w:t>եւ</w:t>
      </w:r>
      <w:r w:rsidR="00CA27E3" w:rsidRPr="00CA27E3">
        <w:rPr>
          <w:rFonts w:ascii="Sylfaen" w:hAnsi="Sylfaen"/>
          <w:sz w:val="24"/>
          <w:szCs w:val="24"/>
        </w:rPr>
        <w:t xml:space="preserve"> ընկած ժամանակը, երբ լամպերի ընդհանուր քանակից շարունակում են աշխատել միայն 50 %-ը, կամ երբ լամպերի խմբաքանակում միջին լուսային հոսքն ընկնում է 70 %-ից ցածր՝ կախված այն բանից, թե ինչ կկատարվի ավելի շուտ. </w:t>
      </w:r>
    </w:p>
    <w:p w14:paraId="73A8D3F6"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ճառագայթի ցրման անկյուն</w:t>
      </w:r>
      <w:r w:rsidR="00CA27E3" w:rsidRPr="009727B7">
        <w:rPr>
          <w:rFonts w:ascii="Sylfaen" w:hAnsi="Sylfaen"/>
          <w:b/>
          <w:sz w:val="24"/>
          <w:szCs w:val="24"/>
        </w:rPr>
        <w:t>՝</w:t>
      </w:r>
      <w:r w:rsidR="00CA27E3" w:rsidRPr="00CA27E3">
        <w:rPr>
          <w:rFonts w:ascii="Sylfaen" w:hAnsi="Sylfaen"/>
          <w:sz w:val="24"/>
          <w:szCs w:val="24"/>
        </w:rPr>
        <w:t xml:space="preserve"> ճառագայթի օպտիկական առանցքով անցնող՝ հարթության մեջ երկու եր</w:t>
      </w:r>
      <w:r w:rsidR="00CA27E3">
        <w:rPr>
          <w:rFonts w:ascii="Sylfaen" w:hAnsi="Sylfaen"/>
          <w:sz w:val="24"/>
          <w:szCs w:val="24"/>
        </w:rPr>
        <w:t>եւ</w:t>
      </w:r>
      <w:r w:rsidR="00CA27E3" w:rsidRPr="00CA27E3">
        <w:rPr>
          <w:rFonts w:ascii="Sylfaen" w:hAnsi="Sylfaen"/>
          <w:sz w:val="24"/>
          <w:szCs w:val="24"/>
        </w:rPr>
        <w:t>ակայական ուղիղների միջ</w:t>
      </w:r>
      <w:r w:rsidR="00CA27E3">
        <w:rPr>
          <w:rFonts w:ascii="Sylfaen" w:hAnsi="Sylfaen"/>
          <w:sz w:val="24"/>
          <w:szCs w:val="24"/>
        </w:rPr>
        <w:t>եւ</w:t>
      </w:r>
      <w:r w:rsidR="00CA27E3" w:rsidRPr="00CA27E3">
        <w:rPr>
          <w:rFonts w:ascii="Sylfaen" w:hAnsi="Sylfaen"/>
          <w:sz w:val="24"/>
          <w:szCs w:val="24"/>
        </w:rPr>
        <w:t xml:space="preserve"> անկյունը. այդ գծերն անցնում են լամպի առջ</w:t>
      </w:r>
      <w:r w:rsidR="00CA27E3">
        <w:rPr>
          <w:rFonts w:ascii="Sylfaen" w:hAnsi="Sylfaen"/>
          <w:sz w:val="24"/>
          <w:szCs w:val="24"/>
        </w:rPr>
        <w:t>եւ</w:t>
      </w:r>
      <w:r w:rsidR="00CA27E3" w:rsidRPr="00CA27E3">
        <w:rPr>
          <w:rFonts w:ascii="Sylfaen" w:hAnsi="Sylfaen"/>
          <w:sz w:val="24"/>
          <w:szCs w:val="24"/>
        </w:rPr>
        <w:t xml:space="preserve">ի մասի կենտրոնի </w:t>
      </w:r>
      <w:r w:rsidR="00CA27E3">
        <w:rPr>
          <w:rFonts w:ascii="Sylfaen" w:hAnsi="Sylfaen"/>
          <w:sz w:val="24"/>
          <w:szCs w:val="24"/>
        </w:rPr>
        <w:t>եւ</w:t>
      </w:r>
      <w:r w:rsidR="00CA27E3" w:rsidRPr="00CA27E3">
        <w:rPr>
          <w:rFonts w:ascii="Sylfaen" w:hAnsi="Sylfaen"/>
          <w:sz w:val="24"/>
          <w:szCs w:val="24"/>
        </w:rPr>
        <w:t xml:space="preserve"> կետի միջով, որոնցում լույսի ինտենսիվությունը կազմում է ճառագայթի կենտրոնում լույսի ուժի 50 %-ը, որտեղ ճառագայթի կենտրոնում լույսի ուժը ճառագայթի օպտիկական առանցքի վրա չափված արժեքն է.</w:t>
      </w:r>
    </w:p>
    <w:p w14:paraId="2ED8895E"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կառավարող ազդանշան</w:t>
      </w:r>
      <w:r w:rsidR="00CA27E3" w:rsidRPr="009727B7">
        <w:rPr>
          <w:rFonts w:ascii="Sylfaen" w:hAnsi="Sylfaen"/>
          <w:b/>
          <w:sz w:val="24"/>
          <w:szCs w:val="24"/>
        </w:rPr>
        <w:t>՝</w:t>
      </w:r>
      <w:r w:rsidR="00CA27E3" w:rsidRPr="00CA27E3">
        <w:rPr>
          <w:rFonts w:ascii="Sylfaen" w:hAnsi="Sylfaen"/>
          <w:sz w:val="24"/>
          <w:szCs w:val="24"/>
        </w:rPr>
        <w:t xml:space="preserve"> անալոգային կամ թվային ազդանշան, որը փոխանցվում է ԳԿԱ-ի վրա անհաղորդալարային կամ հաղորդալարային կապի գծով կամ կառավարման առանձին մալուխներում լարման մոդուլավորման միջոցով կամ էլ ցանցի լարման վրա դրվող մոդուլավորված ազդանշանի օգնությամբ.</w:t>
      </w:r>
    </w:p>
    <w:p w14:paraId="441A9E82"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կառավարման սարքվածք</w:t>
      </w:r>
      <w:r w:rsidR="00CA27E3" w:rsidRPr="009727B7">
        <w:rPr>
          <w:rFonts w:ascii="Sylfaen" w:hAnsi="Sylfaen"/>
          <w:b/>
          <w:sz w:val="24"/>
          <w:szCs w:val="24"/>
        </w:rPr>
        <w:t>՝</w:t>
      </w:r>
      <w:r w:rsidR="00CA27E3" w:rsidRPr="00CA27E3">
        <w:rPr>
          <w:rFonts w:ascii="Sylfaen" w:hAnsi="Sylfaen"/>
          <w:sz w:val="24"/>
          <w:szCs w:val="24"/>
        </w:rPr>
        <w:t xml:space="preserve"> էլեկտրական կամ մեխանիկական սարքվածք լամպի լուսային հոսքի հսկողության </w:t>
      </w:r>
      <w:r w:rsidR="00CA27E3">
        <w:rPr>
          <w:rFonts w:ascii="Sylfaen" w:hAnsi="Sylfaen"/>
          <w:sz w:val="24"/>
          <w:szCs w:val="24"/>
        </w:rPr>
        <w:t>եւ</w:t>
      </w:r>
      <w:r w:rsidR="00CA27E3" w:rsidRPr="00CA27E3">
        <w:rPr>
          <w:rFonts w:ascii="Sylfaen" w:hAnsi="Sylfaen"/>
          <w:sz w:val="24"/>
          <w:szCs w:val="24"/>
        </w:rPr>
        <w:t xml:space="preserve"> կարգավորման համար՝ էներգիայի կերպափոխումից տարբեր այլ միջոցների օգնությամբ, ինչպիսիք են ըստ ժամանակի փոխարկիչները, ներկայության տվիչները, լույսի տվիչները </w:t>
      </w:r>
      <w:r w:rsidR="00CA27E3">
        <w:rPr>
          <w:rFonts w:ascii="Sylfaen" w:hAnsi="Sylfaen"/>
          <w:sz w:val="24"/>
          <w:szCs w:val="24"/>
        </w:rPr>
        <w:t>եւ</w:t>
      </w:r>
      <w:r w:rsidR="00CA27E3" w:rsidRPr="00CA27E3">
        <w:rPr>
          <w:rFonts w:ascii="Sylfaen" w:hAnsi="Sylfaen"/>
          <w:sz w:val="24"/>
          <w:szCs w:val="24"/>
        </w:rPr>
        <w:t xml:space="preserve"> ցերեկային լույսի կարգավորման սարքվածքները։ Ընդ որում, փուլի ընդհատումով </w:t>
      </w:r>
      <w:r w:rsidR="00CA27E3" w:rsidRPr="00CA27E3">
        <w:rPr>
          <w:rFonts w:ascii="Sylfaen" w:hAnsi="Sylfaen"/>
          <w:sz w:val="24"/>
          <w:szCs w:val="24"/>
        </w:rPr>
        <w:lastRenderedPageBreak/>
        <w:t>դիմմերները (կարգավորիչները) պետք է նա</w:t>
      </w:r>
      <w:r w:rsidR="00CA27E3">
        <w:rPr>
          <w:rFonts w:ascii="Sylfaen" w:hAnsi="Sylfaen"/>
          <w:sz w:val="24"/>
          <w:szCs w:val="24"/>
        </w:rPr>
        <w:t>եւ</w:t>
      </w:r>
      <w:r w:rsidR="00CA27E3" w:rsidRPr="00CA27E3">
        <w:rPr>
          <w:rFonts w:ascii="Sylfaen" w:hAnsi="Sylfaen"/>
          <w:sz w:val="24"/>
          <w:szCs w:val="24"/>
        </w:rPr>
        <w:t xml:space="preserve"> դիտարկվեն որպես կառավարման սարքվածքներ.</w:t>
      </w:r>
    </w:p>
    <w:p w14:paraId="4C3FC661"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գունավորություն</w:t>
      </w:r>
      <w:r w:rsidR="00CA27E3" w:rsidRPr="009727B7">
        <w:rPr>
          <w:rFonts w:ascii="Sylfaen" w:hAnsi="Sylfaen"/>
          <w:b/>
          <w:sz w:val="24"/>
          <w:szCs w:val="24"/>
        </w:rPr>
        <w:t>՝</w:t>
      </w:r>
      <w:r w:rsidR="00CA27E3" w:rsidRPr="00CA27E3">
        <w:rPr>
          <w:rFonts w:ascii="Sylfaen" w:hAnsi="Sylfaen"/>
          <w:sz w:val="24"/>
          <w:szCs w:val="24"/>
        </w:rPr>
        <w:t xml:space="preserve"> լամպի գույնի որակի բնութագիր, որը որոշվում է դրա գունավորության կոորդինատներով.</w:t>
      </w:r>
    </w:p>
    <w:p w14:paraId="45AA5952"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փոխարկման ցիկլ</w:t>
      </w:r>
      <w:r w:rsidR="00CA27E3" w:rsidRPr="009727B7">
        <w:rPr>
          <w:rFonts w:ascii="Sylfaen" w:hAnsi="Sylfaen"/>
          <w:b/>
          <w:sz w:val="24"/>
          <w:szCs w:val="24"/>
        </w:rPr>
        <w:t>՝</w:t>
      </w:r>
      <w:r w:rsidR="00CA27E3" w:rsidRPr="00CA27E3">
        <w:rPr>
          <w:rFonts w:ascii="Sylfaen" w:hAnsi="Sylfaen"/>
          <w:sz w:val="24"/>
          <w:szCs w:val="24"/>
        </w:rPr>
        <w:t xml:space="preserve"> որոշակի ժամանակահատվածներ մեկ լամպի միացման </w:t>
      </w:r>
      <w:r w:rsidR="00CA27E3">
        <w:rPr>
          <w:rFonts w:ascii="Sylfaen" w:hAnsi="Sylfaen"/>
          <w:sz w:val="24"/>
          <w:szCs w:val="24"/>
        </w:rPr>
        <w:t>եւ</w:t>
      </w:r>
      <w:r w:rsidR="00CA27E3" w:rsidRPr="00CA27E3">
        <w:rPr>
          <w:rFonts w:ascii="Sylfaen" w:hAnsi="Sylfaen"/>
          <w:sz w:val="24"/>
          <w:szCs w:val="24"/>
        </w:rPr>
        <w:t xml:space="preserve"> անջատման հաջորդականությունը.</w:t>
      </w:r>
    </w:p>
    <w:p w14:paraId="33316FB6" w14:textId="77777777" w:rsidR="00CA27E3" w:rsidRPr="00CA27E3" w:rsidRDefault="009727B7"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լամպակոթ</w:t>
      </w:r>
      <w:r w:rsidR="00CA27E3" w:rsidRPr="009727B7">
        <w:rPr>
          <w:rFonts w:ascii="Sylfaen" w:hAnsi="Sylfaen"/>
          <w:b/>
          <w:sz w:val="24"/>
          <w:szCs w:val="24"/>
        </w:rPr>
        <w:t>՝</w:t>
      </w:r>
      <w:r w:rsidR="00CA27E3" w:rsidRPr="00CA27E3">
        <w:rPr>
          <w:rFonts w:ascii="Sylfaen" w:hAnsi="Sylfaen"/>
          <w:sz w:val="24"/>
          <w:szCs w:val="24"/>
        </w:rPr>
        <w:t xml:space="preserve"> էլեկտրական լամպի դետալ, որը ծառայում է կոթառին դրա ամրակման համար </w:t>
      </w:r>
      <w:r w:rsidR="00CA27E3">
        <w:rPr>
          <w:rFonts w:ascii="Sylfaen" w:hAnsi="Sylfaen"/>
          <w:sz w:val="24"/>
          <w:szCs w:val="24"/>
        </w:rPr>
        <w:t>եւ</w:t>
      </w:r>
      <w:r w:rsidR="00CA27E3" w:rsidRPr="00CA27E3">
        <w:rPr>
          <w:rFonts w:ascii="Sylfaen" w:hAnsi="Sylfaen"/>
          <w:sz w:val="24"/>
          <w:szCs w:val="24"/>
        </w:rPr>
        <w:t xml:space="preserve"> ապահովում է միացումը սնուցման ցանցին.</w:t>
      </w:r>
    </w:p>
    <w:p w14:paraId="0A97798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9727B7">
        <w:rPr>
          <w:rFonts w:ascii="Sylfaen" w:hAnsi="Sylfaen"/>
          <w:b/>
          <w:sz w:val="24"/>
          <w:szCs w:val="24"/>
        </w:rPr>
        <w:t>էլեկտրակ</w:t>
      </w:r>
      <w:r w:rsidR="009727B7" w:rsidRPr="009727B7">
        <w:rPr>
          <w:rFonts w:ascii="Sylfaen" w:hAnsi="Sylfaen"/>
          <w:b/>
          <w:sz w:val="24"/>
          <w:szCs w:val="24"/>
        </w:rPr>
        <w:t>ան լուսատեխնիկական արտադրատեսակ</w:t>
      </w:r>
      <w:r w:rsidRPr="009727B7">
        <w:rPr>
          <w:rFonts w:ascii="Sylfaen" w:hAnsi="Sylfaen"/>
          <w:b/>
          <w:sz w:val="24"/>
          <w:szCs w:val="24"/>
        </w:rPr>
        <w:t>՝</w:t>
      </w:r>
      <w:r w:rsidRPr="00CA27E3">
        <w:rPr>
          <w:rFonts w:ascii="Sylfaen" w:hAnsi="Sylfaen"/>
          <w:sz w:val="24"/>
          <w:szCs w:val="24"/>
        </w:rPr>
        <w:t xml:space="preserve"> արտադրատեսակ, որը նախագծված է որպես էլեկտրական սարքավորում օգտագործելու համար </w:t>
      </w:r>
      <w:r>
        <w:rPr>
          <w:rFonts w:ascii="Sylfaen" w:hAnsi="Sylfaen"/>
          <w:sz w:val="24"/>
          <w:szCs w:val="24"/>
        </w:rPr>
        <w:t>եւ</w:t>
      </w:r>
      <w:r w:rsidRPr="00CA27E3">
        <w:rPr>
          <w:rFonts w:ascii="Sylfaen" w:hAnsi="Sylfaen"/>
          <w:sz w:val="24"/>
          <w:szCs w:val="24"/>
        </w:rPr>
        <w:t xml:space="preserve"> նախատեսված է լուսավորման նպատակներով կիրառության համար։</w:t>
      </w:r>
    </w:p>
    <w:p w14:paraId="701EE74B"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6C9C169D"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III. Էներգետիկ արդյունավետությանը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կանոններին ներկայացվող պահանջները </w:t>
      </w:r>
    </w:p>
    <w:p w14:paraId="3B1C744E"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3.</w:t>
      </w:r>
      <w:r w:rsidR="005C50BB" w:rsidRPr="005C50BB">
        <w:rPr>
          <w:rFonts w:ascii="Sylfaen" w:hAnsi="Sylfaen"/>
          <w:sz w:val="24"/>
          <w:szCs w:val="24"/>
        </w:rPr>
        <w:tab/>
      </w:r>
      <w:r w:rsidRPr="00CA27E3">
        <w:rPr>
          <w:rFonts w:ascii="Sylfaen" w:hAnsi="Sylfaen"/>
          <w:sz w:val="24"/>
          <w:szCs w:val="24"/>
        </w:rPr>
        <w:t xml:space="preserve">Արտադրողի կողմից պետք է կատարվի ուղղորդված լույսի լամպերի, լուսադիոդային լամպերի </w:t>
      </w:r>
      <w:r>
        <w:rPr>
          <w:rFonts w:ascii="Sylfaen" w:hAnsi="Sylfaen"/>
          <w:sz w:val="24"/>
          <w:szCs w:val="24"/>
        </w:rPr>
        <w:t>եւ</w:t>
      </w:r>
      <w:r w:rsidRPr="00CA27E3">
        <w:rPr>
          <w:rFonts w:ascii="Sylfaen" w:hAnsi="Sylfaen"/>
          <w:sz w:val="24"/>
          <w:szCs w:val="24"/>
        </w:rPr>
        <w:t xml:space="preserve"> հարակից սարքավորումների էներգետիկ արդյունավետության հետ</w:t>
      </w:r>
      <w:r>
        <w:rPr>
          <w:rFonts w:ascii="Sylfaen" w:hAnsi="Sylfaen"/>
          <w:sz w:val="24"/>
          <w:szCs w:val="24"/>
        </w:rPr>
        <w:t>եւ</w:t>
      </w:r>
      <w:r w:rsidRPr="00CA27E3">
        <w:rPr>
          <w:rFonts w:ascii="Sylfaen" w:hAnsi="Sylfaen"/>
          <w:sz w:val="24"/>
          <w:szCs w:val="24"/>
        </w:rPr>
        <w:t xml:space="preserve">յալ ցուցիչների հաշվարկ՝ անհրաժեշտ փորձարկումներով (չափումներով)՝ </w:t>
      </w:r>
    </w:p>
    <w:p w14:paraId="4DA6A42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լամպերի էներգաարդյունավետության ցուցիչ,</w:t>
      </w:r>
    </w:p>
    <w:p w14:paraId="0CF3975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ԳԿԱ-ի էներգաարդյունավետություն,</w:t>
      </w:r>
    </w:p>
    <w:p w14:paraId="780219DB"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սույն բաժնում նշված լամպերի բնութագրեր։</w:t>
      </w:r>
    </w:p>
    <w:p w14:paraId="03A6CF50" w14:textId="77777777" w:rsidR="009727B7" w:rsidRDefault="00CA27E3" w:rsidP="00CA27E3">
      <w:pPr>
        <w:pStyle w:val="a0"/>
        <w:shd w:val="clear" w:color="auto" w:fill="auto"/>
        <w:spacing w:after="160"/>
        <w:ind w:firstLine="567"/>
        <w:jc w:val="both"/>
        <w:rPr>
          <w:rFonts w:ascii="Sylfaen" w:hAnsi="Sylfaen"/>
          <w:sz w:val="24"/>
          <w:szCs w:val="24"/>
        </w:rPr>
      </w:pPr>
      <w:r w:rsidRPr="00CA27E3">
        <w:rPr>
          <w:rFonts w:ascii="Sylfaen" w:hAnsi="Sylfaen"/>
          <w:sz w:val="24"/>
          <w:szCs w:val="24"/>
        </w:rPr>
        <w:t>Պահանջների ներմուծման փուլերի ժամկետները բերված են սույն փաստաթղթի 10-րդ կետում։</w:t>
      </w:r>
    </w:p>
    <w:p w14:paraId="316BE124" w14:textId="77777777" w:rsidR="009727B7" w:rsidRDefault="009727B7">
      <w:pPr>
        <w:rPr>
          <w:rFonts w:ascii="Sylfaen" w:eastAsia="Times New Roman" w:hAnsi="Sylfaen" w:cs="Times New Roman"/>
          <w:color w:val="auto"/>
        </w:rPr>
      </w:pPr>
      <w:r>
        <w:rPr>
          <w:rFonts w:ascii="Sylfaen" w:hAnsi="Sylfaen"/>
        </w:rPr>
        <w:br w:type="page"/>
      </w:r>
    </w:p>
    <w:p w14:paraId="12A8FAF2" w14:textId="77777777" w:rsidR="00CA27E3" w:rsidRPr="00CA27E3" w:rsidRDefault="00CA27E3" w:rsidP="009727B7">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1.Ուղղորդված լույսի լամպերի էներգաարդյունավետության </w:t>
      </w:r>
      <w:r w:rsidR="009727B7" w:rsidRPr="009727B7">
        <w:rPr>
          <w:rFonts w:ascii="Sylfaen" w:hAnsi="Sylfaen"/>
          <w:sz w:val="24"/>
          <w:szCs w:val="24"/>
        </w:rPr>
        <w:br/>
      </w:r>
      <w:r w:rsidRPr="00CA27E3">
        <w:rPr>
          <w:rFonts w:ascii="Sylfaen" w:hAnsi="Sylfaen"/>
          <w:sz w:val="24"/>
          <w:szCs w:val="24"/>
        </w:rPr>
        <w:t>ցուցիչի հաշվարկը</w:t>
      </w:r>
    </w:p>
    <w:p w14:paraId="77AFD9B9"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4.</w:t>
      </w:r>
      <w:r w:rsidR="005C50BB" w:rsidRPr="005C50BB">
        <w:rPr>
          <w:rFonts w:ascii="Sylfaen" w:hAnsi="Sylfaen"/>
          <w:sz w:val="24"/>
          <w:szCs w:val="24"/>
        </w:rPr>
        <w:tab/>
      </w:r>
      <w:r w:rsidRPr="00CA27E3">
        <w:rPr>
          <w:rFonts w:ascii="Sylfaen" w:hAnsi="Sylfaen"/>
          <w:sz w:val="24"/>
          <w:szCs w:val="24"/>
        </w:rPr>
        <w:t>Լամպի էներգաարդյունավետության ցուցիչը (EEI)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304076CF"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EEI = P</w:t>
      </w:r>
      <w:r w:rsidRPr="00CA27E3">
        <w:rPr>
          <w:rFonts w:ascii="Sylfaen" w:hAnsi="Sylfaen"/>
          <w:sz w:val="24"/>
          <w:szCs w:val="24"/>
          <w:vertAlign w:val="subscript"/>
        </w:rPr>
        <w:t>cor</w:t>
      </w:r>
      <w:r w:rsidRPr="00CA27E3">
        <w:rPr>
          <w:rFonts w:ascii="Sylfaen" w:hAnsi="Sylfaen"/>
          <w:sz w:val="24"/>
          <w:szCs w:val="24"/>
        </w:rPr>
        <w:t xml:space="preserve"> / P</w:t>
      </w:r>
      <w:r w:rsidRPr="00CA27E3">
        <w:rPr>
          <w:rFonts w:ascii="Sylfaen" w:hAnsi="Sylfaen"/>
          <w:sz w:val="24"/>
          <w:szCs w:val="24"/>
          <w:vertAlign w:val="subscript"/>
        </w:rPr>
        <w:t>ref</w:t>
      </w:r>
      <w:r w:rsidRPr="00CA27E3">
        <w:rPr>
          <w:rFonts w:ascii="Sylfaen" w:hAnsi="Sylfaen"/>
          <w:sz w:val="24"/>
          <w:szCs w:val="24"/>
        </w:rPr>
        <w:t>,</w:t>
      </w:r>
    </w:p>
    <w:p w14:paraId="341AAC8E" w14:textId="77777777" w:rsidR="009727B7" w:rsidRPr="003D2C38" w:rsidRDefault="009727B7" w:rsidP="00CA27E3">
      <w:pPr>
        <w:pStyle w:val="a0"/>
        <w:shd w:val="clear" w:color="auto" w:fill="auto"/>
        <w:spacing w:after="160"/>
        <w:ind w:firstLine="567"/>
        <w:jc w:val="both"/>
        <w:rPr>
          <w:rFonts w:ascii="Sylfaen" w:hAnsi="Sylfaen"/>
          <w:sz w:val="24"/>
          <w:szCs w:val="24"/>
        </w:rPr>
      </w:pPr>
    </w:p>
    <w:p w14:paraId="7E5A96C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որտեղ՝</w:t>
      </w:r>
    </w:p>
    <w:p w14:paraId="74565BC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cor</w:t>
      </w:r>
      <w:r w:rsidRPr="00CA27E3">
        <w:rPr>
          <w:rFonts w:ascii="Sylfaen" w:hAnsi="Sylfaen"/>
          <w:sz w:val="24"/>
          <w:szCs w:val="24"/>
        </w:rPr>
        <w:t>՝ հաշվարկային հզորություն՝ չափված մուտքային անվանական լարման</w:t>
      </w:r>
      <w:r>
        <w:rPr>
          <w:rFonts w:ascii="Sylfaen" w:hAnsi="Sylfaen"/>
          <w:sz w:val="24"/>
          <w:szCs w:val="24"/>
        </w:rPr>
        <w:t xml:space="preserve"> </w:t>
      </w:r>
      <w:r w:rsidRPr="00CA27E3">
        <w:rPr>
          <w:rFonts w:ascii="Sylfaen" w:hAnsi="Sylfaen"/>
          <w:sz w:val="24"/>
          <w:szCs w:val="24"/>
        </w:rPr>
        <w:t xml:space="preserve">դեպքում </w:t>
      </w:r>
      <w:r>
        <w:rPr>
          <w:rFonts w:ascii="Sylfaen" w:hAnsi="Sylfaen"/>
          <w:sz w:val="24"/>
          <w:szCs w:val="24"/>
        </w:rPr>
        <w:t>եւ</w:t>
      </w:r>
      <w:r w:rsidRPr="00CA27E3">
        <w:rPr>
          <w:rFonts w:ascii="Sylfaen" w:hAnsi="Sylfaen"/>
          <w:sz w:val="24"/>
          <w:szCs w:val="24"/>
        </w:rPr>
        <w:t xml:space="preserve"> ճշգրտված անհրաժեշտության դեպքում՝ 1-ին աղյուսակին համապատասխան։ Ճշգրտման գործակիցներն աղյուսակի մեջ հնարավորության սահմաններում միավորված են։</w:t>
      </w:r>
    </w:p>
    <w:p w14:paraId="300BD043" w14:textId="77777777" w:rsidR="009727B7" w:rsidRPr="003D2C38" w:rsidRDefault="009727B7" w:rsidP="00CA27E3">
      <w:pPr>
        <w:pStyle w:val="a0"/>
        <w:shd w:val="clear" w:color="auto" w:fill="auto"/>
        <w:spacing w:after="160"/>
        <w:ind w:firstLine="0"/>
        <w:jc w:val="right"/>
        <w:rPr>
          <w:rFonts w:ascii="Sylfaen" w:hAnsi="Sylfaen"/>
          <w:sz w:val="24"/>
          <w:szCs w:val="24"/>
        </w:rPr>
      </w:pPr>
    </w:p>
    <w:p w14:paraId="504174A1"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t xml:space="preserve">Աղյուսակ 1 </w:t>
      </w:r>
    </w:p>
    <w:p w14:paraId="7A24199B"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Ճշգրտման գործակիցներ</w:t>
      </w:r>
    </w:p>
    <w:tbl>
      <w:tblPr>
        <w:tblOverlap w:val="never"/>
        <w:tblW w:w="9585" w:type="dxa"/>
        <w:jc w:val="center"/>
        <w:tblLayout w:type="fixed"/>
        <w:tblCellMar>
          <w:left w:w="10" w:type="dxa"/>
          <w:right w:w="10" w:type="dxa"/>
        </w:tblCellMar>
        <w:tblLook w:val="0020" w:firstRow="1" w:lastRow="0" w:firstColumn="0" w:lastColumn="0" w:noHBand="0" w:noVBand="0"/>
      </w:tblPr>
      <w:tblGrid>
        <w:gridCol w:w="5219"/>
        <w:gridCol w:w="4366"/>
      </w:tblGrid>
      <w:tr w:rsidR="00CA27E3" w:rsidRPr="00D83000" w14:paraId="100A9657" w14:textId="77777777" w:rsidTr="009727B7">
        <w:trPr>
          <w:tblHeader/>
          <w:jc w:val="center"/>
        </w:trPr>
        <w:tc>
          <w:tcPr>
            <w:tcW w:w="5219" w:type="dxa"/>
            <w:tcBorders>
              <w:top w:val="single" w:sz="4" w:space="0" w:color="auto"/>
              <w:left w:val="single" w:sz="4" w:space="0" w:color="auto"/>
            </w:tcBorders>
            <w:shd w:val="clear" w:color="auto" w:fill="FFFFFF"/>
            <w:vAlign w:val="bottom"/>
          </w:tcPr>
          <w:p w14:paraId="55F7365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տիպը</w:t>
            </w:r>
          </w:p>
        </w:tc>
        <w:tc>
          <w:tcPr>
            <w:tcW w:w="4366" w:type="dxa"/>
            <w:tcBorders>
              <w:top w:val="single" w:sz="4" w:space="0" w:color="auto"/>
              <w:left w:val="single" w:sz="4" w:space="0" w:color="auto"/>
              <w:right w:val="single" w:sz="4" w:space="0" w:color="auto"/>
            </w:tcBorders>
            <w:shd w:val="clear" w:color="auto" w:fill="FFFFFF"/>
            <w:vAlign w:val="bottom"/>
          </w:tcPr>
          <w:p w14:paraId="07EC51C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Գործակից К</w:t>
            </w:r>
          </w:p>
        </w:tc>
      </w:tr>
      <w:tr w:rsidR="00CA27E3" w:rsidRPr="00D83000" w14:paraId="6027CC16" w14:textId="77777777" w:rsidTr="009727B7">
        <w:trPr>
          <w:jc w:val="center"/>
        </w:trPr>
        <w:tc>
          <w:tcPr>
            <w:tcW w:w="5219" w:type="dxa"/>
            <w:tcBorders>
              <w:top w:val="single" w:sz="4" w:space="0" w:color="auto"/>
              <w:left w:val="single" w:sz="4" w:space="0" w:color="auto"/>
            </w:tcBorders>
            <w:shd w:val="clear" w:color="auto" w:fill="FFFFFF"/>
            <w:vAlign w:val="bottom"/>
          </w:tcPr>
          <w:p w14:paraId="013646ED"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Հալոգենային լամպերի համար արտաքին ԳԿԱ-ով աշխատող լամպ</w:t>
            </w:r>
          </w:p>
        </w:tc>
        <w:tc>
          <w:tcPr>
            <w:tcW w:w="4366" w:type="dxa"/>
            <w:tcBorders>
              <w:top w:val="single" w:sz="4" w:space="0" w:color="auto"/>
              <w:left w:val="single" w:sz="4" w:space="0" w:color="auto"/>
              <w:right w:val="single" w:sz="4" w:space="0" w:color="auto"/>
            </w:tcBorders>
            <w:shd w:val="clear" w:color="auto" w:fill="FFFFFF"/>
            <w:vAlign w:val="center"/>
          </w:tcPr>
          <w:p w14:paraId="1A4B91DF"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rated</w:t>
            </w:r>
            <w:r w:rsidRPr="00D83000">
              <w:rPr>
                <w:rFonts w:ascii="Sylfaen" w:hAnsi="Sylfaen"/>
                <w:sz w:val="20"/>
                <w:szCs w:val="20"/>
              </w:rPr>
              <w:t xml:space="preserve"> х 1,06</w:t>
            </w:r>
          </w:p>
        </w:tc>
      </w:tr>
      <w:tr w:rsidR="00CA27E3" w:rsidRPr="00D83000" w14:paraId="1B8E6CF3" w14:textId="77777777" w:rsidTr="009727B7">
        <w:trPr>
          <w:jc w:val="center"/>
        </w:trPr>
        <w:tc>
          <w:tcPr>
            <w:tcW w:w="5219" w:type="dxa"/>
            <w:tcBorders>
              <w:top w:val="single" w:sz="4" w:space="0" w:color="auto"/>
              <w:left w:val="single" w:sz="4" w:space="0" w:color="auto"/>
            </w:tcBorders>
            <w:shd w:val="clear" w:color="auto" w:fill="FFFFFF"/>
            <w:vAlign w:val="bottom"/>
          </w:tcPr>
          <w:p w14:paraId="71CD568C"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Լուսադիոդային լամպերի համար արտաքին ԳԿԱ-ով աշխատող լամպ</w:t>
            </w:r>
          </w:p>
        </w:tc>
        <w:tc>
          <w:tcPr>
            <w:tcW w:w="4366" w:type="dxa"/>
            <w:tcBorders>
              <w:top w:val="single" w:sz="4" w:space="0" w:color="auto"/>
              <w:left w:val="single" w:sz="4" w:space="0" w:color="auto"/>
              <w:right w:val="single" w:sz="4" w:space="0" w:color="auto"/>
            </w:tcBorders>
            <w:shd w:val="clear" w:color="auto" w:fill="FFFFFF"/>
            <w:vAlign w:val="center"/>
          </w:tcPr>
          <w:p w14:paraId="6D7E2641"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rated</w:t>
            </w:r>
            <w:r w:rsidRPr="00D83000">
              <w:rPr>
                <w:rFonts w:ascii="Sylfaen" w:hAnsi="Sylfaen"/>
                <w:sz w:val="20"/>
                <w:szCs w:val="20"/>
              </w:rPr>
              <w:t xml:space="preserve"> х 1,10</w:t>
            </w:r>
          </w:p>
        </w:tc>
      </w:tr>
      <w:tr w:rsidR="00CA27E3" w:rsidRPr="00D83000" w14:paraId="65E99508" w14:textId="77777777" w:rsidTr="009727B7">
        <w:trPr>
          <w:jc w:val="center"/>
        </w:trPr>
        <w:tc>
          <w:tcPr>
            <w:tcW w:w="5219" w:type="dxa"/>
            <w:tcBorders>
              <w:top w:val="single" w:sz="4" w:space="0" w:color="auto"/>
              <w:left w:val="single" w:sz="4" w:space="0" w:color="auto"/>
            </w:tcBorders>
            <w:shd w:val="clear" w:color="auto" w:fill="FFFFFF"/>
            <w:vAlign w:val="bottom"/>
          </w:tcPr>
          <w:p w14:paraId="41F657F4"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Լյումինեսցենտային լամպերի համար արտաքին ԳԿԱ-ով աշխատող՝ 16 մմ տրամագծով լյումինեսցենտային լամպ (T5 լամպ) եւ 4</w:t>
            </w:r>
            <w:r w:rsidR="009727B7" w:rsidRPr="009727B7">
              <w:rPr>
                <w:rFonts w:ascii="Sylfaen" w:hAnsi="Sylfaen"/>
                <w:sz w:val="20"/>
                <w:szCs w:val="20"/>
              </w:rPr>
              <w:t> </w:t>
            </w:r>
            <w:r w:rsidRPr="00D83000">
              <w:rPr>
                <w:rFonts w:ascii="Sylfaen" w:hAnsi="Sylfaen"/>
                <w:sz w:val="20"/>
                <w:szCs w:val="20"/>
              </w:rPr>
              <w:t>կոնտակտավոր մեկ լամպակոթ ունեցող լյումինեսցենտային լամպ</w:t>
            </w:r>
          </w:p>
        </w:tc>
        <w:tc>
          <w:tcPr>
            <w:tcW w:w="4366" w:type="dxa"/>
            <w:tcBorders>
              <w:top w:val="single" w:sz="4" w:space="0" w:color="auto"/>
              <w:left w:val="single" w:sz="4" w:space="0" w:color="auto"/>
              <w:right w:val="single" w:sz="4" w:space="0" w:color="auto"/>
            </w:tcBorders>
            <w:shd w:val="clear" w:color="auto" w:fill="FFFFFF"/>
            <w:vAlign w:val="center"/>
          </w:tcPr>
          <w:p w14:paraId="229915E4"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Prated X 1,10</w:t>
            </w:r>
          </w:p>
        </w:tc>
      </w:tr>
      <w:tr w:rsidR="00CA27E3" w:rsidRPr="00D83000" w14:paraId="10EE82EE" w14:textId="77777777" w:rsidTr="009727B7">
        <w:trPr>
          <w:jc w:val="center"/>
        </w:trPr>
        <w:tc>
          <w:tcPr>
            <w:tcW w:w="5219" w:type="dxa"/>
            <w:tcBorders>
              <w:top w:val="single" w:sz="4" w:space="0" w:color="auto"/>
              <w:left w:val="single" w:sz="4" w:space="0" w:color="auto"/>
            </w:tcBorders>
            <w:shd w:val="clear" w:color="auto" w:fill="FFFFFF"/>
          </w:tcPr>
          <w:p w14:paraId="4D073F81"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Լյումինեսցենտային լամպերի համար արտաքին ԳԿԱ-ով աշխատող այլ լամպեր</w:t>
            </w:r>
          </w:p>
        </w:tc>
        <w:tc>
          <w:tcPr>
            <w:tcW w:w="4366" w:type="dxa"/>
            <w:tcBorders>
              <w:top w:val="single" w:sz="4" w:space="0" w:color="auto"/>
              <w:left w:val="single" w:sz="4" w:space="0" w:color="auto"/>
              <w:right w:val="single" w:sz="4" w:space="0" w:color="auto"/>
            </w:tcBorders>
            <w:shd w:val="clear" w:color="auto" w:fill="FFFFFF"/>
            <w:vAlign w:val="center"/>
          </w:tcPr>
          <w:p w14:paraId="2A1C0B69" w14:textId="77777777" w:rsidR="00CA27E3" w:rsidRPr="00D83000" w:rsidRDefault="00000000" w:rsidP="009727B7">
            <w:pPr>
              <w:pStyle w:val="a4"/>
              <w:shd w:val="clear" w:color="auto" w:fill="auto"/>
              <w:spacing w:after="120" w:line="240" w:lineRule="auto"/>
              <w:ind w:firstLine="0"/>
              <w:jc w:val="center"/>
              <w:rPr>
                <w:rFonts w:ascii="Sylfaen" w:hAnsi="Sylfaen" w:cs="Sylfaen"/>
                <w:sz w:val="20"/>
                <w:szCs w:val="20"/>
              </w:rPr>
            </w:pPr>
            <m:oMathPara>
              <m:oMath>
                <m:sSub>
                  <m:sSubPr>
                    <m:ctrlPr>
                      <w:rPr>
                        <w:rFonts w:ascii="Cambria Math" w:hAnsi="Sylfaen" w:cs="Sylfaen"/>
                        <w:i/>
                        <w:sz w:val="20"/>
                        <w:szCs w:val="20"/>
                      </w:rPr>
                    </m:ctrlPr>
                  </m:sSubPr>
                  <m:e>
                    <m:r>
                      <w:rPr>
                        <w:rFonts w:ascii="Cambria Math" w:hAnsi="Cambria Math" w:cs="Sylfaen"/>
                        <w:sz w:val="20"/>
                        <w:szCs w:val="20"/>
                      </w:rPr>
                      <m:t>P</m:t>
                    </m:r>
                  </m:e>
                  <m:sub>
                    <m:r>
                      <w:rPr>
                        <w:rFonts w:ascii="Cambria Math" w:hAnsi="Cambria Math" w:cs="Sylfaen"/>
                        <w:sz w:val="20"/>
                        <w:szCs w:val="20"/>
                      </w:rPr>
                      <m:t>rated</m:t>
                    </m:r>
                  </m:sub>
                </m:sSub>
                <m:r>
                  <w:rPr>
                    <w:rFonts w:ascii="Cambria Math" w:hAnsi="Cambria Math" w:cs="Sylfaen"/>
                    <w:sz w:val="20"/>
                    <w:szCs w:val="20"/>
                  </w:rPr>
                  <m:t>x</m:t>
                </m:r>
                <m:f>
                  <m:fPr>
                    <m:ctrlPr>
                      <w:rPr>
                        <w:rFonts w:ascii="Cambria Math" w:hAnsi="Sylfaen" w:cs="Sylfaen"/>
                        <w:i/>
                        <w:sz w:val="20"/>
                        <w:szCs w:val="20"/>
                      </w:rPr>
                    </m:ctrlPr>
                  </m:fPr>
                  <m:num>
                    <m:r>
                      <w:rPr>
                        <w:rFonts w:ascii="Cambria Math" w:hAnsi="Sylfaen" w:cs="Sylfaen"/>
                        <w:sz w:val="20"/>
                        <w:szCs w:val="20"/>
                      </w:rPr>
                      <m:t>0,24</m:t>
                    </m:r>
                    <m:rad>
                      <m:radPr>
                        <m:degHide m:val="1"/>
                        <m:ctrlPr>
                          <w:rPr>
                            <w:rFonts w:ascii="Cambria Math" w:hAnsi="Sylfaen" w:cs="Sylfaen"/>
                            <w:i/>
                            <w:sz w:val="20"/>
                            <w:szCs w:val="20"/>
                          </w:rPr>
                        </m:ctrlPr>
                      </m:radPr>
                      <m:deg/>
                      <m:e>
                        <m:sSub>
                          <m:sSubPr>
                            <m:ctrlPr>
                              <w:rPr>
                                <w:rFonts w:ascii="Cambria Math" w:hAnsi="Sylfaen" w:cs="Sylfaen"/>
                                <w:i/>
                                <w:sz w:val="20"/>
                                <w:szCs w:val="20"/>
                              </w:rPr>
                            </m:ctrlPr>
                          </m:sSubPr>
                          <m:e>
                            <m:r>
                              <w:rPr>
                                <w:rFonts w:ascii="Cambria Math" w:hAnsi="Sylfaen" w:cs="Sylfaen"/>
                                <w:sz w:val="20"/>
                                <w:szCs w:val="20"/>
                              </w:rPr>
                              <m:t>Ф</m:t>
                            </m:r>
                          </m:e>
                          <m:sub>
                            <m:r>
                              <w:rPr>
                                <w:rFonts w:ascii="Cambria Math" w:hAnsi="Cambria Math" w:cs="Sylfaen"/>
                                <w:sz w:val="20"/>
                                <w:szCs w:val="20"/>
                              </w:rPr>
                              <m:t>use</m:t>
                            </m:r>
                          </m:sub>
                        </m:sSub>
                      </m:e>
                    </m:rad>
                    <m:r>
                      <w:rPr>
                        <w:rFonts w:ascii="Cambria Math" w:hAnsi="Sylfaen" w:cs="Sylfaen"/>
                        <w:sz w:val="20"/>
                        <w:szCs w:val="20"/>
                      </w:rPr>
                      <m:t>+0,0103</m:t>
                    </m:r>
                    <m:sSub>
                      <m:sSubPr>
                        <m:ctrlPr>
                          <w:rPr>
                            <w:rFonts w:ascii="Cambria Math" w:hAnsi="Sylfaen" w:cs="Sylfaen"/>
                            <w:i/>
                            <w:sz w:val="20"/>
                            <w:szCs w:val="20"/>
                          </w:rPr>
                        </m:ctrlPr>
                      </m:sSubPr>
                      <m:e>
                        <m:r>
                          <w:rPr>
                            <w:rFonts w:ascii="Cambria Math" w:hAnsi="Sylfaen" w:cs="Sylfaen"/>
                            <w:sz w:val="20"/>
                            <w:szCs w:val="20"/>
                          </w:rPr>
                          <m:t>Ф</m:t>
                        </m:r>
                      </m:e>
                      <m:sub>
                        <m:r>
                          <w:rPr>
                            <w:rFonts w:ascii="Cambria Math" w:hAnsi="Cambria Math" w:cs="Sylfaen"/>
                            <w:sz w:val="20"/>
                            <w:szCs w:val="20"/>
                          </w:rPr>
                          <m:t>use</m:t>
                        </m:r>
                      </m:sub>
                    </m:sSub>
                  </m:num>
                  <m:den>
                    <m:r>
                      <w:rPr>
                        <w:rFonts w:ascii="Cambria Math" w:hAnsi="Sylfaen" w:cs="Sylfaen"/>
                        <w:sz w:val="20"/>
                        <w:szCs w:val="20"/>
                      </w:rPr>
                      <m:t>0,15</m:t>
                    </m:r>
                    <m:rad>
                      <m:radPr>
                        <m:degHide m:val="1"/>
                        <m:ctrlPr>
                          <w:rPr>
                            <w:rFonts w:ascii="Cambria Math" w:hAnsi="Sylfaen" w:cs="Sylfaen"/>
                            <w:i/>
                            <w:sz w:val="20"/>
                            <w:szCs w:val="20"/>
                          </w:rPr>
                        </m:ctrlPr>
                      </m:radPr>
                      <m:deg/>
                      <m:e>
                        <m:sSub>
                          <m:sSubPr>
                            <m:ctrlPr>
                              <w:rPr>
                                <w:rFonts w:ascii="Cambria Math" w:hAnsi="Sylfaen" w:cs="Sylfaen"/>
                                <w:i/>
                                <w:sz w:val="20"/>
                                <w:szCs w:val="20"/>
                              </w:rPr>
                            </m:ctrlPr>
                          </m:sSubPr>
                          <m:e>
                            <m:r>
                              <w:rPr>
                                <w:rFonts w:ascii="Cambria Math" w:hAnsi="Sylfaen" w:cs="Sylfaen"/>
                                <w:sz w:val="20"/>
                                <w:szCs w:val="20"/>
                              </w:rPr>
                              <m:t>Ф</m:t>
                            </m:r>
                          </m:e>
                          <m:sub>
                            <m:r>
                              <w:rPr>
                                <w:rFonts w:ascii="Cambria Math" w:hAnsi="Cambria Math" w:cs="Sylfaen"/>
                                <w:sz w:val="20"/>
                                <w:szCs w:val="20"/>
                              </w:rPr>
                              <m:t>use</m:t>
                            </m:r>
                          </m:sub>
                        </m:sSub>
                      </m:e>
                    </m:rad>
                    <m:r>
                      <w:rPr>
                        <w:rFonts w:ascii="Cambria Math" w:hAnsi="Sylfaen" w:cs="Sylfaen"/>
                        <w:sz w:val="20"/>
                        <w:szCs w:val="20"/>
                      </w:rPr>
                      <m:t>+0,0097</m:t>
                    </m:r>
                    <m:sSub>
                      <m:sSubPr>
                        <m:ctrlPr>
                          <w:rPr>
                            <w:rFonts w:ascii="Cambria Math" w:hAnsi="Sylfaen" w:cs="Sylfaen"/>
                            <w:i/>
                            <w:sz w:val="20"/>
                            <w:szCs w:val="20"/>
                          </w:rPr>
                        </m:ctrlPr>
                      </m:sSubPr>
                      <m:e>
                        <m:r>
                          <w:rPr>
                            <w:rFonts w:ascii="Cambria Math" w:hAnsi="Sylfaen" w:cs="Sylfaen"/>
                            <w:sz w:val="20"/>
                            <w:szCs w:val="20"/>
                          </w:rPr>
                          <m:t>Ф</m:t>
                        </m:r>
                      </m:e>
                      <m:sub>
                        <m:r>
                          <w:rPr>
                            <w:rFonts w:ascii="Cambria Math" w:hAnsi="Cambria Math" w:cs="Sylfaen"/>
                            <w:sz w:val="20"/>
                            <w:szCs w:val="20"/>
                          </w:rPr>
                          <m:t>use</m:t>
                        </m:r>
                      </m:sub>
                    </m:sSub>
                  </m:den>
                </m:f>
              </m:oMath>
            </m:oMathPara>
          </w:p>
        </w:tc>
      </w:tr>
      <w:tr w:rsidR="00CA27E3" w:rsidRPr="00D83000" w14:paraId="101783A9" w14:textId="77777777" w:rsidTr="009727B7">
        <w:trPr>
          <w:jc w:val="center"/>
        </w:trPr>
        <w:tc>
          <w:tcPr>
            <w:tcW w:w="5219" w:type="dxa"/>
            <w:tcBorders>
              <w:top w:val="single" w:sz="4" w:space="0" w:color="auto"/>
              <w:left w:val="single" w:sz="4" w:space="0" w:color="auto"/>
            </w:tcBorders>
            <w:shd w:val="clear" w:color="auto" w:fill="FFFFFF"/>
          </w:tcPr>
          <w:p w14:paraId="29219863"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 xml:space="preserve">Բարձր ինտենսիվության պարպումային լամպերի համար արտաքին ԳԿԱ-ով աշխատող լամպ </w:t>
            </w:r>
          </w:p>
        </w:tc>
        <w:tc>
          <w:tcPr>
            <w:tcW w:w="4366" w:type="dxa"/>
            <w:tcBorders>
              <w:top w:val="single" w:sz="4" w:space="0" w:color="auto"/>
              <w:left w:val="single" w:sz="4" w:space="0" w:color="auto"/>
              <w:right w:val="single" w:sz="4" w:space="0" w:color="auto"/>
            </w:tcBorders>
            <w:shd w:val="clear" w:color="auto" w:fill="FFFFFF"/>
            <w:vAlign w:val="center"/>
          </w:tcPr>
          <w:p w14:paraId="08DFE316"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rated</w:t>
            </w:r>
            <w:r w:rsidRPr="00D83000">
              <w:rPr>
                <w:rFonts w:ascii="Sylfaen" w:hAnsi="Sylfaen"/>
                <w:sz w:val="20"/>
                <w:szCs w:val="20"/>
              </w:rPr>
              <w:t xml:space="preserve"> х 1,10</w:t>
            </w:r>
          </w:p>
        </w:tc>
      </w:tr>
      <w:tr w:rsidR="00CA27E3" w:rsidRPr="00D83000" w14:paraId="048F6FB6" w14:textId="77777777" w:rsidTr="009727B7">
        <w:trPr>
          <w:jc w:val="center"/>
        </w:trPr>
        <w:tc>
          <w:tcPr>
            <w:tcW w:w="5219" w:type="dxa"/>
            <w:tcBorders>
              <w:top w:val="single" w:sz="4" w:space="0" w:color="auto"/>
              <w:left w:val="single" w:sz="4" w:space="0" w:color="auto"/>
            </w:tcBorders>
            <w:shd w:val="clear" w:color="auto" w:fill="FFFFFF"/>
            <w:vAlign w:val="bottom"/>
          </w:tcPr>
          <w:p w14:paraId="71229480"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 90 գունահաղորդման ցուցիչով կոմպակտ լյումինեսցենտային լամպ</w:t>
            </w:r>
          </w:p>
        </w:tc>
        <w:tc>
          <w:tcPr>
            <w:tcW w:w="4366" w:type="dxa"/>
            <w:tcBorders>
              <w:top w:val="single" w:sz="4" w:space="0" w:color="auto"/>
              <w:left w:val="single" w:sz="4" w:space="0" w:color="auto"/>
              <w:right w:val="single" w:sz="4" w:space="0" w:color="auto"/>
            </w:tcBorders>
            <w:shd w:val="clear" w:color="auto" w:fill="FFFFFF"/>
            <w:vAlign w:val="center"/>
          </w:tcPr>
          <w:p w14:paraId="56A7F5D9"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rated</w:t>
            </w:r>
            <w:r w:rsidRPr="00D83000">
              <w:rPr>
                <w:rFonts w:ascii="Sylfaen" w:hAnsi="Sylfaen"/>
                <w:sz w:val="20"/>
                <w:szCs w:val="20"/>
              </w:rPr>
              <w:t xml:space="preserve"> x 0,85</w:t>
            </w:r>
          </w:p>
        </w:tc>
      </w:tr>
      <w:tr w:rsidR="00CA27E3" w:rsidRPr="00D83000" w14:paraId="1C47855B" w14:textId="77777777" w:rsidTr="009727B7">
        <w:trPr>
          <w:jc w:val="center"/>
        </w:trPr>
        <w:tc>
          <w:tcPr>
            <w:tcW w:w="5219" w:type="dxa"/>
            <w:tcBorders>
              <w:top w:val="single" w:sz="4" w:space="0" w:color="auto"/>
              <w:left w:val="single" w:sz="4" w:space="0" w:color="auto"/>
              <w:bottom w:val="single" w:sz="4" w:space="0" w:color="auto"/>
            </w:tcBorders>
            <w:shd w:val="clear" w:color="auto" w:fill="FFFFFF"/>
            <w:vAlign w:val="bottom"/>
          </w:tcPr>
          <w:p w14:paraId="0DBD3F7C" w14:textId="77777777" w:rsidR="00CA27E3" w:rsidRPr="00D83000" w:rsidRDefault="00CA27E3" w:rsidP="009727B7">
            <w:pPr>
              <w:pStyle w:val="a4"/>
              <w:shd w:val="clear" w:color="auto" w:fill="auto"/>
              <w:spacing w:after="120" w:line="240" w:lineRule="auto"/>
              <w:ind w:left="79" w:right="132" w:firstLine="0"/>
              <w:rPr>
                <w:rFonts w:ascii="Sylfaen" w:hAnsi="Sylfaen" w:cs="Sylfaen"/>
                <w:sz w:val="20"/>
                <w:szCs w:val="20"/>
              </w:rPr>
            </w:pPr>
            <w:r w:rsidRPr="00D83000">
              <w:rPr>
                <w:rFonts w:ascii="Sylfaen" w:hAnsi="Sylfaen"/>
                <w:sz w:val="20"/>
                <w:szCs w:val="20"/>
              </w:rPr>
              <w:t>Հակափայլքային էկրանով լամպ</w:t>
            </w:r>
          </w:p>
        </w:tc>
        <w:tc>
          <w:tcPr>
            <w:tcW w:w="4366" w:type="dxa"/>
            <w:tcBorders>
              <w:top w:val="single" w:sz="4" w:space="0" w:color="auto"/>
              <w:left w:val="single" w:sz="4" w:space="0" w:color="auto"/>
              <w:bottom w:val="single" w:sz="4" w:space="0" w:color="auto"/>
              <w:right w:val="single" w:sz="4" w:space="0" w:color="auto"/>
            </w:tcBorders>
            <w:shd w:val="clear" w:color="auto" w:fill="FFFFFF"/>
            <w:vAlign w:val="center"/>
          </w:tcPr>
          <w:p w14:paraId="30392B86"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w:t>
            </w:r>
            <w:r w:rsidRPr="00D83000">
              <w:rPr>
                <w:rFonts w:ascii="Sylfaen" w:hAnsi="Sylfaen"/>
                <w:sz w:val="20"/>
                <w:szCs w:val="20"/>
                <w:vertAlign w:val="subscript"/>
              </w:rPr>
              <w:t>rated</w:t>
            </w:r>
            <w:r w:rsidRPr="00D83000">
              <w:rPr>
                <w:rFonts w:ascii="Sylfaen" w:hAnsi="Sylfaen"/>
                <w:sz w:val="20"/>
                <w:szCs w:val="20"/>
              </w:rPr>
              <w:t xml:space="preserve"> х 0,80</w:t>
            </w:r>
          </w:p>
        </w:tc>
      </w:tr>
    </w:tbl>
    <w:p w14:paraId="7ED3A71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P</w:t>
      </w:r>
      <w:r w:rsidRPr="00CA27E3">
        <w:rPr>
          <w:rFonts w:ascii="Sylfaen" w:hAnsi="Sylfaen"/>
          <w:sz w:val="24"/>
          <w:szCs w:val="24"/>
          <w:vertAlign w:val="subscript"/>
        </w:rPr>
        <w:t>ref</w:t>
      </w:r>
      <w:r w:rsidRPr="00CA27E3">
        <w:rPr>
          <w:rFonts w:ascii="Sylfaen" w:hAnsi="Sylfaen"/>
          <w:sz w:val="24"/>
          <w:szCs w:val="24"/>
        </w:rPr>
        <w:t>՝ չափանմուշային հզորություն, որը հաշվարկվում է լամպի օգտակար լուսային հոսքի (Φ</w:t>
      </w:r>
      <w:r w:rsidRPr="00CA27E3">
        <w:rPr>
          <w:rFonts w:ascii="Sylfaen" w:hAnsi="Sylfaen"/>
          <w:sz w:val="24"/>
          <w:szCs w:val="24"/>
          <w:vertAlign w:val="subscript"/>
        </w:rPr>
        <w:t>use</w:t>
      </w:r>
      <w:r w:rsidRPr="00CA27E3">
        <w:rPr>
          <w:rFonts w:ascii="Sylfaen" w:hAnsi="Sylfaen"/>
          <w:sz w:val="24"/>
          <w:szCs w:val="24"/>
        </w:rPr>
        <w:t>) համար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18BDC53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Φ</w:t>
      </w:r>
      <w:r w:rsidRPr="00CA27E3">
        <w:rPr>
          <w:rFonts w:ascii="Sylfaen" w:hAnsi="Sylfaen"/>
          <w:sz w:val="24"/>
          <w:szCs w:val="24"/>
          <w:vertAlign w:val="subscript"/>
        </w:rPr>
        <w:t>use</w:t>
      </w:r>
      <w:r w:rsidRPr="00CA27E3">
        <w:rPr>
          <w:rFonts w:ascii="Sylfaen" w:hAnsi="Sylfaen"/>
          <w:sz w:val="24"/>
          <w:szCs w:val="24"/>
        </w:rPr>
        <w:t xml:space="preserve"> &lt; 1 300 լմ-ով լամպերի մոդելների համար՝</w:t>
      </w:r>
    </w:p>
    <w:p w14:paraId="4343C119" w14:textId="77777777" w:rsidR="00CA27E3" w:rsidRPr="00CA27E3" w:rsidRDefault="00000000" w:rsidP="00CA27E3">
      <w:pPr>
        <w:pStyle w:val="a0"/>
        <w:shd w:val="clear" w:color="auto" w:fill="auto"/>
        <w:spacing w:after="160"/>
        <w:ind w:firstLine="0"/>
        <w:jc w:val="center"/>
        <w:rPr>
          <w:rFonts w:ascii="Sylfaen" w:hAnsi="Sylfaen" w:cs="Sylfaen"/>
          <w:sz w:val="24"/>
          <w:szCs w:val="24"/>
        </w:rPr>
      </w:pPr>
      <m:oMathPara>
        <m:oMath>
          <m:sSub>
            <m:sSubPr>
              <m:ctrlPr>
                <w:rPr>
                  <w:rFonts w:ascii="Cambria Math" w:hAnsi="Sylfaen" w:cs="Sylfaen"/>
                  <w:i/>
                  <w:sz w:val="24"/>
                  <w:szCs w:val="24"/>
                </w:rPr>
              </m:ctrlPr>
            </m:sSubPr>
            <m:e>
              <m:r>
                <w:rPr>
                  <w:rFonts w:ascii="Cambria Math" w:hAnsi="Cambria Math" w:cs="Sylfaen"/>
                  <w:sz w:val="24"/>
                  <w:szCs w:val="24"/>
                </w:rPr>
                <m:t>P</m:t>
              </m:r>
            </m:e>
            <m:sub>
              <m:r>
                <w:rPr>
                  <w:rFonts w:ascii="Cambria Math" w:hAnsi="Cambria Math" w:cs="Sylfaen"/>
                  <w:sz w:val="24"/>
                  <w:szCs w:val="24"/>
                </w:rPr>
                <m:t>ref</m:t>
              </m:r>
            </m:sub>
          </m:sSub>
          <m:r>
            <w:rPr>
              <w:rFonts w:ascii="Cambria Math" w:hAnsi="Sylfaen" w:cs="Sylfaen"/>
              <w:sz w:val="24"/>
              <w:szCs w:val="24"/>
            </w:rPr>
            <m:t>=0,88</m:t>
          </m:r>
          <m:rad>
            <m:radPr>
              <m:degHide m:val="1"/>
              <m:ctrlPr>
                <w:rPr>
                  <w:rFonts w:ascii="Cambria Math" w:hAnsi="Sylfaen" w:cs="Sylfaen"/>
                  <w:i/>
                  <w:sz w:val="24"/>
                  <w:szCs w:val="24"/>
                </w:rPr>
              </m:ctrlPr>
            </m:radPr>
            <m:deg/>
            <m:e>
              <m:sSub>
                <m:sSubPr>
                  <m:ctrlPr>
                    <w:rPr>
                      <w:rFonts w:ascii="Cambria Math" w:hAnsi="Sylfaen" w:cs="Sylfaen"/>
                      <w:i/>
                      <w:sz w:val="24"/>
                      <w:szCs w:val="24"/>
                    </w:rPr>
                  </m:ctrlPr>
                </m:sSubPr>
                <m:e>
                  <m:r>
                    <w:rPr>
                      <w:rFonts w:ascii="Cambria Math" w:hAnsi="Sylfaen" w:cs="Sylfaen"/>
                      <w:sz w:val="24"/>
                      <w:szCs w:val="24"/>
                    </w:rPr>
                    <m:t>Ф</m:t>
                  </m:r>
                </m:e>
                <m:sub>
                  <m:r>
                    <w:rPr>
                      <w:rFonts w:ascii="Cambria Math" w:hAnsi="Cambria Math" w:cs="Sylfaen"/>
                      <w:sz w:val="24"/>
                      <w:szCs w:val="24"/>
                    </w:rPr>
                    <m:t>use</m:t>
                  </m:r>
                </m:sub>
              </m:sSub>
            </m:e>
          </m:rad>
          <m:r>
            <w:rPr>
              <w:rFonts w:ascii="Cambria Math" w:hAnsi="Sylfaen" w:cs="Sylfaen"/>
              <w:sz w:val="24"/>
              <w:szCs w:val="24"/>
            </w:rPr>
            <m:t>+0,049</m:t>
          </m:r>
          <m:sSub>
            <m:sSubPr>
              <m:ctrlPr>
                <w:rPr>
                  <w:rFonts w:ascii="Cambria Math" w:hAnsi="Sylfaen" w:cs="Sylfaen"/>
                  <w:i/>
                  <w:sz w:val="24"/>
                  <w:szCs w:val="24"/>
                </w:rPr>
              </m:ctrlPr>
            </m:sSubPr>
            <m:e>
              <m:r>
                <w:rPr>
                  <w:rFonts w:ascii="Cambria Math" w:hAnsi="Sylfaen" w:cs="Sylfaen"/>
                  <w:sz w:val="24"/>
                  <w:szCs w:val="24"/>
                </w:rPr>
                <m:t>Ф</m:t>
              </m:r>
            </m:e>
            <m:sub>
              <m:r>
                <w:rPr>
                  <w:rFonts w:ascii="Cambria Math" w:hAnsi="Cambria Math" w:cs="Sylfaen"/>
                  <w:sz w:val="24"/>
                  <w:szCs w:val="24"/>
                </w:rPr>
                <m:t>use</m:t>
              </m:r>
            </m:sub>
          </m:sSub>
          <m:r>
            <w:rPr>
              <w:rFonts w:ascii="Cambria Math" w:hAnsi="Sylfaen" w:cs="Sylfaen"/>
              <w:sz w:val="24"/>
              <w:szCs w:val="24"/>
            </w:rPr>
            <m:t>,</m:t>
          </m:r>
        </m:oMath>
      </m:oMathPara>
    </w:p>
    <w:p w14:paraId="1953A810" w14:textId="77777777" w:rsidR="009727B7" w:rsidRDefault="009727B7" w:rsidP="00CA27E3">
      <w:pPr>
        <w:pStyle w:val="a0"/>
        <w:shd w:val="clear" w:color="auto" w:fill="auto"/>
        <w:spacing w:after="160"/>
        <w:ind w:firstLine="567"/>
        <w:jc w:val="both"/>
        <w:rPr>
          <w:rFonts w:ascii="Sylfaen" w:hAnsi="Sylfaen"/>
          <w:sz w:val="24"/>
          <w:szCs w:val="24"/>
          <w:lang w:val="en-US"/>
        </w:rPr>
      </w:pPr>
    </w:p>
    <w:p w14:paraId="3963285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Φ</w:t>
      </w:r>
      <w:r w:rsidRPr="00CA27E3">
        <w:rPr>
          <w:rFonts w:ascii="Sylfaen" w:hAnsi="Sylfaen"/>
          <w:sz w:val="24"/>
          <w:szCs w:val="24"/>
          <w:vertAlign w:val="subscript"/>
        </w:rPr>
        <w:t>use</w:t>
      </w:r>
      <w:r w:rsidRPr="00CA27E3">
        <w:rPr>
          <w:rFonts w:ascii="Sylfaen" w:hAnsi="Sylfaen"/>
          <w:sz w:val="24"/>
          <w:szCs w:val="24"/>
        </w:rPr>
        <w:t xml:space="preserve"> ≥ 1 300 լմ-ով լամպերի մոդելների համար՝</w:t>
      </w:r>
    </w:p>
    <w:p w14:paraId="2C0F1966"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P</w:t>
      </w:r>
      <w:r w:rsidRPr="00CA27E3">
        <w:rPr>
          <w:rFonts w:ascii="Sylfaen" w:hAnsi="Sylfaen"/>
          <w:sz w:val="24"/>
          <w:szCs w:val="24"/>
          <w:vertAlign w:val="subscript"/>
        </w:rPr>
        <w:t>ref</w:t>
      </w:r>
      <w:r w:rsidRPr="00CA27E3">
        <w:rPr>
          <w:rFonts w:ascii="Sylfaen" w:hAnsi="Sylfaen"/>
          <w:sz w:val="24"/>
          <w:szCs w:val="24"/>
        </w:rPr>
        <w:t xml:space="preserve"> = 0,07341 Φ</w:t>
      </w:r>
      <w:r w:rsidRPr="00CA27E3">
        <w:rPr>
          <w:rFonts w:ascii="Sylfaen" w:hAnsi="Sylfaen"/>
          <w:sz w:val="24"/>
          <w:szCs w:val="24"/>
          <w:vertAlign w:val="subscript"/>
        </w:rPr>
        <w:t>use</w:t>
      </w:r>
      <w:r w:rsidRPr="00CA27E3">
        <w:rPr>
          <w:rFonts w:ascii="Sylfaen" w:hAnsi="Sylfaen"/>
          <w:sz w:val="24"/>
          <w:szCs w:val="24"/>
        </w:rPr>
        <w:t>,</w:t>
      </w:r>
    </w:p>
    <w:p w14:paraId="5A4E33B2" w14:textId="77777777" w:rsidR="009727B7" w:rsidRPr="003D2C38" w:rsidRDefault="009727B7" w:rsidP="00CA27E3">
      <w:pPr>
        <w:pStyle w:val="a0"/>
        <w:shd w:val="clear" w:color="auto" w:fill="auto"/>
        <w:spacing w:after="160"/>
        <w:ind w:firstLine="567"/>
        <w:jc w:val="both"/>
        <w:rPr>
          <w:rFonts w:ascii="Sylfaen" w:hAnsi="Sylfaen"/>
          <w:sz w:val="24"/>
          <w:szCs w:val="24"/>
        </w:rPr>
      </w:pPr>
    </w:p>
    <w:p w14:paraId="0522251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Φ</w:t>
      </w:r>
      <w:r w:rsidRPr="00CA27E3">
        <w:rPr>
          <w:rFonts w:ascii="Sylfaen" w:hAnsi="Sylfaen"/>
          <w:sz w:val="24"/>
          <w:szCs w:val="24"/>
          <w:vertAlign w:val="subscript"/>
        </w:rPr>
        <w:t>use</w:t>
      </w:r>
      <w:r w:rsidRPr="00CA27E3">
        <w:rPr>
          <w:rFonts w:ascii="Sylfaen" w:hAnsi="Sylfaen"/>
          <w:sz w:val="24"/>
          <w:szCs w:val="24"/>
        </w:rPr>
        <w:t xml:space="preserve"> -ը որոշվում է հետ</w:t>
      </w:r>
      <w:r>
        <w:rPr>
          <w:rFonts w:ascii="Sylfaen" w:hAnsi="Sylfaen"/>
          <w:sz w:val="24"/>
          <w:szCs w:val="24"/>
        </w:rPr>
        <w:t>եւ</w:t>
      </w:r>
      <w:r w:rsidRPr="00CA27E3">
        <w:rPr>
          <w:rFonts w:ascii="Sylfaen" w:hAnsi="Sylfaen"/>
          <w:sz w:val="24"/>
          <w:szCs w:val="24"/>
        </w:rPr>
        <w:t>յալ կերպ՝</w:t>
      </w:r>
    </w:p>
    <w:p w14:paraId="09F656C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ճառագայթի ցրման՝ ≥ 90° անկյունով ուղղորդված լույսի լամպերի համար՝ բացի շիկացման լամպերից </w:t>
      </w:r>
      <w:r>
        <w:rPr>
          <w:rFonts w:ascii="Sylfaen" w:hAnsi="Sylfaen"/>
          <w:sz w:val="24"/>
          <w:szCs w:val="24"/>
        </w:rPr>
        <w:t>եւ</w:t>
      </w:r>
      <w:r w:rsidRPr="00CA27E3">
        <w:rPr>
          <w:rFonts w:ascii="Sylfaen" w:hAnsi="Sylfaen"/>
          <w:sz w:val="24"/>
          <w:szCs w:val="24"/>
        </w:rPr>
        <w:t xml:space="preserve"> սույն պահանջների 11-րդ կետի «ա» ենթակետի տասնչորսերորդ </w:t>
      </w:r>
      <w:r>
        <w:rPr>
          <w:rFonts w:ascii="Sylfaen" w:hAnsi="Sylfaen"/>
          <w:sz w:val="24"/>
          <w:szCs w:val="24"/>
        </w:rPr>
        <w:t>եւ</w:t>
      </w:r>
      <w:r w:rsidRPr="00CA27E3">
        <w:rPr>
          <w:rFonts w:ascii="Sylfaen" w:hAnsi="Sylfaen"/>
          <w:sz w:val="24"/>
          <w:szCs w:val="24"/>
        </w:rPr>
        <w:t xml:space="preserve"> տասնութերորդ պարբերություններին համապատասխան՝ փաթեթվածքի վրա նախազգուշացում պարունակող լամպերի համար՝ անվանական լուսային հոսքը՝ 120° (Ф120°) կոնում.</w:t>
      </w:r>
    </w:p>
    <w:p w14:paraId="4A6CAFB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9727B7">
        <w:rPr>
          <w:rFonts w:ascii="Sylfaen" w:hAnsi="Sylfaen"/>
          <w:spacing w:val="6"/>
          <w:sz w:val="24"/>
          <w:szCs w:val="24"/>
        </w:rPr>
        <w:t>ուղղորդված լույսի այլ լամպերի համար՝ հաշվարկային լուսային հոսքը 90° (Φ</w:t>
      </w:r>
      <w:r w:rsidRPr="009727B7">
        <w:rPr>
          <w:rFonts w:ascii="Sylfaen" w:hAnsi="Sylfaen"/>
          <w:spacing w:val="6"/>
          <w:sz w:val="24"/>
          <w:szCs w:val="24"/>
          <w:vertAlign w:val="subscript"/>
        </w:rPr>
        <w:t>90</w:t>
      </w:r>
      <w:r w:rsidRPr="009727B7">
        <w:rPr>
          <w:rFonts w:ascii="Sylfaen" w:hAnsi="Sylfaen"/>
          <w:spacing w:val="6"/>
          <w:sz w:val="24"/>
          <w:szCs w:val="24"/>
        </w:rPr>
        <w:t>°) կոնի դեպքում</w:t>
      </w:r>
      <w:r w:rsidRPr="00CA27E3">
        <w:rPr>
          <w:rFonts w:ascii="Sylfaen" w:hAnsi="Sylfaen"/>
          <w:sz w:val="24"/>
          <w:szCs w:val="24"/>
        </w:rPr>
        <w:t>։</w:t>
      </w:r>
    </w:p>
    <w:p w14:paraId="469DF6FE"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35193D40" w14:textId="77777777" w:rsidR="00CA27E3" w:rsidRPr="00CA27E3" w:rsidRDefault="00CA27E3" w:rsidP="005C50BB">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t>2. Ուղղորդված լույսի լամպերի էներգաարդյունավետությանը ներկայացվող պահանջները</w:t>
      </w:r>
    </w:p>
    <w:p w14:paraId="244F84F6"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5.</w:t>
      </w:r>
      <w:r w:rsidR="005C50BB" w:rsidRPr="005C50BB">
        <w:rPr>
          <w:rFonts w:ascii="Sylfaen" w:hAnsi="Sylfaen"/>
          <w:sz w:val="24"/>
          <w:szCs w:val="24"/>
        </w:rPr>
        <w:tab/>
      </w:r>
      <w:r w:rsidRPr="00CA27E3">
        <w:rPr>
          <w:rFonts w:ascii="Sylfaen" w:hAnsi="Sylfaen"/>
          <w:sz w:val="24"/>
          <w:szCs w:val="24"/>
        </w:rPr>
        <w:t>Ուղղորդված լույսի լամպերի EEI առավելագույն արժեքները բերված են 2-րդ աղյուսակում։ Նշված պահանջները պետք է կիրառվեն 2023 թվականի սեպտեմբերի 1-ից։</w:t>
      </w:r>
    </w:p>
    <w:p w14:paraId="19AC9A80" w14:textId="77777777" w:rsidR="005C50BB" w:rsidRPr="003D2C38" w:rsidRDefault="005C50BB" w:rsidP="00CA27E3">
      <w:pPr>
        <w:pStyle w:val="a0"/>
        <w:shd w:val="clear" w:color="auto" w:fill="auto"/>
        <w:spacing w:after="160"/>
        <w:ind w:firstLine="0"/>
        <w:jc w:val="right"/>
        <w:rPr>
          <w:rFonts w:ascii="Sylfaen" w:hAnsi="Sylfaen"/>
          <w:sz w:val="24"/>
          <w:szCs w:val="24"/>
        </w:rPr>
      </w:pPr>
    </w:p>
    <w:p w14:paraId="0DAFDEC5" w14:textId="77777777" w:rsidR="009727B7" w:rsidRPr="003D2C38" w:rsidRDefault="009727B7" w:rsidP="00CA27E3">
      <w:pPr>
        <w:pStyle w:val="a0"/>
        <w:shd w:val="clear" w:color="auto" w:fill="auto"/>
        <w:spacing w:after="160"/>
        <w:ind w:firstLine="0"/>
        <w:jc w:val="right"/>
        <w:rPr>
          <w:rFonts w:ascii="Sylfaen" w:hAnsi="Sylfaen"/>
          <w:sz w:val="24"/>
          <w:szCs w:val="24"/>
        </w:rPr>
      </w:pPr>
    </w:p>
    <w:p w14:paraId="2F01DCDF"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lastRenderedPageBreak/>
        <w:t>Աղյուսակ 2</w:t>
      </w:r>
    </w:p>
    <w:p w14:paraId="75831E6A"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Էներգաարդյունավետության ցուցիչի (EEI) առավելագույն արժեքները </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1534"/>
        <w:gridCol w:w="2126"/>
        <w:gridCol w:w="2268"/>
        <w:gridCol w:w="1858"/>
        <w:gridCol w:w="1800"/>
      </w:tblGrid>
      <w:tr w:rsidR="00CA27E3" w:rsidRPr="00D83000" w14:paraId="70406DFA" w14:textId="77777777" w:rsidTr="009727B7">
        <w:trPr>
          <w:jc w:val="center"/>
        </w:trPr>
        <w:tc>
          <w:tcPr>
            <w:tcW w:w="1534" w:type="dxa"/>
            <w:vMerge w:val="restart"/>
            <w:tcBorders>
              <w:top w:val="single" w:sz="4" w:space="0" w:color="auto"/>
              <w:left w:val="single" w:sz="4" w:space="0" w:color="auto"/>
            </w:tcBorders>
            <w:shd w:val="clear" w:color="auto" w:fill="FFFFFF"/>
            <w:vAlign w:val="center"/>
          </w:tcPr>
          <w:p w14:paraId="4232CCAE"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Փուլերը</w:t>
            </w:r>
          </w:p>
        </w:tc>
        <w:tc>
          <w:tcPr>
            <w:tcW w:w="8052" w:type="dxa"/>
            <w:gridSpan w:val="4"/>
            <w:tcBorders>
              <w:top w:val="single" w:sz="4" w:space="0" w:color="auto"/>
              <w:left w:val="single" w:sz="4" w:space="0" w:color="auto"/>
              <w:right w:val="single" w:sz="4" w:space="0" w:color="auto"/>
            </w:tcBorders>
            <w:shd w:val="clear" w:color="auto" w:fill="FFFFFF"/>
            <w:vAlign w:val="center"/>
          </w:tcPr>
          <w:p w14:paraId="31E318F0"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Էներգաարդյունավետության առավելագույն ցուցիչը (EEI)</w:t>
            </w:r>
          </w:p>
        </w:tc>
      </w:tr>
      <w:tr w:rsidR="00CA27E3" w:rsidRPr="00D83000" w14:paraId="3E09B3A2" w14:textId="77777777" w:rsidTr="009727B7">
        <w:trPr>
          <w:jc w:val="center"/>
        </w:trPr>
        <w:tc>
          <w:tcPr>
            <w:tcW w:w="1534" w:type="dxa"/>
            <w:vMerge/>
            <w:tcBorders>
              <w:left w:val="single" w:sz="4" w:space="0" w:color="auto"/>
            </w:tcBorders>
            <w:shd w:val="clear" w:color="auto" w:fill="FFFFFF"/>
            <w:vAlign w:val="center"/>
          </w:tcPr>
          <w:p w14:paraId="72C7F1E6" w14:textId="77777777" w:rsidR="00CA27E3" w:rsidRPr="00D83000" w:rsidRDefault="00CA27E3" w:rsidP="009727B7">
            <w:pPr>
              <w:spacing w:after="120"/>
              <w:jc w:val="center"/>
              <w:rPr>
                <w:rFonts w:ascii="Sylfaen" w:hAnsi="Sylfaen" w:cs="Sylfaen"/>
                <w:sz w:val="20"/>
                <w:szCs w:val="20"/>
              </w:rPr>
            </w:pPr>
          </w:p>
        </w:tc>
        <w:tc>
          <w:tcPr>
            <w:tcW w:w="2126" w:type="dxa"/>
            <w:tcBorders>
              <w:top w:val="single" w:sz="4" w:space="0" w:color="auto"/>
              <w:left w:val="single" w:sz="4" w:space="0" w:color="auto"/>
            </w:tcBorders>
            <w:shd w:val="clear" w:color="auto" w:fill="FFFFFF"/>
            <w:vAlign w:val="center"/>
          </w:tcPr>
          <w:p w14:paraId="7B97FBEA"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ցանցից աշխատող շիկացման լամպեր</w:t>
            </w:r>
          </w:p>
        </w:tc>
        <w:tc>
          <w:tcPr>
            <w:tcW w:w="2268" w:type="dxa"/>
            <w:tcBorders>
              <w:top w:val="single" w:sz="4" w:space="0" w:color="auto"/>
              <w:left w:val="single" w:sz="4" w:space="0" w:color="auto"/>
            </w:tcBorders>
            <w:shd w:val="clear" w:color="auto" w:fill="FFFFFF"/>
            <w:vAlign w:val="center"/>
          </w:tcPr>
          <w:p w14:paraId="10A8277D"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այլ շիկացման լամպեր</w:t>
            </w:r>
          </w:p>
        </w:tc>
        <w:tc>
          <w:tcPr>
            <w:tcW w:w="1858" w:type="dxa"/>
            <w:tcBorders>
              <w:top w:val="single" w:sz="4" w:space="0" w:color="auto"/>
              <w:left w:val="single" w:sz="4" w:space="0" w:color="auto"/>
            </w:tcBorders>
            <w:shd w:val="clear" w:color="auto" w:fill="FFFFFF"/>
            <w:vAlign w:val="center"/>
          </w:tcPr>
          <w:p w14:paraId="1DFF940B"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բարձր ինտենսիվության պարպումային լամպեր</w:t>
            </w:r>
          </w:p>
        </w:tc>
        <w:tc>
          <w:tcPr>
            <w:tcW w:w="1800" w:type="dxa"/>
            <w:tcBorders>
              <w:top w:val="single" w:sz="4" w:space="0" w:color="auto"/>
              <w:left w:val="single" w:sz="4" w:space="0" w:color="auto"/>
              <w:right w:val="single" w:sz="4" w:space="0" w:color="auto"/>
            </w:tcBorders>
            <w:shd w:val="clear" w:color="auto" w:fill="FFFFFF"/>
            <w:vAlign w:val="center"/>
          </w:tcPr>
          <w:p w14:paraId="70DF3539"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այլ լամպեր</w:t>
            </w:r>
          </w:p>
        </w:tc>
      </w:tr>
      <w:tr w:rsidR="00CA27E3" w:rsidRPr="00D83000" w14:paraId="46BE7063" w14:textId="77777777" w:rsidTr="009727B7">
        <w:trPr>
          <w:jc w:val="center"/>
        </w:trPr>
        <w:tc>
          <w:tcPr>
            <w:tcW w:w="1534" w:type="dxa"/>
            <w:tcBorders>
              <w:top w:val="single" w:sz="4" w:space="0" w:color="auto"/>
            </w:tcBorders>
            <w:shd w:val="clear" w:color="auto" w:fill="FFFFFF"/>
            <w:vAlign w:val="center"/>
          </w:tcPr>
          <w:p w14:paraId="153D254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 1</w:t>
            </w:r>
          </w:p>
        </w:tc>
        <w:tc>
          <w:tcPr>
            <w:tcW w:w="2126" w:type="dxa"/>
            <w:tcBorders>
              <w:top w:val="single" w:sz="4" w:space="0" w:color="auto"/>
            </w:tcBorders>
            <w:shd w:val="clear" w:color="auto" w:fill="FFFFFF"/>
            <w:vAlign w:val="center"/>
          </w:tcPr>
          <w:p w14:paraId="65CC871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եթե Φ</w:t>
            </w:r>
            <w:r w:rsidRPr="00D83000">
              <w:rPr>
                <w:rFonts w:ascii="Sylfaen" w:hAnsi="Sylfaen"/>
                <w:sz w:val="20"/>
                <w:szCs w:val="20"/>
                <w:vertAlign w:val="subscript"/>
              </w:rPr>
              <w:t>use</w:t>
            </w:r>
            <w:r w:rsidRPr="00D83000">
              <w:rPr>
                <w:rFonts w:ascii="Sylfaen" w:hAnsi="Sylfaen"/>
                <w:sz w:val="20"/>
                <w:szCs w:val="20"/>
              </w:rPr>
              <w:t xml:space="preserve"> &gt;</w:t>
            </w:r>
          </w:p>
          <w:p w14:paraId="7268275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450լմ</w:t>
            </w:r>
            <w:r w:rsidRPr="00D83000" w:rsidDel="002816D3">
              <w:rPr>
                <w:rFonts w:ascii="Sylfaen" w:hAnsi="Sylfaen"/>
                <w:sz w:val="20"/>
                <w:szCs w:val="20"/>
              </w:rPr>
              <w:t xml:space="preserve"> </w:t>
            </w:r>
            <w:r w:rsidRPr="00D83000">
              <w:rPr>
                <w:rFonts w:ascii="Sylfaen" w:hAnsi="Sylfaen"/>
                <w:sz w:val="20"/>
                <w:szCs w:val="20"/>
              </w:rPr>
              <w:t>՝ 1,75</w:t>
            </w:r>
          </w:p>
        </w:tc>
        <w:tc>
          <w:tcPr>
            <w:tcW w:w="2268" w:type="dxa"/>
            <w:tcBorders>
              <w:top w:val="single" w:sz="4" w:space="0" w:color="auto"/>
            </w:tcBorders>
            <w:shd w:val="clear" w:color="auto" w:fill="FFFFFF"/>
            <w:vAlign w:val="bottom"/>
          </w:tcPr>
          <w:p w14:paraId="20BA4392"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եթե Φ</w:t>
            </w:r>
            <w:r w:rsidRPr="00D83000">
              <w:rPr>
                <w:rFonts w:ascii="Sylfaen" w:hAnsi="Sylfaen"/>
                <w:sz w:val="20"/>
                <w:szCs w:val="20"/>
                <w:vertAlign w:val="subscript"/>
              </w:rPr>
              <w:t>use</w:t>
            </w:r>
            <w:r w:rsidRPr="00D83000">
              <w:rPr>
                <w:rFonts w:ascii="Sylfaen" w:hAnsi="Sylfaen"/>
                <w:sz w:val="20"/>
                <w:szCs w:val="20"/>
              </w:rPr>
              <w:t xml:space="preserve"> ≤ 450լմ՝ 1,20 </w:t>
            </w:r>
          </w:p>
          <w:p w14:paraId="24BF016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եթե Φ</w:t>
            </w:r>
            <w:r w:rsidRPr="00D83000">
              <w:rPr>
                <w:rFonts w:ascii="Sylfaen" w:hAnsi="Sylfaen"/>
                <w:sz w:val="20"/>
                <w:szCs w:val="20"/>
                <w:vertAlign w:val="subscript"/>
              </w:rPr>
              <w:t>use</w:t>
            </w:r>
            <w:r w:rsidRPr="00D83000">
              <w:rPr>
                <w:rFonts w:ascii="Sylfaen" w:hAnsi="Sylfaen"/>
                <w:sz w:val="20"/>
                <w:szCs w:val="20"/>
              </w:rPr>
              <w:t xml:space="preserve"> &gt; 450 լմ՝ 0,95</w:t>
            </w:r>
          </w:p>
        </w:tc>
        <w:tc>
          <w:tcPr>
            <w:tcW w:w="1858" w:type="dxa"/>
            <w:tcBorders>
              <w:top w:val="single" w:sz="4" w:space="0" w:color="auto"/>
            </w:tcBorders>
            <w:shd w:val="clear" w:color="auto" w:fill="FFFFFF"/>
            <w:vAlign w:val="center"/>
          </w:tcPr>
          <w:p w14:paraId="4EA552DC"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w:t>
            </w:r>
          </w:p>
        </w:tc>
        <w:tc>
          <w:tcPr>
            <w:tcW w:w="1800" w:type="dxa"/>
            <w:tcBorders>
              <w:top w:val="single" w:sz="4" w:space="0" w:color="auto"/>
            </w:tcBorders>
            <w:shd w:val="clear" w:color="auto" w:fill="FFFFFF"/>
            <w:vAlign w:val="center"/>
          </w:tcPr>
          <w:p w14:paraId="3768B397"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w:t>
            </w:r>
          </w:p>
        </w:tc>
      </w:tr>
      <w:tr w:rsidR="00CA27E3" w:rsidRPr="00D83000" w14:paraId="078EEEF4" w14:textId="77777777" w:rsidTr="009727B7">
        <w:trPr>
          <w:jc w:val="center"/>
        </w:trPr>
        <w:tc>
          <w:tcPr>
            <w:tcW w:w="1534" w:type="dxa"/>
            <w:shd w:val="clear" w:color="auto" w:fill="FFFFFF"/>
            <w:vAlign w:val="bottom"/>
          </w:tcPr>
          <w:p w14:paraId="12EA593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 2</w:t>
            </w:r>
          </w:p>
        </w:tc>
        <w:tc>
          <w:tcPr>
            <w:tcW w:w="2126" w:type="dxa"/>
            <w:shd w:val="clear" w:color="auto" w:fill="FFFFFF"/>
            <w:vAlign w:val="bottom"/>
          </w:tcPr>
          <w:p w14:paraId="436D3EE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1,75</w:t>
            </w:r>
          </w:p>
        </w:tc>
        <w:tc>
          <w:tcPr>
            <w:tcW w:w="2268" w:type="dxa"/>
            <w:shd w:val="clear" w:color="auto" w:fill="FFFFFF"/>
            <w:vAlign w:val="bottom"/>
          </w:tcPr>
          <w:p w14:paraId="5112753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0,95</w:t>
            </w:r>
          </w:p>
        </w:tc>
        <w:tc>
          <w:tcPr>
            <w:tcW w:w="1858" w:type="dxa"/>
            <w:shd w:val="clear" w:color="auto" w:fill="FFFFFF"/>
            <w:vAlign w:val="center"/>
          </w:tcPr>
          <w:p w14:paraId="4C2878C8"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w:t>
            </w:r>
          </w:p>
        </w:tc>
        <w:tc>
          <w:tcPr>
            <w:tcW w:w="1800" w:type="dxa"/>
            <w:shd w:val="clear" w:color="auto" w:fill="FFFFFF"/>
            <w:vAlign w:val="center"/>
          </w:tcPr>
          <w:p w14:paraId="47AE5F68"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0,50</w:t>
            </w:r>
          </w:p>
        </w:tc>
      </w:tr>
      <w:tr w:rsidR="00CA27E3" w:rsidRPr="00D83000" w14:paraId="3F91E1F2" w14:textId="77777777" w:rsidTr="009727B7">
        <w:trPr>
          <w:jc w:val="center"/>
        </w:trPr>
        <w:tc>
          <w:tcPr>
            <w:tcW w:w="1534" w:type="dxa"/>
            <w:shd w:val="clear" w:color="auto" w:fill="FFFFFF"/>
            <w:vAlign w:val="bottom"/>
          </w:tcPr>
          <w:p w14:paraId="1171B5C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 3</w:t>
            </w:r>
          </w:p>
        </w:tc>
        <w:tc>
          <w:tcPr>
            <w:tcW w:w="2126" w:type="dxa"/>
            <w:shd w:val="clear" w:color="auto" w:fill="FFFFFF"/>
            <w:vAlign w:val="bottom"/>
          </w:tcPr>
          <w:p w14:paraId="52572A1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0,95</w:t>
            </w:r>
          </w:p>
        </w:tc>
        <w:tc>
          <w:tcPr>
            <w:tcW w:w="2268" w:type="dxa"/>
            <w:shd w:val="clear" w:color="auto" w:fill="FFFFFF"/>
            <w:vAlign w:val="bottom"/>
          </w:tcPr>
          <w:p w14:paraId="74F5D6C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0,95</w:t>
            </w:r>
          </w:p>
        </w:tc>
        <w:tc>
          <w:tcPr>
            <w:tcW w:w="1858" w:type="dxa"/>
            <w:shd w:val="clear" w:color="auto" w:fill="FFFFFF"/>
            <w:vAlign w:val="center"/>
          </w:tcPr>
          <w:p w14:paraId="163D226E"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0,360</w:t>
            </w:r>
          </w:p>
        </w:tc>
        <w:tc>
          <w:tcPr>
            <w:tcW w:w="1800" w:type="dxa"/>
            <w:shd w:val="clear" w:color="auto" w:fill="FFFFFF"/>
            <w:vAlign w:val="center"/>
          </w:tcPr>
          <w:p w14:paraId="425E87F0" w14:textId="77777777" w:rsidR="00CA27E3" w:rsidRPr="00D83000" w:rsidRDefault="00CA27E3" w:rsidP="009727B7">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0,20</w:t>
            </w:r>
          </w:p>
        </w:tc>
      </w:tr>
    </w:tbl>
    <w:p w14:paraId="5A95DFFF" w14:textId="77777777" w:rsidR="00CA27E3" w:rsidRPr="00CA27E3" w:rsidRDefault="00CA27E3" w:rsidP="00CA27E3">
      <w:pPr>
        <w:spacing w:after="160" w:line="360" w:lineRule="auto"/>
        <w:rPr>
          <w:rFonts w:ascii="Sylfaen" w:hAnsi="Sylfaen" w:cs="Sylfaen"/>
        </w:rPr>
      </w:pPr>
    </w:p>
    <w:p w14:paraId="42BF26BC"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3. ԳԿԱ-ի էներգաարդյունավետությանը ներկայացվող պահանջները</w:t>
      </w:r>
    </w:p>
    <w:p w14:paraId="3A3DBFC2"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6.</w:t>
      </w:r>
      <w:r w:rsidR="005C50BB" w:rsidRPr="005C50BB">
        <w:rPr>
          <w:rFonts w:ascii="Sylfaen" w:hAnsi="Sylfaen"/>
          <w:sz w:val="24"/>
          <w:szCs w:val="24"/>
        </w:rPr>
        <w:tab/>
      </w:r>
      <w:r w:rsidRPr="00CA27E3">
        <w:rPr>
          <w:rFonts w:ascii="Sylfaen" w:hAnsi="Sylfaen"/>
          <w:sz w:val="24"/>
          <w:szCs w:val="24"/>
        </w:rPr>
        <w:t xml:space="preserve">Սկսած 2-րդ փուլից՝ ԳԿԱ-ի՝ լամպի միացման (անջատման) համար էլեկտրական ցանցի </w:t>
      </w:r>
      <w:r>
        <w:rPr>
          <w:rFonts w:ascii="Sylfaen" w:hAnsi="Sylfaen"/>
          <w:sz w:val="24"/>
          <w:szCs w:val="24"/>
        </w:rPr>
        <w:t>եւ</w:t>
      </w:r>
      <w:r w:rsidRPr="00CA27E3">
        <w:rPr>
          <w:rFonts w:ascii="Sylfaen" w:hAnsi="Sylfaen"/>
          <w:sz w:val="24"/>
          <w:szCs w:val="24"/>
        </w:rPr>
        <w:t xml:space="preserve"> փոխարկիչի միջ</w:t>
      </w:r>
      <w:r>
        <w:rPr>
          <w:rFonts w:ascii="Sylfaen" w:hAnsi="Sylfaen"/>
          <w:sz w:val="24"/>
          <w:szCs w:val="24"/>
        </w:rPr>
        <w:t>եւ</w:t>
      </w:r>
      <w:r w:rsidRPr="00CA27E3">
        <w:rPr>
          <w:rFonts w:ascii="Sylfaen" w:hAnsi="Sylfaen"/>
          <w:sz w:val="24"/>
          <w:szCs w:val="24"/>
        </w:rPr>
        <w:t xml:space="preserve"> օգտագործման համար նախատեսված պարապ ընթացքի հզորությունը չպետք է գերազանցի 1,0 Վտ-ը։</w:t>
      </w:r>
    </w:p>
    <w:p w14:paraId="6DF2379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Սկսած 3-րդ փուլից՝ այդ սահմանը պետք է հավասար լինի 0,50 Վտ-ին։</w:t>
      </w:r>
    </w:p>
    <w:p w14:paraId="004A711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250 Վտ-ից ավելի ելքային հզորությամբ (P) լամպերի ԳԿԱ-ի համար պարապ ընթացքի հզորության սահմանները պետք է բազմապատկվեն P/250 Վտ գործակցով։</w:t>
      </w:r>
    </w:p>
    <w:p w14:paraId="42E1813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Սկսած 3-րդ փուլից՝ լամպերի ԳԿԱ-ի սահմանված հզորությունը չպետք է գերազանցի 0,50 Վտ-ը։</w:t>
      </w:r>
    </w:p>
    <w:p w14:paraId="60269FC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Սկսած 2-րդ փուլից՝ հալոգենային լամպի ԳԿԱ-ի արդյունավետությունը 100</w:t>
      </w:r>
      <w:r w:rsidR="009727B7" w:rsidRPr="009727B7">
        <w:rPr>
          <w:rFonts w:ascii="Sylfaen" w:hAnsi="Sylfaen"/>
          <w:sz w:val="24"/>
          <w:szCs w:val="24"/>
        </w:rPr>
        <w:t> </w:t>
      </w:r>
      <w:r w:rsidRPr="00CA27E3">
        <w:rPr>
          <w:rFonts w:ascii="Sylfaen" w:hAnsi="Sylfaen"/>
          <w:sz w:val="24"/>
          <w:szCs w:val="24"/>
        </w:rPr>
        <w:t>% բեռնվածքի դեպքում պետք է լինի 0,91-ից ոչ պակաս։</w:t>
      </w:r>
    </w:p>
    <w:p w14:paraId="44CC6F22"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71D03D05"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4. Լամպերի բնութագրերին ներկայացվող պահանջները</w:t>
      </w:r>
    </w:p>
    <w:p w14:paraId="5CC1E891"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7.</w:t>
      </w:r>
      <w:r w:rsidR="005C50BB" w:rsidRPr="005C50BB">
        <w:rPr>
          <w:rFonts w:ascii="Sylfaen" w:hAnsi="Sylfaen"/>
          <w:sz w:val="24"/>
          <w:szCs w:val="24"/>
        </w:rPr>
        <w:tab/>
      </w:r>
      <w:r w:rsidRPr="00CA27E3">
        <w:rPr>
          <w:rFonts w:ascii="Sylfaen" w:hAnsi="Sylfaen"/>
          <w:sz w:val="24"/>
          <w:szCs w:val="24"/>
        </w:rPr>
        <w:t>Ուղղորդված լույսի լամպերին ներկայացվող պահանջները՝ բացի լուսադիոդային լամպերից։</w:t>
      </w:r>
    </w:p>
    <w:p w14:paraId="1603F75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Լամպերի բնութագրերին ներկայացվող պահանջները բերված են 3-րդ աղյուսակում՝ ուղղորդված լույսի կոմպակտ լյումինեսցենտային լամպերի համար </w:t>
      </w:r>
      <w:r>
        <w:rPr>
          <w:rFonts w:ascii="Sylfaen" w:hAnsi="Sylfaen"/>
          <w:sz w:val="24"/>
          <w:szCs w:val="24"/>
        </w:rPr>
        <w:t>եւ</w:t>
      </w:r>
      <w:r w:rsidRPr="00CA27E3">
        <w:rPr>
          <w:rFonts w:ascii="Sylfaen" w:hAnsi="Sylfaen"/>
          <w:sz w:val="24"/>
          <w:szCs w:val="24"/>
        </w:rPr>
        <w:t xml:space="preserve"> 4-րդ աղյուսակում՝ ուղղորդված լույսի լամպերի համար՝ բացի կոմպակտ լյումինեսցենտային լամպերից, լուսադիոդային լամպերից </w:t>
      </w:r>
      <w:r>
        <w:rPr>
          <w:rFonts w:ascii="Sylfaen" w:hAnsi="Sylfaen"/>
          <w:sz w:val="24"/>
          <w:szCs w:val="24"/>
        </w:rPr>
        <w:t>եւ</w:t>
      </w:r>
      <w:r w:rsidRPr="00CA27E3">
        <w:rPr>
          <w:rFonts w:ascii="Sylfaen" w:hAnsi="Sylfaen"/>
          <w:sz w:val="24"/>
          <w:szCs w:val="24"/>
        </w:rPr>
        <w:t xml:space="preserve"> բարձր ինտենսիվության պարպումային լամպերից։</w:t>
      </w:r>
    </w:p>
    <w:p w14:paraId="31349754"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p>
    <w:p w14:paraId="499E395F"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t>Աղյուսակ 3</w:t>
      </w:r>
    </w:p>
    <w:p w14:paraId="560BD2C5" w14:textId="77777777" w:rsidR="00CA27E3" w:rsidRPr="00CA27E3" w:rsidRDefault="00CA27E3" w:rsidP="005C50BB">
      <w:pPr>
        <w:pStyle w:val="a2"/>
        <w:shd w:val="clear" w:color="auto" w:fill="auto"/>
        <w:spacing w:after="160" w:line="360" w:lineRule="auto"/>
        <w:ind w:left="567" w:right="566"/>
        <w:jc w:val="center"/>
        <w:rPr>
          <w:rFonts w:ascii="Sylfaen" w:hAnsi="Sylfaen" w:cs="Sylfaen"/>
          <w:sz w:val="24"/>
          <w:szCs w:val="24"/>
        </w:rPr>
      </w:pPr>
      <w:r w:rsidRPr="00CA27E3">
        <w:rPr>
          <w:rFonts w:ascii="Sylfaen" w:hAnsi="Sylfaen"/>
          <w:sz w:val="24"/>
          <w:szCs w:val="24"/>
        </w:rPr>
        <w:t>Ուղղորդված լույսի կոմպակտ լյումինեսցենտային լամպերի բնութագրերին ներկայացվող պահանջները</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2952"/>
        <w:gridCol w:w="3260"/>
        <w:gridCol w:w="3374"/>
      </w:tblGrid>
      <w:tr w:rsidR="00CA27E3" w:rsidRPr="00D83000" w14:paraId="3739D2B5" w14:textId="77777777" w:rsidTr="009727B7">
        <w:trPr>
          <w:jc w:val="center"/>
        </w:trPr>
        <w:tc>
          <w:tcPr>
            <w:tcW w:w="2952" w:type="dxa"/>
            <w:tcBorders>
              <w:top w:val="single" w:sz="4" w:space="0" w:color="auto"/>
              <w:left w:val="single" w:sz="4" w:space="0" w:color="auto"/>
            </w:tcBorders>
            <w:shd w:val="clear" w:color="auto" w:fill="FFFFFF"/>
            <w:vAlign w:val="bottom"/>
          </w:tcPr>
          <w:p w14:paraId="1EA1A09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Բնութագիրը</w:t>
            </w:r>
          </w:p>
        </w:tc>
        <w:tc>
          <w:tcPr>
            <w:tcW w:w="3260" w:type="dxa"/>
            <w:tcBorders>
              <w:top w:val="single" w:sz="4" w:space="0" w:color="auto"/>
              <w:left w:val="single" w:sz="4" w:space="0" w:color="auto"/>
            </w:tcBorders>
            <w:shd w:val="clear" w:color="auto" w:fill="FFFFFF"/>
            <w:vAlign w:val="bottom"/>
          </w:tcPr>
          <w:p w14:paraId="39999BB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 1</w:t>
            </w:r>
          </w:p>
        </w:tc>
        <w:tc>
          <w:tcPr>
            <w:tcW w:w="3374" w:type="dxa"/>
            <w:tcBorders>
              <w:top w:val="single" w:sz="4" w:space="0" w:color="auto"/>
              <w:left w:val="single" w:sz="4" w:space="0" w:color="auto"/>
              <w:right w:val="single" w:sz="4" w:space="0" w:color="auto"/>
            </w:tcBorders>
            <w:shd w:val="clear" w:color="auto" w:fill="FFFFFF"/>
            <w:vAlign w:val="bottom"/>
          </w:tcPr>
          <w:p w14:paraId="54F7886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 3</w:t>
            </w:r>
          </w:p>
        </w:tc>
      </w:tr>
      <w:tr w:rsidR="00CA27E3" w:rsidRPr="00D83000" w14:paraId="03407604" w14:textId="77777777" w:rsidTr="009727B7">
        <w:trPr>
          <w:jc w:val="center"/>
        </w:trPr>
        <w:tc>
          <w:tcPr>
            <w:tcW w:w="2952" w:type="dxa"/>
            <w:tcBorders>
              <w:top w:val="single" w:sz="4" w:space="0" w:color="auto"/>
              <w:left w:val="single" w:sz="4" w:space="0" w:color="auto"/>
            </w:tcBorders>
            <w:shd w:val="clear" w:color="auto" w:fill="FFFFFF"/>
          </w:tcPr>
          <w:p w14:paraId="40552F10"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Պիտանի լամպերի գործակիցը 6 000 ժ-ից հետո</w:t>
            </w:r>
          </w:p>
        </w:tc>
        <w:tc>
          <w:tcPr>
            <w:tcW w:w="3260" w:type="dxa"/>
            <w:tcBorders>
              <w:top w:val="single" w:sz="4" w:space="0" w:color="auto"/>
              <w:left w:val="single" w:sz="4" w:space="0" w:color="auto"/>
            </w:tcBorders>
            <w:shd w:val="clear" w:color="auto" w:fill="FFFFFF"/>
            <w:vAlign w:val="center"/>
          </w:tcPr>
          <w:p w14:paraId="1EFB535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0,50</w:t>
            </w:r>
          </w:p>
        </w:tc>
        <w:tc>
          <w:tcPr>
            <w:tcW w:w="3374" w:type="dxa"/>
            <w:tcBorders>
              <w:top w:val="single" w:sz="4" w:space="0" w:color="auto"/>
              <w:left w:val="single" w:sz="4" w:space="0" w:color="auto"/>
              <w:right w:val="single" w:sz="4" w:space="0" w:color="auto"/>
            </w:tcBorders>
            <w:shd w:val="clear" w:color="auto" w:fill="FFFFFF"/>
            <w:vAlign w:val="center"/>
          </w:tcPr>
          <w:p w14:paraId="2AB8812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0,70</w:t>
            </w:r>
          </w:p>
        </w:tc>
      </w:tr>
      <w:tr w:rsidR="00CA27E3" w:rsidRPr="00D83000" w14:paraId="4176043E" w14:textId="77777777" w:rsidTr="009727B7">
        <w:trPr>
          <w:jc w:val="center"/>
        </w:trPr>
        <w:tc>
          <w:tcPr>
            <w:tcW w:w="2952" w:type="dxa"/>
            <w:tcBorders>
              <w:top w:val="single" w:sz="4" w:space="0" w:color="auto"/>
              <w:left w:val="single" w:sz="4" w:space="0" w:color="auto"/>
            </w:tcBorders>
            <w:shd w:val="clear" w:color="auto" w:fill="FFFFFF"/>
            <w:vAlign w:val="center"/>
          </w:tcPr>
          <w:p w14:paraId="5AFC22AF"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Լուսային հոսքի կայունության գործակիցը</w:t>
            </w:r>
          </w:p>
        </w:tc>
        <w:tc>
          <w:tcPr>
            <w:tcW w:w="3260" w:type="dxa"/>
            <w:tcBorders>
              <w:top w:val="single" w:sz="4" w:space="0" w:color="auto"/>
              <w:left w:val="single" w:sz="4" w:space="0" w:color="auto"/>
            </w:tcBorders>
            <w:shd w:val="clear" w:color="auto" w:fill="FFFFFF"/>
            <w:vAlign w:val="center"/>
          </w:tcPr>
          <w:p w14:paraId="15CB8C5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2 000 ժ-ի դեպքում՝ ≥ 0,80 %</w:t>
            </w:r>
          </w:p>
        </w:tc>
        <w:tc>
          <w:tcPr>
            <w:tcW w:w="3374" w:type="dxa"/>
            <w:tcBorders>
              <w:top w:val="single" w:sz="4" w:space="0" w:color="auto"/>
              <w:left w:val="single" w:sz="4" w:space="0" w:color="auto"/>
              <w:right w:val="single" w:sz="4" w:space="0" w:color="auto"/>
            </w:tcBorders>
            <w:shd w:val="clear" w:color="auto" w:fill="FFFFFF"/>
            <w:vAlign w:val="center"/>
          </w:tcPr>
          <w:p w14:paraId="3CD48EC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2 000 ժ-ի դեպքում՝ ≥ 0,83 % </w:t>
            </w:r>
            <w:r w:rsidR="009727B7" w:rsidRPr="009727B7">
              <w:rPr>
                <w:rFonts w:ascii="Sylfaen" w:hAnsi="Sylfaen"/>
                <w:sz w:val="20"/>
                <w:szCs w:val="20"/>
              </w:rPr>
              <w:br/>
            </w:r>
            <w:r w:rsidRPr="00D83000">
              <w:rPr>
                <w:rFonts w:ascii="Sylfaen" w:hAnsi="Sylfaen"/>
                <w:sz w:val="20"/>
                <w:szCs w:val="20"/>
              </w:rPr>
              <w:t>6 000 ժ-ի դեպքում՝ ≥ 0,70 %</w:t>
            </w:r>
          </w:p>
        </w:tc>
      </w:tr>
      <w:tr w:rsidR="00CA27E3" w:rsidRPr="00D83000" w14:paraId="78D3FDDA" w14:textId="77777777" w:rsidTr="009727B7">
        <w:trPr>
          <w:jc w:val="center"/>
        </w:trPr>
        <w:tc>
          <w:tcPr>
            <w:tcW w:w="2952" w:type="dxa"/>
            <w:tcBorders>
              <w:top w:val="single" w:sz="4" w:space="0" w:color="auto"/>
              <w:left w:val="single" w:sz="4" w:space="0" w:color="auto"/>
            </w:tcBorders>
            <w:shd w:val="clear" w:color="auto" w:fill="FFFFFF"/>
            <w:vAlign w:val="center"/>
          </w:tcPr>
          <w:p w14:paraId="678D8ED8"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Փոխարկումների քանակը՝ մինչեւ խափանումը</w:t>
            </w:r>
          </w:p>
        </w:tc>
        <w:tc>
          <w:tcPr>
            <w:tcW w:w="3260" w:type="dxa"/>
            <w:tcBorders>
              <w:top w:val="single" w:sz="4" w:space="0" w:color="auto"/>
              <w:left w:val="single" w:sz="4" w:space="0" w:color="auto"/>
            </w:tcBorders>
            <w:shd w:val="clear" w:color="auto" w:fill="FFFFFF"/>
            <w:vAlign w:val="bottom"/>
          </w:tcPr>
          <w:p w14:paraId="3CADE9E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լամպի ծառայության ժամկետի կեսին՝ ժամով</w:t>
            </w:r>
          </w:p>
          <w:p w14:paraId="76F24EC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10 000, եթե լամպի վառքի ժամանակը &gt; 0,3 վրկ</w:t>
            </w:r>
          </w:p>
        </w:tc>
        <w:tc>
          <w:tcPr>
            <w:tcW w:w="3374" w:type="dxa"/>
            <w:tcBorders>
              <w:top w:val="single" w:sz="4" w:space="0" w:color="auto"/>
              <w:left w:val="single" w:sz="4" w:space="0" w:color="auto"/>
              <w:right w:val="single" w:sz="4" w:space="0" w:color="auto"/>
            </w:tcBorders>
            <w:shd w:val="clear" w:color="auto" w:fill="FFFFFF"/>
            <w:vAlign w:val="bottom"/>
          </w:tcPr>
          <w:p w14:paraId="48C513A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լամպի ծառայության ժամկետին (ժ-ով)</w:t>
            </w:r>
          </w:p>
          <w:p w14:paraId="4B9045D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 30 000, եթե վառքի </w:t>
            </w:r>
            <w:r w:rsidR="009727B7" w:rsidRPr="009727B7">
              <w:rPr>
                <w:rFonts w:ascii="Sylfaen" w:hAnsi="Sylfaen"/>
                <w:sz w:val="20"/>
                <w:szCs w:val="20"/>
              </w:rPr>
              <w:br/>
            </w:r>
            <w:r w:rsidRPr="00D83000">
              <w:rPr>
                <w:rFonts w:ascii="Sylfaen" w:hAnsi="Sylfaen"/>
                <w:sz w:val="20"/>
                <w:szCs w:val="20"/>
              </w:rPr>
              <w:t>ժամանակը &gt; 0,3 վրկ</w:t>
            </w:r>
          </w:p>
        </w:tc>
      </w:tr>
      <w:tr w:rsidR="00CA27E3" w:rsidRPr="00D83000" w14:paraId="29BD6273" w14:textId="77777777" w:rsidTr="009727B7">
        <w:trPr>
          <w:jc w:val="center"/>
        </w:trPr>
        <w:tc>
          <w:tcPr>
            <w:tcW w:w="2952" w:type="dxa"/>
            <w:tcBorders>
              <w:top w:val="single" w:sz="4" w:space="0" w:color="auto"/>
              <w:left w:val="single" w:sz="4" w:space="0" w:color="auto"/>
            </w:tcBorders>
            <w:shd w:val="clear" w:color="auto" w:fill="FFFFFF"/>
            <w:vAlign w:val="center"/>
          </w:tcPr>
          <w:p w14:paraId="77BE8F99"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Վառքի ժամանակը</w:t>
            </w:r>
          </w:p>
        </w:tc>
        <w:tc>
          <w:tcPr>
            <w:tcW w:w="3260" w:type="dxa"/>
            <w:tcBorders>
              <w:top w:val="single" w:sz="4" w:space="0" w:color="auto"/>
              <w:left w:val="single" w:sz="4" w:space="0" w:color="auto"/>
            </w:tcBorders>
            <w:shd w:val="clear" w:color="auto" w:fill="FFFFFF"/>
            <w:vAlign w:val="center"/>
          </w:tcPr>
          <w:p w14:paraId="6497E71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2,0 վրկ</w:t>
            </w:r>
          </w:p>
        </w:tc>
        <w:tc>
          <w:tcPr>
            <w:tcW w:w="3374" w:type="dxa"/>
            <w:tcBorders>
              <w:top w:val="single" w:sz="4" w:space="0" w:color="auto"/>
              <w:left w:val="single" w:sz="4" w:space="0" w:color="auto"/>
              <w:right w:val="single" w:sz="4" w:space="0" w:color="auto"/>
            </w:tcBorders>
            <w:shd w:val="clear" w:color="auto" w:fill="FFFFFF"/>
            <w:vAlign w:val="bottom"/>
          </w:tcPr>
          <w:p w14:paraId="3288C5E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1,5 վրկ, եթե P &lt; 10 Վտ</w:t>
            </w:r>
          </w:p>
          <w:p w14:paraId="441D0E6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1,0 վրկ, եթե P ≥ 10 Վտ</w:t>
            </w:r>
          </w:p>
        </w:tc>
      </w:tr>
      <w:tr w:rsidR="00CA27E3" w:rsidRPr="00D83000" w14:paraId="2A7D2297" w14:textId="77777777" w:rsidTr="009727B7">
        <w:trPr>
          <w:jc w:val="center"/>
        </w:trPr>
        <w:tc>
          <w:tcPr>
            <w:tcW w:w="2952" w:type="dxa"/>
            <w:tcBorders>
              <w:top w:val="single" w:sz="4" w:space="0" w:color="auto"/>
              <w:left w:val="single" w:sz="4" w:space="0" w:color="auto"/>
              <w:bottom w:val="single" w:sz="4" w:space="0" w:color="auto"/>
            </w:tcBorders>
            <w:shd w:val="clear" w:color="auto" w:fill="FFFFFF"/>
            <w:vAlign w:val="bottom"/>
          </w:tcPr>
          <w:p w14:paraId="6176ACFE"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Թեժացման ժամանակը՝ մինչեւ 60 %, Φ</w:t>
            </w:r>
          </w:p>
        </w:tc>
        <w:tc>
          <w:tcPr>
            <w:tcW w:w="3260" w:type="dxa"/>
            <w:tcBorders>
              <w:top w:val="single" w:sz="4" w:space="0" w:color="auto"/>
              <w:left w:val="single" w:sz="4" w:space="0" w:color="auto"/>
              <w:bottom w:val="single" w:sz="4" w:space="0" w:color="auto"/>
            </w:tcBorders>
            <w:shd w:val="clear" w:color="auto" w:fill="FFFFFF"/>
            <w:vAlign w:val="bottom"/>
          </w:tcPr>
          <w:p w14:paraId="20D7769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40,0 վրկ կամ &lt; 100 վրկ՝ ամալգամի ձեւով սնդիկ պարունակող լամպերի համար</w:t>
            </w:r>
          </w:p>
        </w:tc>
        <w:tc>
          <w:tcPr>
            <w:tcW w:w="3374" w:type="dxa"/>
            <w:tcBorders>
              <w:top w:val="single" w:sz="4" w:space="0" w:color="auto"/>
              <w:left w:val="single" w:sz="4" w:space="0" w:color="auto"/>
              <w:bottom w:val="single" w:sz="4" w:space="0" w:color="auto"/>
              <w:right w:val="single" w:sz="4" w:space="0" w:color="auto"/>
            </w:tcBorders>
            <w:shd w:val="clear" w:color="auto" w:fill="FFFFFF"/>
            <w:vAlign w:val="bottom"/>
          </w:tcPr>
          <w:p w14:paraId="04ED9BC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40 վրկ-ից կամ &lt; 100 վրկ-ից՝ ամալգամի ձեւով սնդիկ պարունակող լամպերի համար</w:t>
            </w:r>
          </w:p>
        </w:tc>
      </w:tr>
      <w:tr w:rsidR="00CA27E3" w:rsidRPr="00D83000" w14:paraId="52B9B30F" w14:textId="77777777" w:rsidTr="009727B7">
        <w:trPr>
          <w:jc w:val="center"/>
        </w:trPr>
        <w:tc>
          <w:tcPr>
            <w:tcW w:w="2952" w:type="dxa"/>
            <w:tcBorders>
              <w:top w:val="single" w:sz="4" w:space="0" w:color="auto"/>
              <w:left w:val="single" w:sz="4" w:space="0" w:color="auto"/>
            </w:tcBorders>
            <w:shd w:val="clear" w:color="auto" w:fill="FFFFFF"/>
            <w:vAlign w:val="center"/>
          </w:tcPr>
          <w:p w14:paraId="1DA4CEC7"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Ժամանակից շուտ խափանումների հաճախականությունը</w:t>
            </w:r>
          </w:p>
        </w:tc>
        <w:tc>
          <w:tcPr>
            <w:tcW w:w="3260" w:type="dxa"/>
            <w:tcBorders>
              <w:top w:val="single" w:sz="4" w:space="0" w:color="auto"/>
              <w:left w:val="single" w:sz="4" w:space="0" w:color="auto"/>
            </w:tcBorders>
            <w:shd w:val="clear" w:color="auto" w:fill="FFFFFF"/>
            <w:vAlign w:val="center"/>
          </w:tcPr>
          <w:p w14:paraId="569D6C8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5,0 %</w:t>
            </w:r>
            <w:r w:rsidRPr="00D83000" w:rsidDel="001B2FE1">
              <w:rPr>
                <w:rFonts w:ascii="Sylfaen" w:hAnsi="Sylfaen"/>
                <w:sz w:val="20"/>
                <w:szCs w:val="20"/>
              </w:rPr>
              <w:t xml:space="preserve"> </w:t>
            </w:r>
            <w:r w:rsidRPr="00D83000">
              <w:rPr>
                <w:rFonts w:ascii="Sylfaen" w:hAnsi="Sylfaen"/>
                <w:sz w:val="20"/>
                <w:szCs w:val="20"/>
              </w:rPr>
              <w:t>՝ 500 ժ-ի դեպքում</w:t>
            </w:r>
          </w:p>
        </w:tc>
        <w:tc>
          <w:tcPr>
            <w:tcW w:w="3374" w:type="dxa"/>
            <w:tcBorders>
              <w:top w:val="single" w:sz="4" w:space="0" w:color="auto"/>
              <w:left w:val="single" w:sz="4" w:space="0" w:color="auto"/>
              <w:right w:val="single" w:sz="4" w:space="0" w:color="auto"/>
            </w:tcBorders>
            <w:shd w:val="clear" w:color="auto" w:fill="FFFFFF"/>
            <w:vAlign w:val="center"/>
          </w:tcPr>
          <w:p w14:paraId="705A494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5,0 %</w:t>
            </w:r>
            <w:r w:rsidRPr="00D83000" w:rsidDel="001B2FE1">
              <w:rPr>
                <w:rFonts w:ascii="Sylfaen" w:hAnsi="Sylfaen"/>
                <w:sz w:val="20"/>
                <w:szCs w:val="20"/>
              </w:rPr>
              <w:t xml:space="preserve"> </w:t>
            </w:r>
            <w:r w:rsidRPr="00D83000">
              <w:rPr>
                <w:rFonts w:ascii="Sylfaen" w:hAnsi="Sylfaen"/>
                <w:sz w:val="20"/>
                <w:szCs w:val="20"/>
              </w:rPr>
              <w:t>՝ 1,000 ժ-ի դեպքում</w:t>
            </w:r>
          </w:p>
        </w:tc>
      </w:tr>
      <w:tr w:rsidR="00CA27E3" w:rsidRPr="00D83000" w14:paraId="2802A5B6" w14:textId="77777777" w:rsidTr="009727B7">
        <w:trPr>
          <w:jc w:val="center"/>
        </w:trPr>
        <w:tc>
          <w:tcPr>
            <w:tcW w:w="2952" w:type="dxa"/>
            <w:tcBorders>
              <w:top w:val="single" w:sz="4" w:space="0" w:color="auto"/>
              <w:left w:val="single" w:sz="4" w:space="0" w:color="auto"/>
            </w:tcBorders>
            <w:shd w:val="clear" w:color="auto" w:fill="FFFFFF"/>
            <w:vAlign w:val="bottom"/>
          </w:tcPr>
          <w:p w14:paraId="39171BF1"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Ներկառուցված ԳԿԱ-ով լամպերի համար լամպի հզորության գործակիցը</w:t>
            </w:r>
          </w:p>
        </w:tc>
        <w:tc>
          <w:tcPr>
            <w:tcW w:w="3260" w:type="dxa"/>
            <w:tcBorders>
              <w:top w:val="single" w:sz="4" w:space="0" w:color="auto"/>
              <w:left w:val="single" w:sz="4" w:space="0" w:color="auto"/>
            </w:tcBorders>
            <w:shd w:val="clear" w:color="auto" w:fill="FFFFFF"/>
            <w:vAlign w:val="center"/>
          </w:tcPr>
          <w:p w14:paraId="4697D00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 0,50, եթե P &lt; 25 Վտ </w:t>
            </w:r>
            <w:r w:rsidR="009727B7" w:rsidRPr="009727B7">
              <w:rPr>
                <w:rFonts w:ascii="Sylfaen" w:hAnsi="Sylfaen"/>
                <w:sz w:val="20"/>
                <w:szCs w:val="20"/>
              </w:rPr>
              <w:br/>
            </w:r>
            <w:r w:rsidRPr="00D83000">
              <w:rPr>
                <w:rFonts w:ascii="Sylfaen" w:hAnsi="Sylfaen"/>
                <w:sz w:val="20"/>
                <w:szCs w:val="20"/>
              </w:rPr>
              <w:t>≥ 0,90 եթե P ≥ 25 Վտ</w:t>
            </w:r>
          </w:p>
        </w:tc>
        <w:tc>
          <w:tcPr>
            <w:tcW w:w="3374" w:type="dxa"/>
            <w:tcBorders>
              <w:top w:val="single" w:sz="4" w:space="0" w:color="auto"/>
              <w:left w:val="single" w:sz="4" w:space="0" w:color="auto"/>
              <w:right w:val="single" w:sz="4" w:space="0" w:color="auto"/>
            </w:tcBorders>
            <w:shd w:val="clear" w:color="auto" w:fill="FFFFFF"/>
            <w:vAlign w:val="center"/>
          </w:tcPr>
          <w:p w14:paraId="49158B5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0,55, եթե P &lt; 25 Վտ</w:t>
            </w:r>
          </w:p>
          <w:p w14:paraId="5A8E814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0,90, եթե P ≥ 25 Վտ</w:t>
            </w:r>
          </w:p>
        </w:tc>
      </w:tr>
      <w:tr w:rsidR="00CA27E3" w:rsidRPr="00D83000" w14:paraId="038272B1" w14:textId="77777777" w:rsidTr="009727B7">
        <w:trPr>
          <w:jc w:val="center"/>
        </w:trPr>
        <w:tc>
          <w:tcPr>
            <w:tcW w:w="2952" w:type="dxa"/>
            <w:tcBorders>
              <w:top w:val="single" w:sz="4" w:space="0" w:color="auto"/>
              <w:left w:val="single" w:sz="4" w:space="0" w:color="auto"/>
            </w:tcBorders>
            <w:shd w:val="clear" w:color="auto" w:fill="FFFFFF"/>
          </w:tcPr>
          <w:p w14:paraId="089C08F1" w14:textId="77777777" w:rsidR="00CA27E3" w:rsidRPr="00D83000" w:rsidRDefault="00CA27E3" w:rsidP="00D83000">
            <w:pPr>
              <w:spacing w:after="120"/>
              <w:rPr>
                <w:rFonts w:ascii="Sylfaen" w:hAnsi="Sylfaen" w:cs="Sylfaen"/>
                <w:sz w:val="20"/>
                <w:szCs w:val="20"/>
              </w:rPr>
            </w:pPr>
          </w:p>
        </w:tc>
        <w:tc>
          <w:tcPr>
            <w:tcW w:w="3260" w:type="dxa"/>
            <w:tcBorders>
              <w:top w:val="single" w:sz="4" w:space="0" w:color="auto"/>
              <w:left w:val="single" w:sz="4" w:space="0" w:color="auto"/>
            </w:tcBorders>
            <w:shd w:val="clear" w:color="auto" w:fill="FFFFFF"/>
            <w:vAlign w:val="center"/>
          </w:tcPr>
          <w:p w14:paraId="650FC68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c>
          <w:tcPr>
            <w:tcW w:w="3374" w:type="dxa"/>
            <w:tcBorders>
              <w:top w:val="single" w:sz="4" w:space="0" w:color="auto"/>
              <w:left w:val="single" w:sz="4" w:space="0" w:color="auto"/>
              <w:right w:val="single" w:sz="4" w:space="0" w:color="auto"/>
            </w:tcBorders>
            <w:shd w:val="clear" w:color="auto" w:fill="FFFFFF"/>
            <w:vAlign w:val="center"/>
          </w:tcPr>
          <w:p w14:paraId="293F7BF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w:t>
            </w:r>
          </w:p>
        </w:tc>
      </w:tr>
      <w:tr w:rsidR="00CA27E3" w:rsidRPr="00D83000" w14:paraId="0FEBE5E2" w14:textId="77777777" w:rsidTr="009727B7">
        <w:trPr>
          <w:jc w:val="center"/>
        </w:trPr>
        <w:tc>
          <w:tcPr>
            <w:tcW w:w="2952" w:type="dxa"/>
            <w:tcBorders>
              <w:left w:val="single" w:sz="4" w:space="0" w:color="auto"/>
              <w:bottom w:val="single" w:sz="4" w:space="0" w:color="auto"/>
            </w:tcBorders>
            <w:shd w:val="clear" w:color="auto" w:fill="FFFFFF"/>
            <w:vAlign w:val="center"/>
          </w:tcPr>
          <w:p w14:paraId="3E76B53C"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Գունահաղորդման ցուցիչը (Ra)</w:t>
            </w:r>
          </w:p>
        </w:tc>
        <w:tc>
          <w:tcPr>
            <w:tcW w:w="3260" w:type="dxa"/>
            <w:tcBorders>
              <w:left w:val="single" w:sz="4" w:space="0" w:color="auto"/>
              <w:bottom w:val="single" w:sz="4" w:space="0" w:color="auto"/>
            </w:tcBorders>
            <w:shd w:val="clear" w:color="auto" w:fill="FFFFFF"/>
            <w:vAlign w:val="bottom"/>
          </w:tcPr>
          <w:p w14:paraId="6B139CD4" w14:textId="77777777" w:rsidR="00CA27E3" w:rsidRPr="00D83000" w:rsidRDefault="00CA27E3" w:rsidP="009727B7">
            <w:pPr>
              <w:pStyle w:val="a4"/>
              <w:shd w:val="clear" w:color="auto" w:fill="auto"/>
              <w:spacing w:after="120" w:line="240" w:lineRule="auto"/>
              <w:ind w:right="132" w:firstLine="0"/>
              <w:jc w:val="center"/>
              <w:rPr>
                <w:rFonts w:ascii="Sylfaen" w:hAnsi="Sylfaen" w:cs="Sylfaen"/>
                <w:sz w:val="20"/>
                <w:szCs w:val="20"/>
              </w:rPr>
            </w:pPr>
            <w:r w:rsidRPr="00D83000">
              <w:rPr>
                <w:rFonts w:ascii="Sylfaen" w:hAnsi="Sylfaen"/>
                <w:sz w:val="20"/>
                <w:szCs w:val="20"/>
              </w:rPr>
              <w:t>≥ 65, եթե լամպը նախատեսված է արտաքին լուսավորման կամ արդյունաբերական կիրառության համար</w:t>
            </w:r>
          </w:p>
        </w:tc>
        <w:tc>
          <w:tcPr>
            <w:tcW w:w="3374" w:type="dxa"/>
            <w:tcBorders>
              <w:left w:val="single" w:sz="4" w:space="0" w:color="auto"/>
              <w:bottom w:val="single" w:sz="4" w:space="0" w:color="auto"/>
              <w:right w:val="single" w:sz="4" w:space="0" w:color="auto"/>
            </w:tcBorders>
            <w:shd w:val="clear" w:color="auto" w:fill="FFFFFF"/>
            <w:vAlign w:val="bottom"/>
          </w:tcPr>
          <w:p w14:paraId="6A746FA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65, եթե լամպը նախատեսված է արտաքին կամ արդյունաբերական կիրառության համար</w:t>
            </w:r>
          </w:p>
        </w:tc>
      </w:tr>
    </w:tbl>
    <w:p w14:paraId="67DED9E1" w14:textId="77777777" w:rsidR="00CA27E3" w:rsidRPr="003D2C38" w:rsidRDefault="00CA27E3" w:rsidP="00CA27E3">
      <w:pPr>
        <w:spacing w:after="160" w:line="360" w:lineRule="auto"/>
        <w:rPr>
          <w:rFonts w:ascii="Sylfaen" w:hAnsi="Sylfaen" w:cs="Sylfaen"/>
        </w:rPr>
      </w:pPr>
    </w:p>
    <w:p w14:paraId="6B597137" w14:textId="77777777" w:rsidR="009727B7" w:rsidRPr="003D2C38" w:rsidRDefault="009727B7" w:rsidP="00CA27E3">
      <w:pPr>
        <w:spacing w:after="160" w:line="360" w:lineRule="auto"/>
        <w:rPr>
          <w:rFonts w:ascii="Sylfaen" w:hAnsi="Sylfaen" w:cs="Sylfaen"/>
        </w:rPr>
      </w:pPr>
    </w:p>
    <w:p w14:paraId="61593B1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Եթե լամպակոթը դասվում է ստանդարտ տիպին </w:t>
      </w:r>
      <w:r>
        <w:rPr>
          <w:rFonts w:ascii="Sylfaen" w:hAnsi="Sylfaen"/>
          <w:sz w:val="24"/>
          <w:szCs w:val="24"/>
        </w:rPr>
        <w:t>եւ</w:t>
      </w:r>
      <w:r w:rsidRPr="00CA27E3">
        <w:rPr>
          <w:rFonts w:ascii="Sylfaen" w:hAnsi="Sylfaen"/>
          <w:sz w:val="24"/>
          <w:szCs w:val="24"/>
        </w:rPr>
        <w:t xml:space="preserve"> օգտագործվում է նա</w:t>
      </w:r>
      <w:r>
        <w:rPr>
          <w:rFonts w:ascii="Sylfaen" w:hAnsi="Sylfaen"/>
          <w:sz w:val="24"/>
          <w:szCs w:val="24"/>
        </w:rPr>
        <w:t>եւ</w:t>
      </w:r>
      <w:r w:rsidRPr="00CA27E3">
        <w:rPr>
          <w:rFonts w:ascii="Sylfaen" w:hAnsi="Sylfaen"/>
          <w:sz w:val="24"/>
          <w:szCs w:val="24"/>
        </w:rPr>
        <w:t xml:space="preserve"> շիկացման լամպերի հետ, ապա, սկսած 2-րդ փուլից, լամպը պետք է համապատասխանի ցանցի </w:t>
      </w:r>
      <w:r>
        <w:rPr>
          <w:rFonts w:ascii="Sylfaen" w:hAnsi="Sylfaen"/>
          <w:sz w:val="24"/>
          <w:szCs w:val="24"/>
        </w:rPr>
        <w:t>եւ</w:t>
      </w:r>
      <w:r w:rsidRPr="00CA27E3">
        <w:rPr>
          <w:rFonts w:ascii="Sylfaen" w:hAnsi="Sylfaen"/>
          <w:sz w:val="24"/>
          <w:szCs w:val="24"/>
        </w:rPr>
        <w:t xml:space="preserve"> շիկացման լամպերի միջ</w:t>
      </w:r>
      <w:r>
        <w:rPr>
          <w:rFonts w:ascii="Sylfaen" w:hAnsi="Sylfaen"/>
          <w:sz w:val="24"/>
          <w:szCs w:val="24"/>
        </w:rPr>
        <w:t>եւ</w:t>
      </w:r>
      <w:r w:rsidRPr="00CA27E3">
        <w:rPr>
          <w:rFonts w:ascii="Sylfaen" w:hAnsi="Sylfaen"/>
          <w:sz w:val="24"/>
          <w:szCs w:val="24"/>
        </w:rPr>
        <w:t xml:space="preserve"> տեղակայման համար նախատեսված սարքավորումների հետ համատեղելիությանը ներկայացվող պահանջների ժամանակակից մակարդակին։</w:t>
      </w:r>
    </w:p>
    <w:p w14:paraId="373C178D" w14:textId="77777777" w:rsidR="009727B7" w:rsidRPr="003D2C38" w:rsidRDefault="009727B7" w:rsidP="00CA27E3">
      <w:pPr>
        <w:pStyle w:val="a0"/>
        <w:shd w:val="clear" w:color="auto" w:fill="auto"/>
        <w:spacing w:after="160"/>
        <w:ind w:right="360" w:firstLine="0"/>
        <w:jc w:val="right"/>
        <w:rPr>
          <w:rFonts w:ascii="Sylfaen" w:hAnsi="Sylfaen"/>
          <w:sz w:val="24"/>
          <w:szCs w:val="24"/>
        </w:rPr>
      </w:pPr>
    </w:p>
    <w:p w14:paraId="17605949" w14:textId="77777777" w:rsidR="00CA27E3" w:rsidRPr="00CA27E3" w:rsidRDefault="00CA27E3" w:rsidP="00CA27E3">
      <w:pPr>
        <w:pStyle w:val="a0"/>
        <w:shd w:val="clear" w:color="auto" w:fill="auto"/>
        <w:spacing w:after="160"/>
        <w:ind w:right="360" w:firstLine="0"/>
        <w:jc w:val="right"/>
        <w:rPr>
          <w:rFonts w:ascii="Sylfaen" w:hAnsi="Sylfaen" w:cs="Sylfaen"/>
          <w:sz w:val="24"/>
          <w:szCs w:val="24"/>
        </w:rPr>
      </w:pPr>
      <w:r w:rsidRPr="00CA27E3">
        <w:rPr>
          <w:rFonts w:ascii="Sylfaen" w:hAnsi="Sylfaen"/>
          <w:sz w:val="24"/>
          <w:szCs w:val="24"/>
        </w:rPr>
        <w:t>Աղյուսակ 4</w:t>
      </w:r>
    </w:p>
    <w:p w14:paraId="664E0FEC" w14:textId="77777777" w:rsidR="00CA27E3" w:rsidRPr="00CA27E3" w:rsidRDefault="00CA27E3" w:rsidP="005C50BB">
      <w:pPr>
        <w:pStyle w:val="a0"/>
        <w:shd w:val="clear" w:color="auto" w:fill="auto"/>
        <w:spacing w:after="160"/>
        <w:ind w:right="-1" w:firstLine="0"/>
        <w:jc w:val="center"/>
        <w:rPr>
          <w:rFonts w:ascii="Sylfaen" w:hAnsi="Sylfaen" w:cs="Sylfaen"/>
          <w:sz w:val="24"/>
          <w:szCs w:val="24"/>
        </w:rPr>
      </w:pPr>
      <w:r w:rsidRPr="00CA27E3">
        <w:rPr>
          <w:rFonts w:ascii="Sylfaen" w:hAnsi="Sylfaen"/>
          <w:sz w:val="24"/>
          <w:szCs w:val="24"/>
        </w:rPr>
        <w:t xml:space="preserve">Ուղղորդված լույսի այլ լամպերի բնութագրերին ներկայացվող պահանջները (բացի լուսադիոդային լամպերից, կոմպակտ լուսադիոդային լամպերից </w:t>
      </w:r>
      <w:r>
        <w:rPr>
          <w:rFonts w:ascii="Sylfaen" w:hAnsi="Sylfaen"/>
          <w:sz w:val="24"/>
          <w:szCs w:val="24"/>
        </w:rPr>
        <w:t>եւ</w:t>
      </w:r>
      <w:r w:rsidRPr="00CA27E3">
        <w:rPr>
          <w:rFonts w:ascii="Sylfaen" w:hAnsi="Sylfaen"/>
          <w:sz w:val="24"/>
          <w:szCs w:val="24"/>
        </w:rPr>
        <w:t xml:space="preserve"> բարձր ինտենսիվության պարպումային լամպերից)</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3202"/>
        <w:gridCol w:w="3192"/>
        <w:gridCol w:w="3192"/>
      </w:tblGrid>
      <w:tr w:rsidR="00CA27E3" w:rsidRPr="00D83000" w14:paraId="78CC9ECA" w14:textId="77777777" w:rsidTr="00CA27E3">
        <w:trPr>
          <w:jc w:val="center"/>
        </w:trPr>
        <w:tc>
          <w:tcPr>
            <w:tcW w:w="3202" w:type="dxa"/>
            <w:tcBorders>
              <w:top w:val="single" w:sz="4" w:space="0" w:color="auto"/>
              <w:left w:val="single" w:sz="4" w:space="0" w:color="auto"/>
            </w:tcBorders>
            <w:shd w:val="clear" w:color="auto" w:fill="FFFFFF"/>
            <w:vAlign w:val="bottom"/>
          </w:tcPr>
          <w:p w14:paraId="5BC5B8B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Բնութագիրը</w:t>
            </w:r>
          </w:p>
        </w:tc>
        <w:tc>
          <w:tcPr>
            <w:tcW w:w="3192" w:type="dxa"/>
            <w:tcBorders>
              <w:top w:val="single" w:sz="4" w:space="0" w:color="auto"/>
              <w:left w:val="single" w:sz="4" w:space="0" w:color="auto"/>
            </w:tcBorders>
            <w:shd w:val="clear" w:color="auto" w:fill="FFFFFF"/>
            <w:vAlign w:val="bottom"/>
          </w:tcPr>
          <w:p w14:paraId="4B4CE2A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1-ին եւ 2-րդ փուլերը</w:t>
            </w:r>
          </w:p>
        </w:tc>
        <w:tc>
          <w:tcPr>
            <w:tcW w:w="3192" w:type="dxa"/>
            <w:tcBorders>
              <w:top w:val="single" w:sz="4" w:space="0" w:color="auto"/>
              <w:left w:val="single" w:sz="4" w:space="0" w:color="auto"/>
              <w:right w:val="single" w:sz="4" w:space="0" w:color="auto"/>
            </w:tcBorders>
            <w:shd w:val="clear" w:color="auto" w:fill="FFFFFF"/>
            <w:vAlign w:val="bottom"/>
          </w:tcPr>
          <w:p w14:paraId="5F9F2EA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Փուլ 3</w:t>
            </w:r>
          </w:p>
        </w:tc>
      </w:tr>
      <w:tr w:rsidR="00CA27E3" w:rsidRPr="00D83000" w14:paraId="51C0DC4E" w14:textId="77777777" w:rsidTr="00CA27E3">
        <w:trPr>
          <w:jc w:val="center"/>
        </w:trPr>
        <w:tc>
          <w:tcPr>
            <w:tcW w:w="3202" w:type="dxa"/>
            <w:tcBorders>
              <w:top w:val="single" w:sz="4" w:space="0" w:color="auto"/>
              <w:left w:val="single" w:sz="4" w:space="0" w:color="auto"/>
            </w:tcBorders>
            <w:shd w:val="clear" w:color="auto" w:fill="FFFFFF"/>
          </w:tcPr>
          <w:p w14:paraId="5CF4B673"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 xml:space="preserve">Լամպի ծառայության անվանական ժամկետը՝ պիտանի լամպերի 50 % գործակցի դեպքում </w:t>
            </w:r>
          </w:p>
        </w:tc>
        <w:tc>
          <w:tcPr>
            <w:tcW w:w="3192" w:type="dxa"/>
            <w:tcBorders>
              <w:top w:val="single" w:sz="4" w:space="0" w:color="auto"/>
              <w:left w:val="single" w:sz="4" w:space="0" w:color="auto"/>
            </w:tcBorders>
            <w:shd w:val="clear" w:color="auto" w:fill="FFFFFF"/>
            <w:vAlign w:val="bottom"/>
          </w:tcPr>
          <w:p w14:paraId="3308386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1 000 ժ ( ≥ 2 000 ժ՝ 2-րդ փուլում)</w:t>
            </w:r>
          </w:p>
          <w:p w14:paraId="5D68FDC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2 000 ժ՝ գերցածր լարման լամպերի համար, որոնք չեն համապատասխանում շիկացման լամպերի արդյունավետությանը ներկայացվող 3-րդ փուլի պահանջներին՝ սույն պահանջների 2-րդ աղյուսակին համապատասխան</w:t>
            </w:r>
          </w:p>
        </w:tc>
        <w:tc>
          <w:tcPr>
            <w:tcW w:w="3192" w:type="dxa"/>
            <w:tcBorders>
              <w:top w:val="single" w:sz="4" w:space="0" w:color="auto"/>
              <w:left w:val="single" w:sz="4" w:space="0" w:color="auto"/>
              <w:right w:val="single" w:sz="4" w:space="0" w:color="auto"/>
            </w:tcBorders>
            <w:shd w:val="clear" w:color="auto" w:fill="FFFFFF"/>
            <w:vAlign w:val="center"/>
          </w:tcPr>
          <w:p w14:paraId="1FDD32EF"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 xml:space="preserve">≥ 2 000 ժ </w:t>
            </w:r>
          </w:p>
          <w:p w14:paraId="03F7BAA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4 000 ժ՝ գերցածր լարման լամպերի համար</w:t>
            </w:r>
          </w:p>
        </w:tc>
      </w:tr>
      <w:tr w:rsidR="00CA27E3" w:rsidRPr="00D83000" w14:paraId="1CEADDBA" w14:textId="77777777" w:rsidTr="00CA27E3">
        <w:trPr>
          <w:jc w:val="center"/>
        </w:trPr>
        <w:tc>
          <w:tcPr>
            <w:tcW w:w="3202" w:type="dxa"/>
            <w:tcBorders>
              <w:top w:val="single" w:sz="4" w:space="0" w:color="auto"/>
              <w:left w:val="single" w:sz="4" w:space="0" w:color="auto"/>
              <w:bottom w:val="single" w:sz="4" w:space="0" w:color="auto"/>
            </w:tcBorders>
            <w:shd w:val="clear" w:color="auto" w:fill="FFFFFF"/>
            <w:vAlign w:val="bottom"/>
          </w:tcPr>
          <w:p w14:paraId="6ED0804A"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Լուսային հոսքի կայունության գործակիցը</w:t>
            </w:r>
          </w:p>
        </w:tc>
        <w:tc>
          <w:tcPr>
            <w:tcW w:w="3192" w:type="dxa"/>
            <w:tcBorders>
              <w:top w:val="single" w:sz="4" w:space="0" w:color="auto"/>
              <w:left w:val="single" w:sz="4" w:space="0" w:color="auto"/>
              <w:bottom w:val="single" w:sz="4" w:space="0" w:color="auto"/>
            </w:tcBorders>
            <w:shd w:val="clear" w:color="auto" w:fill="FFFFFF"/>
            <w:vAlign w:val="bottom"/>
          </w:tcPr>
          <w:p w14:paraId="4FD67C8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80 %</w:t>
            </w:r>
            <w:r w:rsidRPr="00D83000" w:rsidDel="001B2FE1">
              <w:rPr>
                <w:rFonts w:ascii="Sylfaen" w:hAnsi="Sylfaen"/>
                <w:sz w:val="20"/>
                <w:szCs w:val="20"/>
              </w:rPr>
              <w:t xml:space="preserve"> </w:t>
            </w:r>
            <w:r w:rsidRPr="00D83000">
              <w:rPr>
                <w:rFonts w:ascii="Sylfaen" w:hAnsi="Sylfaen"/>
                <w:sz w:val="20"/>
                <w:szCs w:val="20"/>
              </w:rPr>
              <w:t xml:space="preserve">՝ լամպի ծառայության միջին անվանական ժամկետի </w:t>
            </w:r>
            <w:r w:rsidR="009727B7" w:rsidRPr="009727B7">
              <w:rPr>
                <w:rFonts w:ascii="Sylfaen" w:hAnsi="Sylfaen"/>
                <w:sz w:val="20"/>
                <w:szCs w:val="20"/>
              </w:rPr>
              <w:br/>
            </w:r>
            <w:r w:rsidRPr="00D83000">
              <w:rPr>
                <w:rFonts w:ascii="Sylfaen" w:hAnsi="Sylfaen"/>
                <w:sz w:val="20"/>
                <w:szCs w:val="20"/>
              </w:rPr>
              <w:t>75 %-ի դեպքում</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tcPr>
          <w:p w14:paraId="7275668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80 %</w:t>
            </w:r>
            <w:r w:rsidRPr="00D83000" w:rsidDel="001B2FE1">
              <w:rPr>
                <w:rFonts w:ascii="Sylfaen" w:hAnsi="Sylfaen"/>
                <w:sz w:val="20"/>
                <w:szCs w:val="20"/>
              </w:rPr>
              <w:t xml:space="preserve"> </w:t>
            </w:r>
            <w:r w:rsidRPr="00D83000">
              <w:rPr>
                <w:rFonts w:ascii="Sylfaen" w:hAnsi="Sylfaen"/>
                <w:sz w:val="20"/>
                <w:szCs w:val="20"/>
              </w:rPr>
              <w:t xml:space="preserve">՝ լամպի ծառայության միջին անվանական ժամկետի </w:t>
            </w:r>
            <w:r w:rsidR="009727B7" w:rsidRPr="009727B7">
              <w:rPr>
                <w:rFonts w:ascii="Sylfaen" w:hAnsi="Sylfaen"/>
                <w:sz w:val="20"/>
                <w:szCs w:val="20"/>
              </w:rPr>
              <w:br/>
            </w:r>
            <w:r w:rsidRPr="00D83000">
              <w:rPr>
                <w:rFonts w:ascii="Sylfaen" w:hAnsi="Sylfaen"/>
                <w:sz w:val="20"/>
                <w:szCs w:val="20"/>
              </w:rPr>
              <w:t>75 %-ի դեպքում</w:t>
            </w:r>
          </w:p>
        </w:tc>
      </w:tr>
      <w:tr w:rsidR="00CA27E3" w:rsidRPr="00D83000" w14:paraId="6EB1F570" w14:textId="77777777" w:rsidTr="00CA27E3">
        <w:trPr>
          <w:jc w:val="center"/>
        </w:trPr>
        <w:tc>
          <w:tcPr>
            <w:tcW w:w="3202" w:type="dxa"/>
            <w:tcBorders>
              <w:top w:val="single" w:sz="4" w:space="0" w:color="auto"/>
              <w:left w:val="single" w:sz="4" w:space="0" w:color="auto"/>
            </w:tcBorders>
            <w:shd w:val="clear" w:color="auto" w:fill="FFFFFF"/>
          </w:tcPr>
          <w:p w14:paraId="7948E123"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Փոխարկման ցիկլերի քանակը</w:t>
            </w:r>
          </w:p>
        </w:tc>
        <w:tc>
          <w:tcPr>
            <w:tcW w:w="3192" w:type="dxa"/>
            <w:tcBorders>
              <w:top w:val="single" w:sz="4" w:space="0" w:color="auto"/>
              <w:left w:val="single" w:sz="4" w:space="0" w:color="auto"/>
            </w:tcBorders>
            <w:shd w:val="clear" w:color="auto" w:fill="FFFFFF"/>
            <w:vAlign w:val="center"/>
          </w:tcPr>
          <w:p w14:paraId="7BF2013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լամպի ծառայության քառապատիկ անվանական ժամկետին (ժ-ով)</w:t>
            </w:r>
          </w:p>
        </w:tc>
        <w:tc>
          <w:tcPr>
            <w:tcW w:w="3192" w:type="dxa"/>
            <w:tcBorders>
              <w:top w:val="single" w:sz="4" w:space="0" w:color="auto"/>
              <w:left w:val="single" w:sz="4" w:space="0" w:color="auto"/>
              <w:right w:val="single" w:sz="4" w:space="0" w:color="auto"/>
            </w:tcBorders>
            <w:shd w:val="clear" w:color="auto" w:fill="FFFFFF"/>
            <w:vAlign w:val="center"/>
          </w:tcPr>
          <w:p w14:paraId="0E264F0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լամպի ծառայության քառապատիկ անվանական ժամկետին (ժ-ով)</w:t>
            </w:r>
          </w:p>
        </w:tc>
      </w:tr>
      <w:tr w:rsidR="00CA27E3" w:rsidRPr="00D83000" w14:paraId="1EF60E47" w14:textId="77777777" w:rsidTr="00CA27E3">
        <w:trPr>
          <w:jc w:val="center"/>
        </w:trPr>
        <w:tc>
          <w:tcPr>
            <w:tcW w:w="3202" w:type="dxa"/>
            <w:tcBorders>
              <w:top w:val="single" w:sz="4" w:space="0" w:color="auto"/>
              <w:left w:val="single" w:sz="4" w:space="0" w:color="auto"/>
            </w:tcBorders>
            <w:shd w:val="clear" w:color="auto" w:fill="FFFFFF"/>
            <w:vAlign w:val="bottom"/>
          </w:tcPr>
          <w:p w14:paraId="3C21B13D"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Վառքի ժամանակը</w:t>
            </w:r>
          </w:p>
        </w:tc>
        <w:tc>
          <w:tcPr>
            <w:tcW w:w="3192" w:type="dxa"/>
            <w:tcBorders>
              <w:top w:val="single" w:sz="4" w:space="0" w:color="auto"/>
              <w:left w:val="single" w:sz="4" w:space="0" w:color="auto"/>
            </w:tcBorders>
            <w:shd w:val="clear" w:color="auto" w:fill="FFFFFF"/>
            <w:vAlign w:val="bottom"/>
          </w:tcPr>
          <w:p w14:paraId="73994C3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0,2 վրկ</w:t>
            </w:r>
          </w:p>
        </w:tc>
        <w:tc>
          <w:tcPr>
            <w:tcW w:w="3192" w:type="dxa"/>
            <w:tcBorders>
              <w:top w:val="single" w:sz="4" w:space="0" w:color="auto"/>
              <w:left w:val="single" w:sz="4" w:space="0" w:color="auto"/>
              <w:right w:val="single" w:sz="4" w:space="0" w:color="auto"/>
            </w:tcBorders>
            <w:shd w:val="clear" w:color="auto" w:fill="FFFFFF"/>
            <w:vAlign w:val="bottom"/>
          </w:tcPr>
          <w:p w14:paraId="5B0D0E9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0,2 վրկ</w:t>
            </w:r>
          </w:p>
        </w:tc>
      </w:tr>
      <w:tr w:rsidR="00CA27E3" w:rsidRPr="00D83000" w14:paraId="38490C75" w14:textId="77777777" w:rsidTr="00CA27E3">
        <w:trPr>
          <w:jc w:val="center"/>
        </w:trPr>
        <w:tc>
          <w:tcPr>
            <w:tcW w:w="3202" w:type="dxa"/>
            <w:tcBorders>
              <w:top w:val="single" w:sz="4" w:space="0" w:color="auto"/>
              <w:left w:val="single" w:sz="4" w:space="0" w:color="auto"/>
            </w:tcBorders>
            <w:shd w:val="clear" w:color="auto" w:fill="FFFFFF"/>
            <w:vAlign w:val="bottom"/>
          </w:tcPr>
          <w:p w14:paraId="608E7596"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Լամպի թեժացման ժամանակը՝ մինչեւ 60 %, Φ</w:t>
            </w:r>
          </w:p>
        </w:tc>
        <w:tc>
          <w:tcPr>
            <w:tcW w:w="3192" w:type="dxa"/>
            <w:tcBorders>
              <w:top w:val="single" w:sz="4" w:space="0" w:color="auto"/>
              <w:left w:val="single" w:sz="4" w:space="0" w:color="auto"/>
            </w:tcBorders>
            <w:shd w:val="clear" w:color="auto" w:fill="FFFFFF"/>
            <w:vAlign w:val="center"/>
          </w:tcPr>
          <w:p w14:paraId="5441D36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 վրկ</w:t>
            </w:r>
          </w:p>
        </w:tc>
        <w:tc>
          <w:tcPr>
            <w:tcW w:w="3192" w:type="dxa"/>
            <w:tcBorders>
              <w:top w:val="single" w:sz="4" w:space="0" w:color="auto"/>
              <w:left w:val="single" w:sz="4" w:space="0" w:color="auto"/>
              <w:right w:val="single" w:sz="4" w:space="0" w:color="auto"/>
            </w:tcBorders>
            <w:shd w:val="clear" w:color="auto" w:fill="FFFFFF"/>
            <w:vAlign w:val="center"/>
          </w:tcPr>
          <w:p w14:paraId="7C5732E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1,0 վրկ</w:t>
            </w:r>
          </w:p>
        </w:tc>
      </w:tr>
      <w:tr w:rsidR="00CA27E3" w:rsidRPr="00D83000" w14:paraId="77EFB9BB" w14:textId="77777777" w:rsidTr="00CA27E3">
        <w:trPr>
          <w:jc w:val="center"/>
        </w:trPr>
        <w:tc>
          <w:tcPr>
            <w:tcW w:w="3202" w:type="dxa"/>
            <w:tcBorders>
              <w:top w:val="single" w:sz="4" w:space="0" w:color="auto"/>
              <w:left w:val="single" w:sz="4" w:space="0" w:color="auto"/>
            </w:tcBorders>
            <w:shd w:val="clear" w:color="auto" w:fill="FFFFFF"/>
            <w:vAlign w:val="center"/>
          </w:tcPr>
          <w:p w14:paraId="656FA910"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Ժամանակից շուտ խափանումների հաճախականությունը</w:t>
            </w:r>
          </w:p>
        </w:tc>
        <w:tc>
          <w:tcPr>
            <w:tcW w:w="3192" w:type="dxa"/>
            <w:tcBorders>
              <w:top w:val="single" w:sz="4" w:space="0" w:color="auto"/>
              <w:left w:val="single" w:sz="4" w:space="0" w:color="auto"/>
            </w:tcBorders>
            <w:shd w:val="clear" w:color="auto" w:fill="FFFFFF"/>
            <w:vAlign w:val="center"/>
          </w:tcPr>
          <w:p w14:paraId="07B5AC5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5,0 %</w:t>
            </w:r>
            <w:r w:rsidRPr="00D83000" w:rsidDel="001B2FE1">
              <w:rPr>
                <w:rFonts w:ascii="Sylfaen" w:hAnsi="Sylfaen"/>
                <w:sz w:val="20"/>
                <w:szCs w:val="20"/>
              </w:rPr>
              <w:t xml:space="preserve"> </w:t>
            </w:r>
            <w:r w:rsidRPr="00D83000">
              <w:rPr>
                <w:rFonts w:ascii="Sylfaen" w:hAnsi="Sylfaen"/>
                <w:sz w:val="20"/>
                <w:szCs w:val="20"/>
              </w:rPr>
              <w:t>՝ 100 ժ-ի դեպքում</w:t>
            </w:r>
          </w:p>
        </w:tc>
        <w:tc>
          <w:tcPr>
            <w:tcW w:w="3192" w:type="dxa"/>
            <w:tcBorders>
              <w:top w:val="single" w:sz="4" w:space="0" w:color="auto"/>
              <w:left w:val="single" w:sz="4" w:space="0" w:color="auto"/>
              <w:right w:val="single" w:sz="4" w:space="0" w:color="auto"/>
            </w:tcBorders>
            <w:shd w:val="clear" w:color="auto" w:fill="FFFFFF"/>
            <w:vAlign w:val="center"/>
          </w:tcPr>
          <w:p w14:paraId="5FA27F0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5,0 %</w:t>
            </w:r>
            <w:r w:rsidRPr="00D83000" w:rsidDel="001B2FE1">
              <w:rPr>
                <w:rFonts w:ascii="Sylfaen" w:hAnsi="Sylfaen"/>
                <w:sz w:val="20"/>
                <w:szCs w:val="20"/>
              </w:rPr>
              <w:t xml:space="preserve"> </w:t>
            </w:r>
            <w:r w:rsidRPr="00D83000">
              <w:rPr>
                <w:rFonts w:ascii="Sylfaen" w:hAnsi="Sylfaen"/>
                <w:sz w:val="20"/>
                <w:szCs w:val="20"/>
              </w:rPr>
              <w:t>՝ 200 ժ-ի դեպքում</w:t>
            </w:r>
          </w:p>
        </w:tc>
      </w:tr>
      <w:tr w:rsidR="00CA27E3" w:rsidRPr="00D83000" w14:paraId="554485FF" w14:textId="77777777" w:rsidTr="00CA27E3">
        <w:trPr>
          <w:jc w:val="center"/>
        </w:trPr>
        <w:tc>
          <w:tcPr>
            <w:tcW w:w="3202" w:type="dxa"/>
            <w:tcBorders>
              <w:top w:val="single" w:sz="4" w:space="0" w:color="auto"/>
              <w:left w:val="single" w:sz="4" w:space="0" w:color="auto"/>
              <w:bottom w:val="single" w:sz="4" w:space="0" w:color="auto"/>
            </w:tcBorders>
            <w:shd w:val="clear" w:color="auto" w:fill="FFFFFF"/>
            <w:vAlign w:val="bottom"/>
          </w:tcPr>
          <w:p w14:paraId="42B52FBF" w14:textId="77777777" w:rsidR="00CA27E3" w:rsidRPr="00D83000" w:rsidRDefault="00CA27E3" w:rsidP="009727B7">
            <w:pPr>
              <w:pStyle w:val="a4"/>
              <w:shd w:val="clear" w:color="auto" w:fill="auto"/>
              <w:spacing w:after="120" w:line="240" w:lineRule="auto"/>
              <w:ind w:left="24" w:right="92" w:firstLine="0"/>
              <w:rPr>
                <w:rFonts w:ascii="Sylfaen" w:hAnsi="Sylfaen" w:cs="Sylfaen"/>
                <w:sz w:val="20"/>
                <w:szCs w:val="20"/>
              </w:rPr>
            </w:pPr>
            <w:r w:rsidRPr="00D83000">
              <w:rPr>
                <w:rFonts w:ascii="Sylfaen" w:hAnsi="Sylfaen"/>
                <w:sz w:val="20"/>
                <w:szCs w:val="20"/>
              </w:rPr>
              <w:t>Ներկառուցված ԳԿԱ-ով լամպերի հզորության գործակիցը</w:t>
            </w:r>
          </w:p>
        </w:tc>
        <w:tc>
          <w:tcPr>
            <w:tcW w:w="3192" w:type="dxa"/>
            <w:tcBorders>
              <w:top w:val="single" w:sz="4" w:space="0" w:color="auto"/>
              <w:left w:val="single" w:sz="4" w:space="0" w:color="auto"/>
              <w:bottom w:val="single" w:sz="4" w:space="0" w:color="auto"/>
            </w:tcBorders>
            <w:shd w:val="clear" w:color="auto" w:fill="FFFFFF"/>
            <w:vAlign w:val="bottom"/>
          </w:tcPr>
          <w:p w14:paraId="3BF5931F"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հզորությունը &gt; 25 Վտ՝ ≥ 0,9</w:t>
            </w:r>
          </w:p>
          <w:p w14:paraId="5719D2D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հզորությունը ≤ 25 Վտ՝ ≥ 0,5</w:t>
            </w:r>
          </w:p>
        </w:tc>
        <w:tc>
          <w:tcPr>
            <w:tcW w:w="3192" w:type="dxa"/>
            <w:tcBorders>
              <w:top w:val="single" w:sz="4" w:space="0" w:color="auto"/>
              <w:left w:val="single" w:sz="4" w:space="0" w:color="auto"/>
              <w:bottom w:val="single" w:sz="4" w:space="0" w:color="auto"/>
              <w:right w:val="single" w:sz="4" w:space="0" w:color="auto"/>
            </w:tcBorders>
            <w:shd w:val="clear" w:color="auto" w:fill="FFFFFF"/>
            <w:vAlign w:val="bottom"/>
          </w:tcPr>
          <w:p w14:paraId="14BA865B"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հզորությունը &gt; 25 Վտ</w:t>
            </w:r>
            <w:r w:rsidRPr="00D83000" w:rsidDel="001B2FE1">
              <w:rPr>
                <w:rFonts w:ascii="Sylfaen" w:hAnsi="Sylfaen"/>
                <w:sz w:val="20"/>
                <w:szCs w:val="20"/>
              </w:rPr>
              <w:t xml:space="preserve"> </w:t>
            </w:r>
            <w:r w:rsidRPr="00D83000">
              <w:rPr>
                <w:rFonts w:ascii="Sylfaen" w:hAnsi="Sylfaen"/>
                <w:sz w:val="20"/>
                <w:szCs w:val="20"/>
              </w:rPr>
              <w:t xml:space="preserve">՝ ≥ 0,9 </w:t>
            </w:r>
          </w:p>
          <w:p w14:paraId="52C11B6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հզորությունը ≤ 25 Վտ≥ 0,5</w:t>
            </w:r>
          </w:p>
        </w:tc>
      </w:tr>
    </w:tbl>
    <w:p w14:paraId="40D56A18" w14:textId="77777777" w:rsidR="00CA27E3" w:rsidRDefault="00CA27E3" w:rsidP="00CA27E3">
      <w:pPr>
        <w:spacing w:after="160" w:line="360" w:lineRule="auto"/>
        <w:rPr>
          <w:rFonts w:ascii="Sylfaen" w:hAnsi="Sylfaen" w:cs="Sylfaen"/>
          <w:lang w:val="en-US"/>
        </w:rPr>
      </w:pPr>
    </w:p>
    <w:p w14:paraId="5653E81E" w14:textId="77777777" w:rsidR="009727B7" w:rsidRPr="009727B7" w:rsidRDefault="009727B7" w:rsidP="00CA27E3">
      <w:pPr>
        <w:spacing w:after="160" w:line="360" w:lineRule="auto"/>
        <w:rPr>
          <w:rFonts w:ascii="Sylfaen" w:hAnsi="Sylfaen" w:cs="Sylfaen"/>
          <w:lang w:val="en-US"/>
        </w:rPr>
      </w:pPr>
    </w:p>
    <w:p w14:paraId="6BFCB916" w14:textId="77777777" w:rsidR="00CA27E3" w:rsidRPr="00CA27E3" w:rsidRDefault="00CA27E3" w:rsidP="000809D3">
      <w:pPr>
        <w:pStyle w:val="a0"/>
        <w:shd w:val="clear" w:color="auto" w:fill="auto"/>
        <w:spacing w:after="160"/>
        <w:ind w:left="567" w:right="566" w:firstLine="0"/>
        <w:jc w:val="center"/>
        <w:rPr>
          <w:rFonts w:ascii="Sylfaen" w:hAnsi="Sylfaen" w:cs="Sylfaen"/>
          <w:sz w:val="24"/>
          <w:szCs w:val="24"/>
        </w:rPr>
      </w:pPr>
      <w:r w:rsidRPr="00CA27E3">
        <w:rPr>
          <w:rFonts w:ascii="Sylfaen" w:hAnsi="Sylfaen"/>
          <w:sz w:val="24"/>
          <w:szCs w:val="24"/>
        </w:rPr>
        <w:lastRenderedPageBreak/>
        <w:t xml:space="preserve">8.Չուղղորդված </w:t>
      </w:r>
      <w:r>
        <w:rPr>
          <w:rFonts w:ascii="Sylfaen" w:hAnsi="Sylfaen"/>
          <w:sz w:val="24"/>
          <w:szCs w:val="24"/>
        </w:rPr>
        <w:t>եւ</w:t>
      </w:r>
      <w:r w:rsidRPr="00CA27E3">
        <w:rPr>
          <w:rFonts w:ascii="Sylfaen" w:hAnsi="Sylfaen"/>
          <w:sz w:val="24"/>
          <w:szCs w:val="24"/>
        </w:rPr>
        <w:t xml:space="preserve"> ուղղորդված լույսի լուսադիոդային լամպերի բնութագրերին ներկայացվող պահանջները</w:t>
      </w:r>
    </w:p>
    <w:p w14:paraId="59557A4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Չուղղորդված </w:t>
      </w:r>
      <w:r>
        <w:rPr>
          <w:rFonts w:ascii="Sylfaen" w:hAnsi="Sylfaen"/>
          <w:sz w:val="24"/>
          <w:szCs w:val="24"/>
        </w:rPr>
        <w:t>եւ</w:t>
      </w:r>
      <w:r w:rsidRPr="00CA27E3">
        <w:rPr>
          <w:rFonts w:ascii="Sylfaen" w:hAnsi="Sylfaen"/>
          <w:sz w:val="24"/>
          <w:szCs w:val="24"/>
        </w:rPr>
        <w:t xml:space="preserve"> ուղղորդված լույսի լուսադիոդային լամպերի տեխնիկական բնութագրերին ներկայացվող պահանջները բերված են 5-րդ աղյուսակում։</w:t>
      </w:r>
    </w:p>
    <w:p w14:paraId="3F41B8CF" w14:textId="77777777" w:rsidR="000809D3" w:rsidRPr="003D2C38" w:rsidRDefault="000809D3" w:rsidP="00CA27E3">
      <w:pPr>
        <w:pStyle w:val="a2"/>
        <w:shd w:val="clear" w:color="auto" w:fill="auto"/>
        <w:spacing w:after="160" w:line="360" w:lineRule="auto"/>
        <w:ind w:left="82" w:firstLine="567"/>
        <w:jc w:val="right"/>
        <w:rPr>
          <w:rFonts w:ascii="Sylfaen" w:hAnsi="Sylfaen"/>
          <w:sz w:val="24"/>
          <w:szCs w:val="24"/>
        </w:rPr>
      </w:pPr>
    </w:p>
    <w:p w14:paraId="575BB90F" w14:textId="77777777" w:rsidR="00CA27E3" w:rsidRPr="00CA27E3" w:rsidRDefault="00CA27E3" w:rsidP="00CA27E3">
      <w:pPr>
        <w:pStyle w:val="a2"/>
        <w:shd w:val="clear" w:color="auto" w:fill="auto"/>
        <w:spacing w:after="160" w:line="360" w:lineRule="auto"/>
        <w:ind w:left="82" w:firstLine="567"/>
        <w:jc w:val="right"/>
        <w:rPr>
          <w:rFonts w:ascii="Sylfaen" w:hAnsi="Sylfaen" w:cs="Sylfaen"/>
          <w:sz w:val="24"/>
          <w:szCs w:val="24"/>
        </w:rPr>
      </w:pPr>
      <w:r w:rsidRPr="00CA27E3">
        <w:rPr>
          <w:rFonts w:ascii="Sylfaen" w:hAnsi="Sylfaen"/>
          <w:sz w:val="24"/>
          <w:szCs w:val="24"/>
        </w:rPr>
        <w:t xml:space="preserve">Աղյուսակ 5 </w:t>
      </w:r>
    </w:p>
    <w:p w14:paraId="74D768CF" w14:textId="77777777" w:rsidR="00CA27E3" w:rsidRPr="00CA27E3" w:rsidRDefault="00CA27E3" w:rsidP="000809D3">
      <w:pPr>
        <w:pStyle w:val="a2"/>
        <w:shd w:val="clear" w:color="auto" w:fill="auto"/>
        <w:spacing w:after="160" w:line="360" w:lineRule="auto"/>
        <w:ind w:left="567" w:right="566"/>
        <w:jc w:val="center"/>
        <w:rPr>
          <w:rFonts w:ascii="Sylfaen" w:hAnsi="Sylfaen" w:cs="Sylfaen"/>
          <w:sz w:val="24"/>
          <w:szCs w:val="24"/>
        </w:rPr>
      </w:pPr>
      <w:r w:rsidRPr="00CA27E3">
        <w:rPr>
          <w:rFonts w:ascii="Sylfaen" w:hAnsi="Sylfaen"/>
          <w:sz w:val="24"/>
          <w:szCs w:val="24"/>
        </w:rPr>
        <w:t xml:space="preserve">Չուղղորդված </w:t>
      </w:r>
      <w:r>
        <w:rPr>
          <w:rFonts w:ascii="Sylfaen" w:hAnsi="Sylfaen"/>
          <w:sz w:val="24"/>
          <w:szCs w:val="24"/>
        </w:rPr>
        <w:t>եւ</w:t>
      </w:r>
      <w:r w:rsidRPr="00CA27E3">
        <w:rPr>
          <w:rFonts w:ascii="Sylfaen" w:hAnsi="Sylfaen"/>
          <w:sz w:val="24"/>
          <w:szCs w:val="24"/>
        </w:rPr>
        <w:t xml:space="preserve"> ուղղորդված լույսի լուսադիոդային լամպերի բնութագրերին ներկայացվող պահանջները</w:t>
      </w:r>
    </w:p>
    <w:tbl>
      <w:tblPr>
        <w:tblOverlap w:val="never"/>
        <w:tblW w:w="9586" w:type="dxa"/>
        <w:jc w:val="center"/>
        <w:tblLayout w:type="fixed"/>
        <w:tblCellMar>
          <w:left w:w="10" w:type="dxa"/>
          <w:right w:w="10" w:type="dxa"/>
        </w:tblCellMar>
        <w:tblLook w:val="0000" w:firstRow="0" w:lastRow="0" w:firstColumn="0" w:lastColumn="0" w:noHBand="0" w:noVBand="0"/>
      </w:tblPr>
      <w:tblGrid>
        <w:gridCol w:w="4224"/>
        <w:gridCol w:w="5362"/>
      </w:tblGrid>
      <w:tr w:rsidR="00CA27E3" w:rsidRPr="00D83000" w14:paraId="62107AD3" w14:textId="77777777" w:rsidTr="00CA27E3">
        <w:trPr>
          <w:jc w:val="center"/>
        </w:trPr>
        <w:tc>
          <w:tcPr>
            <w:tcW w:w="4224" w:type="dxa"/>
            <w:tcBorders>
              <w:top w:val="single" w:sz="4" w:space="0" w:color="auto"/>
              <w:left w:val="single" w:sz="4" w:space="0" w:color="auto"/>
            </w:tcBorders>
            <w:shd w:val="clear" w:color="auto" w:fill="FFFFFF"/>
            <w:vAlign w:val="bottom"/>
          </w:tcPr>
          <w:p w14:paraId="06DCD0C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Բնութագիրը</w:t>
            </w:r>
          </w:p>
        </w:tc>
        <w:tc>
          <w:tcPr>
            <w:tcW w:w="5362" w:type="dxa"/>
            <w:tcBorders>
              <w:top w:val="single" w:sz="4" w:space="0" w:color="auto"/>
              <w:left w:val="single" w:sz="4" w:space="0" w:color="auto"/>
              <w:right w:val="single" w:sz="4" w:space="0" w:color="auto"/>
            </w:tcBorders>
            <w:shd w:val="clear" w:color="auto" w:fill="FFFFFF"/>
            <w:vAlign w:val="bottom"/>
          </w:tcPr>
          <w:p w14:paraId="6042144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Պահանջները 1-ին փուլում</w:t>
            </w:r>
          </w:p>
        </w:tc>
      </w:tr>
      <w:tr w:rsidR="00CA27E3" w:rsidRPr="00D83000" w14:paraId="5B998426" w14:textId="77777777" w:rsidTr="000809D3">
        <w:trPr>
          <w:jc w:val="center"/>
        </w:trPr>
        <w:tc>
          <w:tcPr>
            <w:tcW w:w="4224" w:type="dxa"/>
            <w:tcBorders>
              <w:top w:val="single" w:sz="4" w:space="0" w:color="auto"/>
              <w:left w:val="single" w:sz="4" w:space="0" w:color="auto"/>
            </w:tcBorders>
            <w:shd w:val="clear" w:color="auto" w:fill="FFFFFF"/>
            <w:vAlign w:val="center"/>
          </w:tcPr>
          <w:p w14:paraId="2D44CFBD"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Պիտանի լամպերի գործակիցը 6 000 ժ-ից հետո</w:t>
            </w:r>
          </w:p>
        </w:tc>
        <w:tc>
          <w:tcPr>
            <w:tcW w:w="5362" w:type="dxa"/>
            <w:tcBorders>
              <w:top w:val="single" w:sz="4" w:space="0" w:color="auto"/>
              <w:left w:val="single" w:sz="4" w:space="0" w:color="auto"/>
              <w:right w:val="single" w:sz="4" w:space="0" w:color="auto"/>
            </w:tcBorders>
            <w:shd w:val="clear" w:color="auto" w:fill="FFFFFF"/>
            <w:vAlign w:val="center"/>
          </w:tcPr>
          <w:p w14:paraId="43E24C6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0,90</w:t>
            </w:r>
          </w:p>
        </w:tc>
      </w:tr>
      <w:tr w:rsidR="00CA27E3" w:rsidRPr="00D83000" w14:paraId="365A3F1B" w14:textId="77777777" w:rsidTr="000809D3">
        <w:trPr>
          <w:jc w:val="center"/>
        </w:trPr>
        <w:tc>
          <w:tcPr>
            <w:tcW w:w="4224" w:type="dxa"/>
            <w:tcBorders>
              <w:top w:val="single" w:sz="4" w:space="0" w:color="auto"/>
              <w:left w:val="single" w:sz="4" w:space="0" w:color="auto"/>
            </w:tcBorders>
            <w:shd w:val="clear" w:color="auto" w:fill="FFFFFF"/>
            <w:vAlign w:val="center"/>
          </w:tcPr>
          <w:p w14:paraId="2B6F8E42"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Լուսային հոսքի կայունության գործակիցը 6</w:t>
            </w:r>
            <w:r w:rsidR="000809D3" w:rsidRPr="000809D3">
              <w:rPr>
                <w:rFonts w:ascii="Sylfaen" w:hAnsi="Sylfaen"/>
                <w:sz w:val="20"/>
                <w:szCs w:val="20"/>
              </w:rPr>
              <w:t> </w:t>
            </w:r>
            <w:r w:rsidRPr="00D83000">
              <w:rPr>
                <w:rFonts w:ascii="Sylfaen" w:hAnsi="Sylfaen"/>
                <w:sz w:val="20"/>
                <w:szCs w:val="20"/>
              </w:rPr>
              <w:t>000 ժ աշխատանքի դեպքում</w:t>
            </w:r>
          </w:p>
        </w:tc>
        <w:tc>
          <w:tcPr>
            <w:tcW w:w="5362" w:type="dxa"/>
            <w:tcBorders>
              <w:top w:val="single" w:sz="4" w:space="0" w:color="auto"/>
              <w:left w:val="single" w:sz="4" w:space="0" w:color="auto"/>
              <w:right w:val="single" w:sz="4" w:space="0" w:color="auto"/>
            </w:tcBorders>
            <w:shd w:val="clear" w:color="auto" w:fill="FFFFFF"/>
            <w:vAlign w:val="center"/>
          </w:tcPr>
          <w:p w14:paraId="71B1356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0,80</w:t>
            </w:r>
          </w:p>
        </w:tc>
      </w:tr>
      <w:tr w:rsidR="00CA27E3" w:rsidRPr="00D83000" w14:paraId="425D4384" w14:textId="77777777" w:rsidTr="000809D3">
        <w:trPr>
          <w:jc w:val="center"/>
        </w:trPr>
        <w:tc>
          <w:tcPr>
            <w:tcW w:w="4224" w:type="dxa"/>
            <w:tcBorders>
              <w:top w:val="single" w:sz="4" w:space="0" w:color="auto"/>
              <w:left w:val="single" w:sz="4" w:space="0" w:color="auto"/>
            </w:tcBorders>
            <w:shd w:val="clear" w:color="auto" w:fill="FFFFFF"/>
            <w:vAlign w:val="center"/>
          </w:tcPr>
          <w:p w14:paraId="3F33B95D"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Փոխարկումների քանակը՝ մինչեւ խափանումը</w:t>
            </w:r>
          </w:p>
        </w:tc>
        <w:tc>
          <w:tcPr>
            <w:tcW w:w="5362" w:type="dxa"/>
            <w:tcBorders>
              <w:top w:val="single" w:sz="4" w:space="0" w:color="auto"/>
              <w:left w:val="single" w:sz="4" w:space="0" w:color="auto"/>
              <w:right w:val="single" w:sz="4" w:space="0" w:color="auto"/>
            </w:tcBorders>
            <w:shd w:val="clear" w:color="auto" w:fill="FFFFFF"/>
            <w:vAlign w:val="bottom"/>
          </w:tcPr>
          <w:p w14:paraId="3E5AF45C" w14:textId="77777777" w:rsidR="00CA27E3" w:rsidRPr="00D83000" w:rsidRDefault="00CA27E3" w:rsidP="000809D3">
            <w:pPr>
              <w:pStyle w:val="a4"/>
              <w:shd w:val="clear" w:color="auto" w:fill="auto"/>
              <w:spacing w:after="120" w:line="240" w:lineRule="auto"/>
              <w:ind w:right="104" w:firstLine="0"/>
              <w:jc w:val="center"/>
              <w:rPr>
                <w:rFonts w:ascii="Sylfaen" w:hAnsi="Sylfaen" w:cs="Sylfaen"/>
                <w:sz w:val="20"/>
                <w:szCs w:val="20"/>
              </w:rPr>
            </w:pPr>
            <w:r w:rsidRPr="00D83000">
              <w:rPr>
                <w:rFonts w:ascii="Sylfaen" w:hAnsi="Sylfaen"/>
                <w:sz w:val="20"/>
                <w:szCs w:val="20"/>
              </w:rPr>
              <w:t>≥ 15 000, եթե լամպի ծառայության անվանական ժամկետը ≥ 30 000 ժ, ապա ծառայության անվանական ժամկետի կեսից ոչ պակաս (ժ-ով)</w:t>
            </w:r>
          </w:p>
        </w:tc>
      </w:tr>
      <w:tr w:rsidR="00CA27E3" w:rsidRPr="00D83000" w14:paraId="3CFD4DC5" w14:textId="77777777" w:rsidTr="000809D3">
        <w:trPr>
          <w:jc w:val="center"/>
        </w:trPr>
        <w:tc>
          <w:tcPr>
            <w:tcW w:w="4224" w:type="dxa"/>
            <w:tcBorders>
              <w:top w:val="single" w:sz="4" w:space="0" w:color="auto"/>
              <w:left w:val="single" w:sz="4" w:space="0" w:color="auto"/>
            </w:tcBorders>
            <w:shd w:val="clear" w:color="auto" w:fill="FFFFFF"/>
            <w:vAlign w:val="center"/>
          </w:tcPr>
          <w:p w14:paraId="0EF3ED7B"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Վառքի ժամանակը</w:t>
            </w:r>
          </w:p>
        </w:tc>
        <w:tc>
          <w:tcPr>
            <w:tcW w:w="5362" w:type="dxa"/>
            <w:tcBorders>
              <w:top w:val="single" w:sz="4" w:space="0" w:color="auto"/>
              <w:left w:val="single" w:sz="4" w:space="0" w:color="auto"/>
              <w:right w:val="single" w:sz="4" w:space="0" w:color="auto"/>
            </w:tcBorders>
            <w:shd w:val="clear" w:color="auto" w:fill="FFFFFF"/>
            <w:vAlign w:val="bottom"/>
          </w:tcPr>
          <w:p w14:paraId="3EEA48F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0,5 վրկ</w:t>
            </w:r>
          </w:p>
        </w:tc>
      </w:tr>
      <w:tr w:rsidR="00CA27E3" w:rsidRPr="00D83000" w14:paraId="5096E611" w14:textId="77777777" w:rsidTr="000809D3">
        <w:trPr>
          <w:jc w:val="center"/>
        </w:trPr>
        <w:tc>
          <w:tcPr>
            <w:tcW w:w="4224" w:type="dxa"/>
            <w:tcBorders>
              <w:top w:val="single" w:sz="4" w:space="0" w:color="auto"/>
              <w:left w:val="single" w:sz="4" w:space="0" w:color="auto"/>
            </w:tcBorders>
            <w:shd w:val="clear" w:color="auto" w:fill="FFFFFF"/>
            <w:vAlign w:val="center"/>
          </w:tcPr>
          <w:p w14:paraId="5C9D60F2"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Լամպի թեժացման ժամանակը՝ մինչեւ 95 %, Φ</w:t>
            </w:r>
          </w:p>
        </w:tc>
        <w:tc>
          <w:tcPr>
            <w:tcW w:w="5362" w:type="dxa"/>
            <w:tcBorders>
              <w:top w:val="single" w:sz="4" w:space="0" w:color="auto"/>
              <w:left w:val="single" w:sz="4" w:space="0" w:color="auto"/>
              <w:right w:val="single" w:sz="4" w:space="0" w:color="auto"/>
            </w:tcBorders>
            <w:shd w:val="clear" w:color="auto" w:fill="FFFFFF"/>
            <w:vAlign w:val="center"/>
          </w:tcPr>
          <w:p w14:paraId="1C9D10B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&lt; 2 վրկ</w:t>
            </w:r>
          </w:p>
        </w:tc>
      </w:tr>
      <w:tr w:rsidR="00CA27E3" w:rsidRPr="00D83000" w14:paraId="642CF89E" w14:textId="77777777" w:rsidTr="000809D3">
        <w:trPr>
          <w:jc w:val="center"/>
        </w:trPr>
        <w:tc>
          <w:tcPr>
            <w:tcW w:w="4224" w:type="dxa"/>
            <w:tcBorders>
              <w:top w:val="single" w:sz="4" w:space="0" w:color="auto"/>
              <w:left w:val="single" w:sz="4" w:space="0" w:color="auto"/>
            </w:tcBorders>
            <w:shd w:val="clear" w:color="auto" w:fill="FFFFFF"/>
            <w:vAlign w:val="center"/>
          </w:tcPr>
          <w:p w14:paraId="4804ECBF"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Ժամանակից շուտ խափանումների հաճախականությունը</w:t>
            </w:r>
          </w:p>
        </w:tc>
        <w:tc>
          <w:tcPr>
            <w:tcW w:w="5362" w:type="dxa"/>
            <w:tcBorders>
              <w:top w:val="single" w:sz="4" w:space="0" w:color="auto"/>
              <w:left w:val="single" w:sz="4" w:space="0" w:color="auto"/>
              <w:right w:val="single" w:sz="4" w:space="0" w:color="auto"/>
            </w:tcBorders>
            <w:shd w:val="clear" w:color="auto" w:fill="FFFFFF"/>
            <w:vAlign w:val="bottom"/>
          </w:tcPr>
          <w:p w14:paraId="7FFB3BA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5%</w:t>
            </w:r>
            <w:r w:rsidRPr="00D83000" w:rsidDel="003C365F">
              <w:rPr>
                <w:rFonts w:ascii="Sylfaen" w:hAnsi="Sylfaen"/>
                <w:sz w:val="20"/>
                <w:szCs w:val="20"/>
              </w:rPr>
              <w:t xml:space="preserve"> </w:t>
            </w:r>
            <w:r w:rsidRPr="00D83000">
              <w:rPr>
                <w:rFonts w:ascii="Sylfaen" w:hAnsi="Sylfaen"/>
                <w:sz w:val="20"/>
                <w:szCs w:val="20"/>
              </w:rPr>
              <w:t>՝ 1,000 ժ-ի դեպքում</w:t>
            </w:r>
          </w:p>
        </w:tc>
      </w:tr>
      <w:tr w:rsidR="00CA27E3" w:rsidRPr="00D83000" w14:paraId="0DC94DA8" w14:textId="77777777" w:rsidTr="000809D3">
        <w:trPr>
          <w:jc w:val="center"/>
        </w:trPr>
        <w:tc>
          <w:tcPr>
            <w:tcW w:w="4224" w:type="dxa"/>
            <w:tcBorders>
              <w:top w:val="single" w:sz="4" w:space="0" w:color="auto"/>
              <w:left w:val="single" w:sz="4" w:space="0" w:color="auto"/>
            </w:tcBorders>
            <w:shd w:val="clear" w:color="auto" w:fill="FFFFFF"/>
            <w:vAlign w:val="center"/>
          </w:tcPr>
          <w:p w14:paraId="2C4ABC03"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Գունահաղորդման ցուցիչը (Ra)</w:t>
            </w:r>
          </w:p>
        </w:tc>
        <w:tc>
          <w:tcPr>
            <w:tcW w:w="5362" w:type="dxa"/>
            <w:tcBorders>
              <w:top w:val="single" w:sz="4" w:space="0" w:color="auto"/>
              <w:left w:val="single" w:sz="4" w:space="0" w:color="auto"/>
              <w:right w:val="single" w:sz="4" w:space="0" w:color="auto"/>
            </w:tcBorders>
            <w:shd w:val="clear" w:color="auto" w:fill="FFFFFF"/>
            <w:vAlign w:val="bottom"/>
          </w:tcPr>
          <w:p w14:paraId="4A1B872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≥80</w:t>
            </w:r>
          </w:p>
          <w:p w14:paraId="1D1D72C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65, եթե լամպը նախատեսված է արտաքին կամ արդյունաբերական կիրառության համար</w:t>
            </w:r>
          </w:p>
        </w:tc>
      </w:tr>
      <w:tr w:rsidR="00CA27E3" w:rsidRPr="00D83000" w14:paraId="164F60AB" w14:textId="77777777" w:rsidTr="000809D3">
        <w:trPr>
          <w:jc w:val="center"/>
        </w:trPr>
        <w:tc>
          <w:tcPr>
            <w:tcW w:w="4224" w:type="dxa"/>
            <w:tcBorders>
              <w:top w:val="single" w:sz="4" w:space="0" w:color="auto"/>
              <w:left w:val="single" w:sz="4" w:space="0" w:color="auto"/>
              <w:bottom w:val="single" w:sz="4" w:space="0" w:color="auto"/>
            </w:tcBorders>
            <w:shd w:val="clear" w:color="auto" w:fill="FFFFFF"/>
            <w:vAlign w:val="center"/>
          </w:tcPr>
          <w:p w14:paraId="7EB4E830"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Գույնի համասեռություն</w:t>
            </w:r>
          </w:p>
        </w:tc>
        <w:tc>
          <w:tcPr>
            <w:tcW w:w="5362" w:type="dxa"/>
            <w:tcBorders>
              <w:top w:val="single" w:sz="4" w:space="0" w:color="auto"/>
              <w:left w:val="single" w:sz="4" w:space="0" w:color="auto"/>
              <w:bottom w:val="single" w:sz="4" w:space="0" w:color="auto"/>
              <w:right w:val="single" w:sz="4" w:space="0" w:color="auto"/>
            </w:tcBorders>
            <w:shd w:val="clear" w:color="auto" w:fill="FFFFFF"/>
          </w:tcPr>
          <w:p w14:paraId="7D3C888C" w14:textId="77777777" w:rsidR="00CA27E3" w:rsidRPr="00D83000" w:rsidRDefault="00CA27E3" w:rsidP="000809D3">
            <w:pPr>
              <w:pStyle w:val="a4"/>
              <w:shd w:val="clear" w:color="auto" w:fill="auto"/>
              <w:spacing w:after="120" w:line="240" w:lineRule="auto"/>
              <w:ind w:right="104" w:firstLine="0"/>
              <w:jc w:val="center"/>
              <w:rPr>
                <w:rFonts w:ascii="Sylfaen" w:hAnsi="Sylfaen" w:cs="Sylfaen"/>
                <w:sz w:val="20"/>
                <w:szCs w:val="20"/>
              </w:rPr>
            </w:pPr>
            <w:r w:rsidRPr="00D83000">
              <w:rPr>
                <w:rFonts w:ascii="Sylfaen" w:hAnsi="Sylfaen"/>
                <w:sz w:val="20"/>
                <w:szCs w:val="20"/>
              </w:rPr>
              <w:t>Գունավորության կոորդինատների փոփոխություն՝ ՄակԱդամի էլիպսի վեց միավորների սահմաններում կամ դրանից պակաս</w:t>
            </w:r>
          </w:p>
        </w:tc>
      </w:tr>
      <w:tr w:rsidR="00CA27E3" w:rsidRPr="00D83000" w14:paraId="7DC7932D" w14:textId="77777777" w:rsidTr="000809D3">
        <w:trPr>
          <w:jc w:val="center"/>
        </w:trPr>
        <w:tc>
          <w:tcPr>
            <w:tcW w:w="4224" w:type="dxa"/>
            <w:tcBorders>
              <w:top w:val="single" w:sz="4" w:space="0" w:color="auto"/>
              <w:left w:val="single" w:sz="4" w:space="0" w:color="auto"/>
              <w:bottom w:val="single" w:sz="4" w:space="0" w:color="auto"/>
            </w:tcBorders>
            <w:shd w:val="clear" w:color="auto" w:fill="FFFFFF"/>
            <w:vAlign w:val="center"/>
          </w:tcPr>
          <w:p w14:paraId="7E3C32B2" w14:textId="77777777" w:rsidR="00CA27E3" w:rsidRPr="00D83000" w:rsidRDefault="00CA27E3" w:rsidP="000809D3">
            <w:pPr>
              <w:pStyle w:val="a4"/>
              <w:shd w:val="clear" w:color="auto" w:fill="auto"/>
              <w:spacing w:after="120" w:line="240" w:lineRule="auto"/>
              <w:ind w:right="128" w:firstLine="0"/>
              <w:rPr>
                <w:rFonts w:ascii="Sylfaen" w:hAnsi="Sylfaen" w:cs="Sylfaen"/>
                <w:sz w:val="20"/>
                <w:szCs w:val="20"/>
              </w:rPr>
            </w:pPr>
            <w:r w:rsidRPr="00D83000">
              <w:rPr>
                <w:rFonts w:ascii="Sylfaen" w:hAnsi="Sylfaen"/>
                <w:sz w:val="20"/>
                <w:szCs w:val="20"/>
              </w:rPr>
              <w:t>Ներկառուցված ԳԿԱ-ով լամպերի համար լամպի հզորության գործակիցը (PF)</w:t>
            </w:r>
          </w:p>
        </w:tc>
        <w:tc>
          <w:tcPr>
            <w:tcW w:w="5362" w:type="dxa"/>
            <w:tcBorders>
              <w:top w:val="single" w:sz="4" w:space="0" w:color="auto"/>
              <w:left w:val="single" w:sz="4" w:space="0" w:color="auto"/>
              <w:bottom w:val="single" w:sz="4" w:space="0" w:color="auto"/>
              <w:right w:val="single" w:sz="4" w:space="0" w:color="auto"/>
            </w:tcBorders>
            <w:shd w:val="clear" w:color="auto" w:fill="FFFFFF"/>
            <w:vAlign w:val="bottom"/>
          </w:tcPr>
          <w:p w14:paraId="6671C7CE"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P ≤ 2 Վտ</w:t>
            </w:r>
            <w:r w:rsidRPr="00D83000" w:rsidDel="003C365F">
              <w:rPr>
                <w:rFonts w:ascii="Sylfaen" w:hAnsi="Sylfaen"/>
                <w:sz w:val="20"/>
                <w:szCs w:val="20"/>
              </w:rPr>
              <w:t xml:space="preserve"> </w:t>
            </w:r>
            <w:r w:rsidRPr="00D83000">
              <w:rPr>
                <w:rFonts w:ascii="Sylfaen" w:hAnsi="Sylfaen"/>
                <w:sz w:val="20"/>
                <w:szCs w:val="20"/>
              </w:rPr>
              <w:t xml:space="preserve">՝ պահանջներ չկան </w:t>
            </w:r>
          </w:p>
          <w:p w14:paraId="360B0E77" w14:textId="77777777" w:rsidR="00CA27E3" w:rsidRPr="00D83000" w:rsidRDefault="00CA27E3" w:rsidP="00D83000">
            <w:pPr>
              <w:pStyle w:val="a4"/>
              <w:shd w:val="clear" w:color="auto" w:fill="auto"/>
              <w:spacing w:after="120" w:line="240" w:lineRule="auto"/>
              <w:ind w:firstLine="0"/>
              <w:jc w:val="center"/>
              <w:rPr>
                <w:rFonts w:ascii="Sylfaen" w:hAnsi="Sylfaen"/>
                <w:sz w:val="20"/>
                <w:szCs w:val="20"/>
              </w:rPr>
            </w:pPr>
            <w:r w:rsidRPr="00D83000">
              <w:rPr>
                <w:rFonts w:ascii="Sylfaen" w:hAnsi="Sylfaen"/>
                <w:sz w:val="20"/>
                <w:szCs w:val="20"/>
              </w:rPr>
              <w:t>2 Վտ &lt; P ≤ 5 Վտ</w:t>
            </w:r>
            <w:r w:rsidRPr="00D83000" w:rsidDel="003C365F">
              <w:rPr>
                <w:rFonts w:ascii="Sylfaen" w:hAnsi="Sylfaen"/>
                <w:sz w:val="20"/>
                <w:szCs w:val="20"/>
              </w:rPr>
              <w:t xml:space="preserve"> </w:t>
            </w:r>
            <w:r w:rsidRPr="00D83000">
              <w:rPr>
                <w:rFonts w:ascii="Sylfaen" w:hAnsi="Sylfaen"/>
                <w:sz w:val="20"/>
                <w:szCs w:val="20"/>
              </w:rPr>
              <w:t>՝ PF &gt; 0,4</w:t>
            </w:r>
          </w:p>
          <w:p w14:paraId="6136C2E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 5 Վտ &lt; P ≤ 25 Վտ</w:t>
            </w:r>
            <w:r w:rsidRPr="00D83000" w:rsidDel="003C365F">
              <w:rPr>
                <w:rFonts w:ascii="Sylfaen" w:hAnsi="Sylfaen"/>
                <w:sz w:val="20"/>
                <w:szCs w:val="20"/>
              </w:rPr>
              <w:t xml:space="preserve"> </w:t>
            </w:r>
            <w:r w:rsidRPr="00D83000">
              <w:rPr>
                <w:rFonts w:ascii="Sylfaen" w:hAnsi="Sylfaen"/>
                <w:sz w:val="20"/>
                <w:szCs w:val="20"/>
              </w:rPr>
              <w:t>՝ PF &gt; 0,5</w:t>
            </w:r>
          </w:p>
          <w:p w14:paraId="0CDFB8F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 &gt; 25 Վտ</w:t>
            </w:r>
            <w:r w:rsidRPr="00D83000" w:rsidDel="003C365F">
              <w:rPr>
                <w:rFonts w:ascii="Sylfaen" w:hAnsi="Sylfaen"/>
                <w:sz w:val="20"/>
                <w:szCs w:val="20"/>
              </w:rPr>
              <w:t xml:space="preserve"> </w:t>
            </w:r>
            <w:r w:rsidRPr="00D83000">
              <w:rPr>
                <w:rFonts w:ascii="Sylfaen" w:hAnsi="Sylfaen"/>
                <w:sz w:val="20"/>
                <w:szCs w:val="20"/>
              </w:rPr>
              <w:t>՝ PF &gt; 0,9</w:t>
            </w:r>
          </w:p>
        </w:tc>
      </w:tr>
    </w:tbl>
    <w:p w14:paraId="6C660F12" w14:textId="77777777" w:rsidR="00CA27E3" w:rsidRPr="00CA27E3" w:rsidRDefault="00CA27E3" w:rsidP="00CA27E3">
      <w:pPr>
        <w:spacing w:after="160" w:line="360" w:lineRule="auto"/>
        <w:rPr>
          <w:rFonts w:ascii="Sylfaen" w:hAnsi="Sylfaen" w:cs="Sylfaen"/>
        </w:rPr>
      </w:pPr>
    </w:p>
    <w:p w14:paraId="225D0AC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Եթե լամպակոթը դասվում է ստանդարտ տիպին </w:t>
      </w:r>
      <w:r>
        <w:rPr>
          <w:rFonts w:ascii="Sylfaen" w:hAnsi="Sylfaen"/>
          <w:sz w:val="24"/>
          <w:szCs w:val="24"/>
        </w:rPr>
        <w:t>եւ</w:t>
      </w:r>
      <w:r w:rsidRPr="00CA27E3">
        <w:rPr>
          <w:rFonts w:ascii="Sylfaen" w:hAnsi="Sylfaen"/>
          <w:sz w:val="24"/>
          <w:szCs w:val="24"/>
        </w:rPr>
        <w:t xml:space="preserve"> օգտագործվում է նա</w:t>
      </w:r>
      <w:r>
        <w:rPr>
          <w:rFonts w:ascii="Sylfaen" w:hAnsi="Sylfaen"/>
          <w:sz w:val="24"/>
          <w:szCs w:val="24"/>
        </w:rPr>
        <w:t>եւ</w:t>
      </w:r>
      <w:r w:rsidRPr="00CA27E3">
        <w:rPr>
          <w:rFonts w:ascii="Sylfaen" w:hAnsi="Sylfaen"/>
          <w:sz w:val="24"/>
          <w:szCs w:val="24"/>
        </w:rPr>
        <w:t xml:space="preserve"> շիկացման լամպերի հետ, ապա, սկսած 2-րդ փուլից, լամպը պետք է </w:t>
      </w:r>
      <w:r w:rsidRPr="00CA27E3">
        <w:rPr>
          <w:rFonts w:ascii="Sylfaen" w:hAnsi="Sylfaen"/>
          <w:sz w:val="24"/>
          <w:szCs w:val="24"/>
        </w:rPr>
        <w:lastRenderedPageBreak/>
        <w:t xml:space="preserve">համապատասխանի ցանցի </w:t>
      </w:r>
      <w:r>
        <w:rPr>
          <w:rFonts w:ascii="Sylfaen" w:hAnsi="Sylfaen"/>
          <w:sz w:val="24"/>
          <w:szCs w:val="24"/>
        </w:rPr>
        <w:t>եւ</w:t>
      </w:r>
      <w:r w:rsidRPr="00CA27E3">
        <w:rPr>
          <w:rFonts w:ascii="Sylfaen" w:hAnsi="Sylfaen"/>
          <w:sz w:val="24"/>
          <w:szCs w:val="24"/>
        </w:rPr>
        <w:t xml:space="preserve"> շիկացման լամպերի միջ</w:t>
      </w:r>
      <w:r>
        <w:rPr>
          <w:rFonts w:ascii="Sylfaen" w:hAnsi="Sylfaen"/>
          <w:sz w:val="24"/>
          <w:szCs w:val="24"/>
        </w:rPr>
        <w:t>եւ</w:t>
      </w:r>
      <w:r w:rsidRPr="00CA27E3">
        <w:rPr>
          <w:rFonts w:ascii="Sylfaen" w:hAnsi="Sylfaen"/>
          <w:sz w:val="24"/>
          <w:szCs w:val="24"/>
        </w:rPr>
        <w:t xml:space="preserve"> տեղակայման համար նախատեսված սարքավորումների հետ համատեղելիությանը ներկայացվող պահանջների ժամանակակից մակարդակին։</w:t>
      </w:r>
    </w:p>
    <w:p w14:paraId="6672EA53"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9.</w:t>
      </w:r>
      <w:r w:rsidR="005C50BB" w:rsidRPr="005C50BB">
        <w:rPr>
          <w:rFonts w:ascii="Sylfaen" w:hAnsi="Sylfaen"/>
          <w:sz w:val="24"/>
          <w:szCs w:val="24"/>
        </w:rPr>
        <w:tab/>
      </w:r>
      <w:r w:rsidRPr="00CA27E3">
        <w:rPr>
          <w:rFonts w:ascii="Sylfaen" w:hAnsi="Sylfaen"/>
          <w:sz w:val="24"/>
          <w:szCs w:val="24"/>
        </w:rPr>
        <w:t xml:space="preserve">Ցանցի </w:t>
      </w:r>
      <w:r>
        <w:rPr>
          <w:rFonts w:ascii="Sylfaen" w:hAnsi="Sylfaen"/>
          <w:sz w:val="24"/>
          <w:szCs w:val="24"/>
        </w:rPr>
        <w:t>եւ</w:t>
      </w:r>
      <w:r w:rsidRPr="00CA27E3">
        <w:rPr>
          <w:rFonts w:ascii="Sylfaen" w:hAnsi="Sylfaen"/>
          <w:sz w:val="24"/>
          <w:szCs w:val="24"/>
        </w:rPr>
        <w:t xml:space="preserve"> լամպերի միջ</w:t>
      </w:r>
      <w:r>
        <w:rPr>
          <w:rFonts w:ascii="Sylfaen" w:hAnsi="Sylfaen"/>
          <w:sz w:val="24"/>
          <w:szCs w:val="24"/>
        </w:rPr>
        <w:t>եւ</w:t>
      </w:r>
      <w:r w:rsidRPr="00CA27E3">
        <w:rPr>
          <w:rFonts w:ascii="Sylfaen" w:hAnsi="Sylfaen"/>
          <w:sz w:val="24"/>
          <w:szCs w:val="24"/>
        </w:rPr>
        <w:t xml:space="preserve"> տեղակայման համար նախատեսված սարքավորման բնութագրերին ներկայացվող պահանջները</w:t>
      </w:r>
    </w:p>
    <w:p w14:paraId="61946C4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Սկսած 2-րդ փուլից՝ ցանցի </w:t>
      </w:r>
      <w:r>
        <w:rPr>
          <w:rFonts w:ascii="Sylfaen" w:hAnsi="Sylfaen"/>
          <w:sz w:val="24"/>
          <w:szCs w:val="24"/>
        </w:rPr>
        <w:t>եւ</w:t>
      </w:r>
      <w:r w:rsidRPr="00CA27E3">
        <w:rPr>
          <w:rFonts w:ascii="Sylfaen" w:hAnsi="Sylfaen"/>
          <w:sz w:val="24"/>
          <w:szCs w:val="24"/>
        </w:rPr>
        <w:t xml:space="preserve"> լամպերի միջ</w:t>
      </w:r>
      <w:r>
        <w:rPr>
          <w:rFonts w:ascii="Sylfaen" w:hAnsi="Sylfaen"/>
          <w:sz w:val="24"/>
          <w:szCs w:val="24"/>
        </w:rPr>
        <w:t>եւ</w:t>
      </w:r>
      <w:r w:rsidRPr="00CA27E3">
        <w:rPr>
          <w:rFonts w:ascii="Sylfaen" w:hAnsi="Sylfaen"/>
          <w:sz w:val="24"/>
          <w:szCs w:val="24"/>
        </w:rPr>
        <w:t xml:space="preserve"> տեղակայման համար նախատեսված սարքավորումը պետք է համապատասխանի այն լամպերի հետ համատեղելիությանը ներկայացվող պահանջների ժամանակակից մակարդակին, որոնց էներգաարդյունավետության ցուցիչը (հաշվարկված ուղղորդված լույսի լամպերի </w:t>
      </w:r>
      <w:r>
        <w:rPr>
          <w:rFonts w:ascii="Sylfaen" w:hAnsi="Sylfaen"/>
          <w:sz w:val="24"/>
          <w:szCs w:val="24"/>
        </w:rPr>
        <w:t>եւ</w:t>
      </w:r>
      <w:r w:rsidRPr="00CA27E3">
        <w:rPr>
          <w:rFonts w:ascii="Sylfaen" w:hAnsi="Sylfaen"/>
          <w:sz w:val="24"/>
          <w:szCs w:val="24"/>
        </w:rPr>
        <w:t xml:space="preserve"> չուղղորդված լույսի լամպերի համար՝ սույն պահանջների 4-րդ կետում նշված մեթոդին համապատասխան), սակայն ոչ ավելի քան՝</w:t>
      </w:r>
    </w:p>
    <w:p w14:paraId="160B093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0,24՝ չուղղորդված լույսի լամպերի համար (ենթադրվում է, որ Φ</w:t>
      </w:r>
      <w:r w:rsidRPr="00CA27E3">
        <w:rPr>
          <w:rFonts w:ascii="Sylfaen" w:hAnsi="Sylfaen"/>
          <w:sz w:val="24"/>
          <w:szCs w:val="24"/>
          <w:vertAlign w:val="subscript"/>
        </w:rPr>
        <w:t>use</w:t>
      </w:r>
      <w:r w:rsidRPr="00CA27E3">
        <w:rPr>
          <w:rFonts w:ascii="Sylfaen" w:hAnsi="Sylfaen"/>
          <w:sz w:val="24"/>
          <w:szCs w:val="24"/>
        </w:rPr>
        <w:t xml:space="preserve"> = լրիվ անվանական լուսային հոսքին).</w:t>
      </w:r>
    </w:p>
    <w:p w14:paraId="406D042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0,40՝ ուղղորդված լույսի լամպերի համար։</w:t>
      </w:r>
    </w:p>
    <w:p w14:paraId="31462EF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պայծառության կարգավորման սարքվածքը սարված է նվազագույն պայծառության դիրքում, որում աշխատող լամպերը դեռ</w:t>
      </w:r>
      <w:r>
        <w:rPr>
          <w:rFonts w:ascii="Sylfaen" w:hAnsi="Sylfaen"/>
          <w:sz w:val="24"/>
          <w:szCs w:val="24"/>
        </w:rPr>
        <w:t>եւ</w:t>
      </w:r>
      <w:r w:rsidRPr="00CA27E3">
        <w:rPr>
          <w:rFonts w:ascii="Sylfaen" w:hAnsi="Sylfaen"/>
          <w:sz w:val="24"/>
          <w:szCs w:val="24"/>
        </w:rPr>
        <w:t>ս էներգիա են սպառում, ապա այդ աշխատող լամպերը պետք է ճառագայթեն իրենց լուսային հոսքի առնվազն 1 %-ը՝ լրիվ հզորության դեպքում։</w:t>
      </w:r>
    </w:p>
    <w:p w14:paraId="6C84231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Եթե լուսատուն նախատեսված է օգտագործողի կողմից կիրառման համար </w:t>
      </w:r>
      <w:r>
        <w:rPr>
          <w:rFonts w:ascii="Sylfaen" w:hAnsi="Sylfaen"/>
          <w:sz w:val="24"/>
          <w:szCs w:val="24"/>
        </w:rPr>
        <w:t>եւ</w:t>
      </w:r>
      <w:r w:rsidRPr="00CA27E3">
        <w:rPr>
          <w:rFonts w:ascii="Sylfaen" w:hAnsi="Sylfaen"/>
          <w:sz w:val="24"/>
          <w:szCs w:val="24"/>
        </w:rPr>
        <w:t xml:space="preserve"> դրա կառուցվածքը թույլ է տալիս օգտագործողի կողմից լամպի փոխարինում, ապա այդ լուսատուի հետ համատեղելի լամպերը պետք է դասվեն էներգաարդյունավետության ցուցիչի 2 բարձր դասերից մեկին։</w:t>
      </w:r>
    </w:p>
    <w:p w14:paraId="24437BD5"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10.</w:t>
      </w:r>
      <w:r w:rsidR="005C50BB" w:rsidRPr="005C50BB">
        <w:rPr>
          <w:rFonts w:ascii="Sylfaen" w:hAnsi="Sylfaen"/>
          <w:sz w:val="24"/>
          <w:szCs w:val="24"/>
        </w:rPr>
        <w:tab/>
      </w:r>
      <w:r w:rsidRPr="00CA27E3">
        <w:rPr>
          <w:rFonts w:ascii="Sylfaen" w:hAnsi="Sylfaen"/>
          <w:sz w:val="24"/>
          <w:szCs w:val="24"/>
        </w:rPr>
        <w:t xml:space="preserve">Սույն բաժնի 2-րդ </w:t>
      </w:r>
      <w:r>
        <w:rPr>
          <w:rFonts w:ascii="Sylfaen" w:hAnsi="Sylfaen"/>
          <w:sz w:val="24"/>
          <w:szCs w:val="24"/>
        </w:rPr>
        <w:t>եւ</w:t>
      </w:r>
      <w:r w:rsidRPr="00CA27E3">
        <w:rPr>
          <w:rFonts w:ascii="Sylfaen" w:hAnsi="Sylfaen"/>
          <w:sz w:val="24"/>
          <w:szCs w:val="24"/>
        </w:rPr>
        <w:t xml:space="preserve"> 3-րդ ենթաբաժիններում նշված պահանջները կիրառվում են հետ</w:t>
      </w:r>
      <w:r>
        <w:rPr>
          <w:rFonts w:ascii="Sylfaen" w:hAnsi="Sylfaen"/>
          <w:sz w:val="24"/>
          <w:szCs w:val="24"/>
        </w:rPr>
        <w:t>եւ</w:t>
      </w:r>
      <w:r w:rsidRPr="00CA27E3">
        <w:rPr>
          <w:rFonts w:ascii="Sylfaen" w:hAnsi="Sylfaen"/>
          <w:sz w:val="24"/>
          <w:szCs w:val="24"/>
        </w:rPr>
        <w:t>յալ փուլերին համապատասխան՝</w:t>
      </w:r>
    </w:p>
    <w:p w14:paraId="4BF256B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1-ին փուլ՝ 2022 թվականի սեպտեմբերի 1-ից,</w:t>
      </w:r>
    </w:p>
    <w:p w14:paraId="2AF4CCF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2-րդ փուլ՝ 2023 թվականի սեպտեմբերի 1-ից,</w:t>
      </w:r>
    </w:p>
    <w:p w14:paraId="0C682BE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3-րդ փուլ՝ 2024 թվականի սեպտեմբերի 1-ից։</w:t>
      </w:r>
    </w:p>
    <w:p w14:paraId="1369D0C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պահանջը չի փոխարինվելու կամ այլ բան նշված չէ, ապա դրանք կատարվում են ավելի ուշ փուլերում ներմուծված այլ պահանջների հետ միասին։</w:t>
      </w:r>
    </w:p>
    <w:p w14:paraId="5D7C4108"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11.</w:t>
      </w:r>
      <w:r w:rsidR="005C50BB" w:rsidRPr="005C50BB">
        <w:rPr>
          <w:rFonts w:ascii="Sylfaen" w:hAnsi="Sylfaen"/>
          <w:sz w:val="24"/>
          <w:szCs w:val="24"/>
        </w:rPr>
        <w:tab/>
      </w:r>
      <w:r w:rsidRPr="00CA27E3">
        <w:rPr>
          <w:rFonts w:ascii="Sylfaen" w:hAnsi="Sylfaen"/>
          <w:sz w:val="24"/>
          <w:szCs w:val="24"/>
        </w:rPr>
        <w:t>Ի լրումն տեխնիկական կանոնակարգի IV բաժնում նշված պահանջների՝ փաթեթվածքը կամ շահագործման փաստաթղթերը պետք է պարունակեն հետ</w:t>
      </w:r>
      <w:r>
        <w:rPr>
          <w:rFonts w:ascii="Sylfaen" w:hAnsi="Sylfaen"/>
          <w:sz w:val="24"/>
          <w:szCs w:val="24"/>
        </w:rPr>
        <w:t>եւ</w:t>
      </w:r>
      <w:r w:rsidRPr="00CA27E3">
        <w:rPr>
          <w:rFonts w:ascii="Sylfaen" w:hAnsi="Sylfaen"/>
          <w:sz w:val="24"/>
          <w:szCs w:val="24"/>
        </w:rPr>
        <w:t>յալ տեղեկատվությունը՝</w:t>
      </w:r>
    </w:p>
    <w:p w14:paraId="02D7B3B7"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ա)</w:t>
      </w:r>
      <w:r w:rsidR="005C50BB" w:rsidRPr="005C50BB">
        <w:rPr>
          <w:rFonts w:ascii="Sylfaen" w:hAnsi="Sylfaen"/>
          <w:sz w:val="24"/>
          <w:szCs w:val="24"/>
        </w:rPr>
        <w:tab/>
      </w:r>
      <w:r w:rsidRPr="00CA27E3">
        <w:rPr>
          <w:rFonts w:ascii="Sylfaen" w:hAnsi="Sylfaen"/>
          <w:sz w:val="24"/>
          <w:szCs w:val="24"/>
        </w:rPr>
        <w:t>ուղղորդված լույսի լամպերի համար արտադրանքի մասին տեղեկատվությանը ներկայացվող պահանջները։</w:t>
      </w:r>
    </w:p>
    <w:p w14:paraId="281624D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Պահանջները չեն տարածվում</w:t>
      </w:r>
      <w:r w:rsidRPr="00CA27E3" w:rsidDel="00CC2E02">
        <w:rPr>
          <w:rFonts w:ascii="Sylfaen" w:hAnsi="Sylfaen"/>
          <w:sz w:val="24"/>
          <w:szCs w:val="24"/>
        </w:rPr>
        <w:t xml:space="preserve"> </w:t>
      </w:r>
      <w:r w:rsidRPr="00CA27E3">
        <w:rPr>
          <w:rFonts w:ascii="Sylfaen" w:hAnsi="Sylfaen"/>
          <w:sz w:val="24"/>
          <w:szCs w:val="24"/>
        </w:rPr>
        <w:t>՝</w:t>
      </w:r>
    </w:p>
    <w:p w14:paraId="7490DA4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2-րդ փուլի էներգաարդյունավետության պահանջներին չբավարարող շիկացման լամպերի,</w:t>
      </w:r>
    </w:p>
    <w:p w14:paraId="7413864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որպես այն լուսատուի մաս մատակարարվող լուսադիոդային մոդուլների վրա, որի համար դրանք նախատեսված չեն օգտագործողի կողմից փոխարինման համար։</w:t>
      </w:r>
    </w:p>
    <w:p w14:paraId="2C14190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Սկսած 1-ին փուլից՝ պետք է տրամադրվի հետ</w:t>
      </w:r>
      <w:r>
        <w:rPr>
          <w:rFonts w:ascii="Sylfaen" w:hAnsi="Sylfaen"/>
          <w:sz w:val="24"/>
          <w:szCs w:val="24"/>
        </w:rPr>
        <w:t>եւ</w:t>
      </w:r>
      <w:r w:rsidRPr="00CA27E3">
        <w:rPr>
          <w:rFonts w:ascii="Sylfaen" w:hAnsi="Sylfaen"/>
          <w:sz w:val="24"/>
          <w:szCs w:val="24"/>
        </w:rPr>
        <w:t>յալ տեղեկատվությունը (եթե</w:t>
      </w:r>
      <w:r w:rsidR="000809D3" w:rsidRPr="000809D3">
        <w:rPr>
          <w:rFonts w:ascii="Sylfaen" w:hAnsi="Sylfaen"/>
          <w:sz w:val="24"/>
          <w:szCs w:val="24"/>
        </w:rPr>
        <w:t> </w:t>
      </w:r>
      <w:r w:rsidRPr="00CA27E3">
        <w:rPr>
          <w:rFonts w:ascii="Sylfaen" w:hAnsi="Sylfaen"/>
          <w:sz w:val="24"/>
          <w:szCs w:val="24"/>
        </w:rPr>
        <w:t>այլ բան սահմանված չէ), ընդ որում՝ «էներգախնայող լամպ» հասկացությունը կարող է կիրառվել, եթե լամպի էներգետիկ արդյունավետության ցուցիչը (հաշվարկված սույն պահանջների III բաժնում շարադրված մեթոդին համապատասխան), հավասար կամ ցածր է 0,40-ից.</w:t>
      </w:r>
    </w:p>
    <w:p w14:paraId="1A101DE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լամպի մակերեսին ընթեռնելի տառատեսակով զետեղվող տեղեկատվությունը (բացի բարձր ինտենսիվության պարպումային լամպերից)՝ անվանական օգտակար լուսային հոսքի, գունային ջերմաստիճանի </w:t>
      </w:r>
      <w:r>
        <w:rPr>
          <w:rFonts w:ascii="Sylfaen" w:hAnsi="Sylfaen"/>
          <w:sz w:val="24"/>
          <w:szCs w:val="24"/>
        </w:rPr>
        <w:t>եւ</w:t>
      </w:r>
      <w:r w:rsidRPr="00CA27E3">
        <w:rPr>
          <w:rFonts w:ascii="Sylfaen" w:hAnsi="Sylfaen"/>
          <w:sz w:val="24"/>
          <w:szCs w:val="24"/>
        </w:rPr>
        <w:t xml:space="preserve"> ցրման անվանական անկյան արժեքը </w:t>
      </w:r>
      <w:r>
        <w:rPr>
          <w:rFonts w:ascii="Sylfaen" w:hAnsi="Sylfaen"/>
          <w:sz w:val="24"/>
          <w:szCs w:val="24"/>
        </w:rPr>
        <w:t>եւ</w:t>
      </w:r>
      <w:r w:rsidRPr="00CA27E3">
        <w:rPr>
          <w:rFonts w:ascii="Sylfaen" w:hAnsi="Sylfaen"/>
          <w:sz w:val="24"/>
          <w:szCs w:val="24"/>
        </w:rPr>
        <w:t xml:space="preserve"> չափման միավորը («լմ», «K» </w:t>
      </w:r>
      <w:r>
        <w:rPr>
          <w:rFonts w:ascii="Sylfaen" w:hAnsi="Sylfaen"/>
          <w:sz w:val="24"/>
          <w:szCs w:val="24"/>
        </w:rPr>
        <w:t>եւ</w:t>
      </w:r>
      <w:r w:rsidRPr="00CA27E3">
        <w:rPr>
          <w:rFonts w:ascii="Sylfaen" w:hAnsi="Sylfaen"/>
          <w:sz w:val="24"/>
          <w:szCs w:val="24"/>
        </w:rPr>
        <w:t xml:space="preserve"> «</w:t>
      </w:r>
      <w:r w:rsidRPr="00CA27E3">
        <w:rPr>
          <w:rFonts w:ascii="Sylfaen" w:hAnsi="Sylfaen"/>
          <w:sz w:val="24"/>
          <w:szCs w:val="24"/>
          <w:vertAlign w:val="superscript"/>
        </w:rPr>
        <w:t>o</w:t>
      </w:r>
      <w:r w:rsidRPr="00CA27E3">
        <w:rPr>
          <w:rFonts w:ascii="Sylfaen" w:hAnsi="Sylfaen"/>
          <w:sz w:val="24"/>
          <w:szCs w:val="24"/>
        </w:rPr>
        <w:t xml:space="preserve">»), եթե անվտանգությանը վերաբերող այնպիսի տեղեկատվություն զետեղելուց հետո, ինչպիսիք հզորությունն ու լարումն են, ապա լամպի վրա մնում է բավականաչափ տեղ՝ լամպից ճառագայթվող լույսն </w:t>
      </w:r>
      <w:r w:rsidRPr="000809D3">
        <w:rPr>
          <w:rFonts w:ascii="Sylfaen" w:hAnsi="Sylfaen"/>
          <w:sz w:val="24"/>
          <w:szCs w:val="24"/>
        </w:rPr>
        <w:t>առանց չափից դուրս</w:t>
      </w:r>
      <w:r w:rsidRPr="00CA27E3">
        <w:rPr>
          <w:rFonts w:ascii="Sylfaen" w:hAnsi="Sylfaen"/>
          <w:sz w:val="24"/>
          <w:szCs w:val="24"/>
        </w:rPr>
        <w:t xml:space="preserve"> ստվերարկման։</w:t>
      </w:r>
    </w:p>
    <w:p w14:paraId="7757AE8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0809D3">
        <w:rPr>
          <w:rFonts w:ascii="Sylfaen" w:hAnsi="Sylfaen"/>
          <w:spacing w:val="-6"/>
          <w:sz w:val="24"/>
          <w:szCs w:val="24"/>
        </w:rPr>
        <w:lastRenderedPageBreak/>
        <w:t>Եթե կա բավականաչափ տեղ միայն 3 արժեքներից մեկի համար, ապա պետք է նշվի անվանական</w:t>
      </w:r>
      <w:r w:rsidRPr="00CA27E3">
        <w:rPr>
          <w:rFonts w:ascii="Sylfaen" w:hAnsi="Sylfaen"/>
          <w:sz w:val="24"/>
          <w:szCs w:val="24"/>
        </w:rPr>
        <w:t xml:space="preserve"> օգտակար լուսային հոսքը։ Եթե կա տեղ 2 արժեքների համար, ապա պետք է նշվեն անվանական օգտակար լուսային հոսքը </w:t>
      </w:r>
      <w:r>
        <w:rPr>
          <w:rFonts w:ascii="Sylfaen" w:hAnsi="Sylfaen"/>
          <w:sz w:val="24"/>
          <w:szCs w:val="24"/>
        </w:rPr>
        <w:t>եւ</w:t>
      </w:r>
      <w:r w:rsidRPr="00CA27E3">
        <w:rPr>
          <w:rFonts w:ascii="Sylfaen" w:hAnsi="Sylfaen"/>
          <w:sz w:val="24"/>
          <w:szCs w:val="24"/>
        </w:rPr>
        <w:t xml:space="preserve"> գունային ջերմաստիճանը.</w:t>
      </w:r>
    </w:p>
    <w:p w14:paraId="79D0920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փաթեթվածքի </w:t>
      </w:r>
      <w:r w:rsidR="000809D3">
        <w:rPr>
          <w:rFonts w:ascii="Sylfaen" w:hAnsi="Sylfaen"/>
          <w:sz w:val="24"/>
          <w:szCs w:val="24"/>
        </w:rPr>
        <w:t xml:space="preserve">վրա զետեղվող տեղեկատվությունը` </w:t>
      </w:r>
      <w:r w:rsidRPr="00CA27E3">
        <w:rPr>
          <w:rFonts w:ascii="Sylfaen" w:hAnsi="Sylfaen"/>
          <w:sz w:val="24"/>
          <w:szCs w:val="24"/>
        </w:rPr>
        <w:t xml:space="preserve">արտադրանքի մասին տեղեկատվությունը պետք է լինի հասկանալի </w:t>
      </w:r>
      <w:r>
        <w:rPr>
          <w:rFonts w:ascii="Sylfaen" w:hAnsi="Sylfaen"/>
          <w:sz w:val="24"/>
          <w:szCs w:val="24"/>
        </w:rPr>
        <w:t>եւ</w:t>
      </w:r>
      <w:r w:rsidRPr="00CA27E3">
        <w:rPr>
          <w:rFonts w:ascii="Sylfaen" w:hAnsi="Sylfaen"/>
          <w:sz w:val="24"/>
          <w:szCs w:val="24"/>
        </w:rPr>
        <w:t xml:space="preserve"> պարզ ու ոչ պարտադիր, պետք է պարունակի նշված ցանկից հստակ ձ</w:t>
      </w:r>
      <w:r>
        <w:rPr>
          <w:rFonts w:ascii="Sylfaen" w:hAnsi="Sylfaen"/>
          <w:sz w:val="24"/>
          <w:szCs w:val="24"/>
        </w:rPr>
        <w:t>եւ</w:t>
      </w:r>
      <w:r w:rsidRPr="00CA27E3">
        <w:rPr>
          <w:rFonts w:ascii="Sylfaen" w:hAnsi="Sylfaen"/>
          <w:sz w:val="24"/>
          <w:szCs w:val="24"/>
        </w:rPr>
        <w:t>ակերպում, կարող է արտապատկերվել գրաֆիկների, նկարների կամ պայմանանշանների տեքստով՝</w:t>
      </w:r>
    </w:p>
    <w:p w14:paraId="517E9D3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անվանական օգտակար լուսային հոսքը, որն արտապատկերվում է լամպի անվանական հզորությունն արտապատկերելու համար օգտագործվող տառատեսակից նվազագույնը երկու անգամ մեծ տառատեսակով.</w:t>
      </w:r>
    </w:p>
    <w:p w14:paraId="016200E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ծառայության անվանական ժամկետը՝ ժամով (ծառայության հաշվարկային ժամկետից ոչ ավելի).</w:t>
      </w:r>
    </w:p>
    <w:p w14:paraId="27C9610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Կելվինի աստիճաններով, ինչպես նա</w:t>
      </w:r>
      <w:r>
        <w:rPr>
          <w:rFonts w:ascii="Sylfaen" w:hAnsi="Sylfaen"/>
          <w:sz w:val="24"/>
          <w:szCs w:val="24"/>
        </w:rPr>
        <w:t>եւ</w:t>
      </w:r>
      <w:r w:rsidRPr="00CA27E3">
        <w:rPr>
          <w:rFonts w:ascii="Sylfaen" w:hAnsi="Sylfaen"/>
          <w:sz w:val="24"/>
          <w:szCs w:val="24"/>
        </w:rPr>
        <w:t xml:space="preserve"> գրաֆիկորեն կամ բառերով արտահայտված գունային ջերմաստիճանը.</w:t>
      </w:r>
    </w:p>
    <w:p w14:paraId="739D265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փոխարկման ցիկլերի քանակը՝ մինչ</w:t>
      </w:r>
      <w:r>
        <w:rPr>
          <w:rFonts w:ascii="Sylfaen" w:hAnsi="Sylfaen"/>
          <w:sz w:val="24"/>
          <w:szCs w:val="24"/>
        </w:rPr>
        <w:t>եւ</w:t>
      </w:r>
      <w:r w:rsidRPr="00CA27E3">
        <w:rPr>
          <w:rFonts w:ascii="Sylfaen" w:hAnsi="Sylfaen"/>
          <w:sz w:val="24"/>
          <w:szCs w:val="24"/>
        </w:rPr>
        <w:t xml:space="preserve"> ժամանակից շուտ խափանումը.</w:t>
      </w:r>
    </w:p>
    <w:p w14:paraId="6ED484D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թեժացման ժամանակը՝ լրիվ գունային հոսքի մինչ</w:t>
      </w:r>
      <w:r>
        <w:rPr>
          <w:rFonts w:ascii="Sylfaen" w:hAnsi="Sylfaen"/>
          <w:sz w:val="24"/>
          <w:szCs w:val="24"/>
        </w:rPr>
        <w:t>եւ</w:t>
      </w:r>
      <w:r w:rsidRPr="00CA27E3">
        <w:rPr>
          <w:rFonts w:ascii="Sylfaen" w:hAnsi="Sylfaen"/>
          <w:sz w:val="24"/>
          <w:szCs w:val="24"/>
        </w:rPr>
        <w:t xml:space="preserve"> 60 %-ը (կարող է նշագրվել որպես «ակնթարթային լրիվ լույս», եթե այն 1 վայրկյանից պակաս է).</w:t>
      </w:r>
    </w:p>
    <w:p w14:paraId="69F8712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նախազգուշացում, եթե լամպը չի նախատեսում պայծառության կառավարում կամ պայծառության կառավարման համար թույլատրելի են միայն կոնկրետ դիմմերներ. (վերջին դեպքում, նշելով դիմմերների ցանկը, պետք է բերվեն «Ինտերնետ» տեղեկատվական-հեռահաղորդակցական ցանցում արտադրողի (մատակարարի) էջում).</w:t>
      </w:r>
    </w:p>
    <w:p w14:paraId="7B192780"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լամպը նախատեսված է ոչ ստանդարտ պայմաններում օպտիմալ օգտագործման համար (օրինակ, շրջակա միջավայրի՝ Ta ≠ 25 °C ջերմաստիճանի դեպքում կամ պահանջվում է ջերմաստիճանի հատուկ կառավարում)՝ այդ պայմանների մասին տեղեկատվությունը.</w:t>
      </w:r>
    </w:p>
    <w:p w14:paraId="0F0D46E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լամպի չափսերը մմ-ով (երկարությունները </w:t>
      </w:r>
      <w:r>
        <w:rPr>
          <w:rFonts w:ascii="Sylfaen" w:hAnsi="Sylfaen"/>
          <w:sz w:val="24"/>
          <w:szCs w:val="24"/>
        </w:rPr>
        <w:t>եւ</w:t>
      </w:r>
      <w:r w:rsidRPr="00CA27E3">
        <w:rPr>
          <w:rFonts w:ascii="Sylfaen" w:hAnsi="Sylfaen"/>
          <w:sz w:val="24"/>
          <w:szCs w:val="24"/>
        </w:rPr>
        <w:t xml:space="preserve"> առավելագույն տրամագիծը). ճառագայթի ցրման անվանական անկյունը՝ աստիճաններով.</w:t>
      </w:r>
    </w:p>
    <w:p w14:paraId="0B65A087"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եթե լամպի ճառագայթի ցրման անկյունը ≥ 90° </w:t>
      </w:r>
      <w:r>
        <w:rPr>
          <w:rFonts w:ascii="Sylfaen" w:hAnsi="Sylfaen"/>
          <w:sz w:val="24"/>
          <w:szCs w:val="24"/>
        </w:rPr>
        <w:t>եւ</w:t>
      </w:r>
      <w:r w:rsidRPr="00CA27E3">
        <w:rPr>
          <w:rFonts w:ascii="Sylfaen" w:hAnsi="Sylfaen"/>
          <w:sz w:val="24"/>
          <w:szCs w:val="24"/>
        </w:rPr>
        <w:t xml:space="preserve"> սույն բաժնի 1-ին ենթաբաժնին համապատասխան որոշված դրա օգտակար լուսային հոսքը պետք է չափվի 120° կոնում, ապա բերվում է նախազգուշացնող նշում, որ լամպը հարմար չէ ուղղորդված լուսավորման համար.</w:t>
      </w:r>
    </w:p>
    <w:p w14:paraId="54CC0CA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լամպի լամպակոթը դասվում է նա</w:t>
      </w:r>
      <w:r>
        <w:rPr>
          <w:rFonts w:ascii="Sylfaen" w:hAnsi="Sylfaen"/>
          <w:sz w:val="24"/>
          <w:szCs w:val="24"/>
        </w:rPr>
        <w:t>եւ</w:t>
      </w:r>
      <w:r w:rsidRPr="00CA27E3">
        <w:rPr>
          <w:rFonts w:ascii="Sylfaen" w:hAnsi="Sylfaen"/>
          <w:sz w:val="24"/>
          <w:szCs w:val="24"/>
        </w:rPr>
        <w:t xml:space="preserve"> շիկացման լամպերի հետ օգտագործվող ստանդարտացված տիպին, </w:t>
      </w:r>
      <w:r>
        <w:rPr>
          <w:rFonts w:ascii="Sylfaen" w:hAnsi="Sylfaen"/>
          <w:sz w:val="24"/>
          <w:szCs w:val="24"/>
        </w:rPr>
        <w:t>եւ</w:t>
      </w:r>
      <w:r w:rsidRPr="00CA27E3">
        <w:rPr>
          <w:rFonts w:ascii="Sylfaen" w:hAnsi="Sylfaen"/>
          <w:sz w:val="24"/>
          <w:szCs w:val="24"/>
        </w:rPr>
        <w:t xml:space="preserve"> եթե լամպի չափսերը տարբերվում են փոխարինման համար նախատեսված շիկացման լամպերի չափսերից՝ տվյալ լամպի </w:t>
      </w:r>
      <w:r>
        <w:rPr>
          <w:rFonts w:ascii="Sylfaen" w:hAnsi="Sylfaen"/>
          <w:sz w:val="24"/>
          <w:szCs w:val="24"/>
        </w:rPr>
        <w:t>եւ</w:t>
      </w:r>
      <w:r w:rsidRPr="00CA27E3">
        <w:rPr>
          <w:rFonts w:ascii="Sylfaen" w:hAnsi="Sylfaen"/>
          <w:sz w:val="24"/>
          <w:szCs w:val="24"/>
        </w:rPr>
        <w:t xml:space="preserve"> փոխարինվող շիկացման լամպի համեմատական չափսերի նկարը.</w:t>
      </w:r>
    </w:p>
    <w:p w14:paraId="330DF93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տիպի մասին տեղեկատվությունը, որը նշված է 6-րդ աղյուսակի առաջին սյունակում, բերվում է այն դեպքում, երբ լամպի լուսային հոսքը 90° (Φ</w:t>
      </w:r>
      <w:r w:rsidRPr="00CA27E3">
        <w:rPr>
          <w:rFonts w:ascii="Sylfaen" w:hAnsi="Sylfaen"/>
          <w:sz w:val="24"/>
          <w:szCs w:val="24"/>
          <w:vertAlign w:val="subscript"/>
        </w:rPr>
        <w:t>90</w:t>
      </w:r>
      <w:r w:rsidRPr="00CA27E3">
        <w:rPr>
          <w:rFonts w:ascii="Sylfaen" w:hAnsi="Sylfaen"/>
          <w:sz w:val="24"/>
          <w:szCs w:val="24"/>
        </w:rPr>
        <w:t>°) կոնում ցածր չէ 6-րդ աղյուսակում համապատասխան տիպի լամպի շարքում նվազագույն հզորությամբ լամպի համար նշված չափանմուշային լուսային հոսքից։ Չափանմուշային լուսային հոսքը պետք է բազմապատկվի 7-րդ աղյուսակում նշված ճշգրտման գործակցով, լուսադիոդային լամպերի համար պետք է լրացուցիչ բազմապատկվի 8-րդ աղյուսակում նշված ճշգրտման գործակցով.</w:t>
      </w:r>
    </w:p>
    <w:p w14:paraId="3A1ECD0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համարժեքության մասին տեղեկատվությունը, որն իր մեջ ներառում է փոխարինվող տիպի լամպի հզորությունը՝ միայն այն դեպքում, եթե լամպը </w:t>
      </w:r>
      <w:r w:rsidRPr="000809D3">
        <w:rPr>
          <w:rFonts w:ascii="Sylfaen" w:hAnsi="Sylfaen"/>
          <w:spacing w:val="-6"/>
          <w:sz w:val="24"/>
          <w:szCs w:val="24"/>
        </w:rPr>
        <w:t>դասվում է 6-րդ աղյուսակում նշված տիպին եւ եթե լամպի լուսային հոսքը 90° (Φ</w:t>
      </w:r>
      <w:r w:rsidRPr="000809D3">
        <w:rPr>
          <w:rFonts w:ascii="Sylfaen" w:hAnsi="Sylfaen"/>
          <w:spacing w:val="-6"/>
          <w:sz w:val="24"/>
          <w:szCs w:val="24"/>
          <w:vertAlign w:val="subscript"/>
        </w:rPr>
        <w:t>90</w:t>
      </w:r>
      <w:r w:rsidRPr="000809D3">
        <w:rPr>
          <w:rFonts w:ascii="Sylfaen" w:hAnsi="Sylfaen"/>
          <w:spacing w:val="-6"/>
          <w:sz w:val="24"/>
          <w:szCs w:val="24"/>
        </w:rPr>
        <w:t>°) կոնում</w:t>
      </w:r>
      <w:r w:rsidRPr="00CA27E3">
        <w:rPr>
          <w:rFonts w:ascii="Sylfaen" w:hAnsi="Sylfaen"/>
          <w:sz w:val="24"/>
          <w:szCs w:val="24"/>
        </w:rPr>
        <w:t xml:space="preserve"> ցածր չէ 6-րդ աղյուսակում նշված՝ համապատասխան չափանմուշային լուսային հոսքից։ Չափանմուշային լուսային հոսքը պետք է բազմապատկվի 7-րդ աղյուսակից ճշգրտման գործակցով։ Լուսադիոդային լամպերի համար այն պետք է լրացուցիչ բազմապատկվի 8-րդ աղյուսակից ճշգրտման գործակցով։ Լուսային հոսքի </w:t>
      </w:r>
      <w:r>
        <w:rPr>
          <w:rFonts w:ascii="Sylfaen" w:hAnsi="Sylfaen"/>
          <w:sz w:val="24"/>
          <w:szCs w:val="24"/>
        </w:rPr>
        <w:t>եւ</w:t>
      </w:r>
      <w:r w:rsidRPr="00CA27E3">
        <w:rPr>
          <w:rFonts w:ascii="Sylfaen" w:hAnsi="Sylfaen"/>
          <w:sz w:val="24"/>
          <w:szCs w:val="24"/>
        </w:rPr>
        <w:t xml:space="preserve"> լամպի հայտարարված համարժեք հզորության միջանկյալ արժեքները (մինչ</w:t>
      </w:r>
      <w:r>
        <w:rPr>
          <w:rFonts w:ascii="Sylfaen" w:hAnsi="Sylfaen"/>
          <w:sz w:val="24"/>
          <w:szCs w:val="24"/>
        </w:rPr>
        <w:t>եւ</w:t>
      </w:r>
      <w:r w:rsidRPr="00CA27E3">
        <w:rPr>
          <w:rFonts w:ascii="Sylfaen" w:hAnsi="Sylfaen"/>
          <w:sz w:val="24"/>
          <w:szCs w:val="24"/>
        </w:rPr>
        <w:t xml:space="preserve"> 1 Վտ ամբողջ թիվ կլորացմամբ) հաշվարկվում են 2 հար</w:t>
      </w:r>
      <w:r>
        <w:rPr>
          <w:rFonts w:ascii="Sylfaen" w:hAnsi="Sylfaen"/>
          <w:sz w:val="24"/>
          <w:szCs w:val="24"/>
        </w:rPr>
        <w:t>եւ</w:t>
      </w:r>
      <w:r w:rsidRPr="00CA27E3">
        <w:rPr>
          <w:rFonts w:ascii="Sylfaen" w:hAnsi="Sylfaen"/>
          <w:sz w:val="24"/>
          <w:szCs w:val="24"/>
        </w:rPr>
        <w:t>ան արժեքների միջ</w:t>
      </w:r>
      <w:r>
        <w:rPr>
          <w:rFonts w:ascii="Sylfaen" w:hAnsi="Sylfaen"/>
          <w:sz w:val="24"/>
          <w:szCs w:val="24"/>
        </w:rPr>
        <w:t>եւ</w:t>
      </w:r>
      <w:r w:rsidRPr="00CA27E3">
        <w:rPr>
          <w:rFonts w:ascii="Sylfaen" w:hAnsi="Sylfaen"/>
          <w:sz w:val="24"/>
          <w:szCs w:val="24"/>
        </w:rPr>
        <w:t xml:space="preserve"> գծային միջարկման եղանակով։</w:t>
      </w:r>
    </w:p>
    <w:p w14:paraId="4AAC9721"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5A2EA40E"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lastRenderedPageBreak/>
        <w:t>Աղյուսակ 6</w:t>
      </w:r>
    </w:p>
    <w:p w14:paraId="4A588979" w14:textId="77777777" w:rsidR="00CA27E3" w:rsidRPr="00CA27E3" w:rsidRDefault="00CA27E3" w:rsidP="005C50BB">
      <w:pPr>
        <w:pStyle w:val="a2"/>
        <w:shd w:val="clear" w:color="auto" w:fill="auto"/>
        <w:spacing w:after="160" w:line="360" w:lineRule="auto"/>
        <w:ind w:left="567" w:right="566"/>
        <w:jc w:val="center"/>
        <w:rPr>
          <w:rFonts w:ascii="Sylfaen" w:hAnsi="Sylfaen" w:cs="Sylfaen"/>
          <w:sz w:val="24"/>
          <w:szCs w:val="24"/>
        </w:rPr>
      </w:pPr>
      <w:r w:rsidRPr="00CA27E3">
        <w:rPr>
          <w:rFonts w:ascii="Sylfaen" w:hAnsi="Sylfaen"/>
          <w:sz w:val="24"/>
          <w:szCs w:val="24"/>
        </w:rPr>
        <w:t xml:space="preserve">Համարժեքության մասին հայտարարման համար </w:t>
      </w:r>
      <w:r w:rsidR="005C50BB" w:rsidRPr="005C50BB">
        <w:rPr>
          <w:rFonts w:ascii="Sylfaen" w:hAnsi="Sylfaen"/>
          <w:sz w:val="24"/>
          <w:szCs w:val="24"/>
        </w:rPr>
        <w:br/>
      </w:r>
      <w:r w:rsidRPr="00CA27E3">
        <w:rPr>
          <w:rFonts w:ascii="Sylfaen" w:hAnsi="Sylfaen"/>
          <w:sz w:val="24"/>
          <w:szCs w:val="24"/>
        </w:rPr>
        <w:t>չափանմուշային լուսային հոսքը</w:t>
      </w:r>
    </w:p>
    <w:tbl>
      <w:tblPr>
        <w:tblOverlap w:val="never"/>
        <w:tblW w:w="9585" w:type="dxa"/>
        <w:jc w:val="center"/>
        <w:tblLayout w:type="fixed"/>
        <w:tblCellMar>
          <w:left w:w="10" w:type="dxa"/>
          <w:right w:w="10" w:type="dxa"/>
        </w:tblCellMar>
        <w:tblLook w:val="0020" w:firstRow="1" w:lastRow="0" w:firstColumn="0" w:lastColumn="0" w:noHBand="0" w:noVBand="0"/>
      </w:tblPr>
      <w:tblGrid>
        <w:gridCol w:w="3201"/>
        <w:gridCol w:w="3199"/>
        <w:gridCol w:w="3185"/>
      </w:tblGrid>
      <w:tr w:rsidR="00CA27E3" w:rsidRPr="00D83000" w14:paraId="5E606BBC" w14:textId="77777777" w:rsidTr="00CA27E3">
        <w:trPr>
          <w:tblHeader/>
          <w:jc w:val="center"/>
        </w:trPr>
        <w:tc>
          <w:tcPr>
            <w:tcW w:w="3201" w:type="dxa"/>
            <w:tcBorders>
              <w:top w:val="single" w:sz="4" w:space="0" w:color="auto"/>
              <w:left w:val="single" w:sz="4" w:space="0" w:color="auto"/>
            </w:tcBorders>
            <w:shd w:val="clear" w:color="auto" w:fill="FFFFFF"/>
            <w:vAlign w:val="bottom"/>
          </w:tcPr>
          <w:p w14:paraId="419EBF5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տիպը</w:t>
            </w:r>
          </w:p>
        </w:tc>
        <w:tc>
          <w:tcPr>
            <w:tcW w:w="3199" w:type="dxa"/>
            <w:tcBorders>
              <w:top w:val="single" w:sz="4" w:space="0" w:color="auto"/>
              <w:left w:val="single" w:sz="4" w:space="0" w:color="auto"/>
            </w:tcBorders>
            <w:shd w:val="clear" w:color="auto" w:fill="FFFFFF"/>
            <w:vAlign w:val="bottom"/>
          </w:tcPr>
          <w:p w14:paraId="0220863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Հզորությունը, Վտ</w:t>
            </w:r>
          </w:p>
        </w:tc>
        <w:tc>
          <w:tcPr>
            <w:tcW w:w="3185" w:type="dxa"/>
            <w:tcBorders>
              <w:top w:val="single" w:sz="4" w:space="0" w:color="auto"/>
              <w:left w:val="single" w:sz="4" w:space="0" w:color="auto"/>
              <w:right w:val="single" w:sz="4" w:space="0" w:color="auto"/>
            </w:tcBorders>
            <w:shd w:val="clear" w:color="auto" w:fill="FFFFFF"/>
            <w:vAlign w:val="bottom"/>
          </w:tcPr>
          <w:p w14:paraId="34CAAD2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Չափանմուշ Φ</w:t>
            </w:r>
            <w:r w:rsidRPr="00D83000">
              <w:rPr>
                <w:rFonts w:ascii="Sylfaen" w:hAnsi="Sylfaen"/>
                <w:sz w:val="20"/>
                <w:szCs w:val="20"/>
                <w:vertAlign w:val="subscript"/>
              </w:rPr>
              <w:t>90°</w:t>
            </w:r>
            <w:r w:rsidRPr="00D83000">
              <w:rPr>
                <w:rFonts w:ascii="Sylfaen" w:hAnsi="Sylfaen"/>
                <w:sz w:val="20"/>
                <w:szCs w:val="20"/>
              </w:rPr>
              <w:t>, լմ</w:t>
            </w:r>
          </w:p>
        </w:tc>
      </w:tr>
      <w:tr w:rsidR="00CA27E3" w:rsidRPr="00D83000" w14:paraId="2D6DC2F1" w14:textId="77777777" w:rsidTr="00CA27E3">
        <w:trPr>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14:paraId="3411E43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Գերցածր լարման ռեֆլեկտորային լամպ</w:t>
            </w:r>
          </w:p>
        </w:tc>
      </w:tr>
      <w:tr w:rsidR="00CA27E3" w:rsidRPr="00D83000" w14:paraId="7231A787" w14:textId="77777777" w:rsidTr="00CA27E3">
        <w:trPr>
          <w:jc w:val="center"/>
        </w:trPr>
        <w:tc>
          <w:tcPr>
            <w:tcW w:w="3201" w:type="dxa"/>
            <w:tcBorders>
              <w:top w:val="single" w:sz="4" w:space="0" w:color="auto"/>
              <w:left w:val="single" w:sz="4" w:space="0" w:color="auto"/>
            </w:tcBorders>
            <w:shd w:val="clear" w:color="auto" w:fill="FFFFFF"/>
            <w:vAlign w:val="center"/>
          </w:tcPr>
          <w:p w14:paraId="66DC55A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MR11 GU4</w:t>
            </w:r>
          </w:p>
        </w:tc>
        <w:tc>
          <w:tcPr>
            <w:tcW w:w="3199" w:type="dxa"/>
            <w:tcBorders>
              <w:top w:val="single" w:sz="4" w:space="0" w:color="auto"/>
              <w:left w:val="single" w:sz="4" w:space="0" w:color="auto"/>
            </w:tcBorders>
            <w:shd w:val="clear" w:color="auto" w:fill="FFFFFF"/>
            <w:vAlign w:val="bottom"/>
          </w:tcPr>
          <w:p w14:paraId="2DCF4AD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20</w:t>
            </w:r>
          </w:p>
        </w:tc>
        <w:tc>
          <w:tcPr>
            <w:tcW w:w="3185" w:type="dxa"/>
            <w:tcBorders>
              <w:top w:val="single" w:sz="4" w:space="0" w:color="auto"/>
              <w:left w:val="single" w:sz="4" w:space="0" w:color="auto"/>
              <w:right w:val="single" w:sz="4" w:space="0" w:color="auto"/>
            </w:tcBorders>
            <w:shd w:val="clear" w:color="auto" w:fill="FFFFFF"/>
            <w:vAlign w:val="bottom"/>
          </w:tcPr>
          <w:p w14:paraId="04775CD9"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160</w:t>
            </w:r>
          </w:p>
        </w:tc>
      </w:tr>
      <w:tr w:rsidR="00CA27E3" w:rsidRPr="00D83000" w14:paraId="78A4B2D2" w14:textId="77777777" w:rsidTr="00CA27E3">
        <w:trPr>
          <w:jc w:val="center"/>
        </w:trPr>
        <w:tc>
          <w:tcPr>
            <w:tcW w:w="3201" w:type="dxa"/>
            <w:tcBorders>
              <w:top w:val="single" w:sz="4" w:space="0" w:color="auto"/>
              <w:left w:val="single" w:sz="4" w:space="0" w:color="auto"/>
            </w:tcBorders>
            <w:shd w:val="clear" w:color="auto" w:fill="FFFFFF"/>
          </w:tcPr>
          <w:p w14:paraId="75F4D6CF"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4CE1AB4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w:t>
            </w:r>
          </w:p>
        </w:tc>
        <w:tc>
          <w:tcPr>
            <w:tcW w:w="3185" w:type="dxa"/>
            <w:tcBorders>
              <w:top w:val="single" w:sz="4" w:space="0" w:color="auto"/>
              <w:left w:val="single" w:sz="4" w:space="0" w:color="auto"/>
              <w:right w:val="single" w:sz="4" w:space="0" w:color="auto"/>
            </w:tcBorders>
            <w:shd w:val="clear" w:color="auto" w:fill="FFFFFF"/>
            <w:vAlign w:val="bottom"/>
          </w:tcPr>
          <w:p w14:paraId="087481D0"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300</w:t>
            </w:r>
          </w:p>
        </w:tc>
      </w:tr>
      <w:tr w:rsidR="00CA27E3" w:rsidRPr="00D83000" w14:paraId="1BB8C85E" w14:textId="77777777" w:rsidTr="00CA27E3">
        <w:trPr>
          <w:jc w:val="center"/>
        </w:trPr>
        <w:tc>
          <w:tcPr>
            <w:tcW w:w="3201" w:type="dxa"/>
            <w:tcBorders>
              <w:top w:val="single" w:sz="4" w:space="0" w:color="auto"/>
              <w:left w:val="single" w:sz="4" w:space="0" w:color="auto"/>
            </w:tcBorders>
            <w:shd w:val="clear" w:color="auto" w:fill="FFFFFF"/>
            <w:vAlign w:val="center"/>
          </w:tcPr>
          <w:p w14:paraId="616D0D3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MR16 GU 5,3</w:t>
            </w:r>
          </w:p>
        </w:tc>
        <w:tc>
          <w:tcPr>
            <w:tcW w:w="3199" w:type="dxa"/>
            <w:tcBorders>
              <w:top w:val="single" w:sz="4" w:space="0" w:color="auto"/>
              <w:left w:val="single" w:sz="4" w:space="0" w:color="auto"/>
            </w:tcBorders>
            <w:shd w:val="clear" w:color="auto" w:fill="FFFFFF"/>
            <w:vAlign w:val="bottom"/>
          </w:tcPr>
          <w:p w14:paraId="2FA0B24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20</w:t>
            </w:r>
          </w:p>
        </w:tc>
        <w:tc>
          <w:tcPr>
            <w:tcW w:w="3185" w:type="dxa"/>
            <w:tcBorders>
              <w:top w:val="single" w:sz="4" w:space="0" w:color="auto"/>
              <w:left w:val="single" w:sz="4" w:space="0" w:color="auto"/>
              <w:right w:val="single" w:sz="4" w:space="0" w:color="auto"/>
            </w:tcBorders>
            <w:shd w:val="clear" w:color="auto" w:fill="FFFFFF"/>
            <w:vAlign w:val="bottom"/>
          </w:tcPr>
          <w:p w14:paraId="42E30EBA"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180</w:t>
            </w:r>
          </w:p>
        </w:tc>
      </w:tr>
      <w:tr w:rsidR="00CA27E3" w:rsidRPr="00D83000" w14:paraId="2839CDBD" w14:textId="77777777" w:rsidTr="00CA27E3">
        <w:trPr>
          <w:jc w:val="center"/>
        </w:trPr>
        <w:tc>
          <w:tcPr>
            <w:tcW w:w="3201" w:type="dxa"/>
            <w:tcBorders>
              <w:top w:val="single" w:sz="4" w:space="0" w:color="auto"/>
              <w:left w:val="single" w:sz="4" w:space="0" w:color="auto"/>
            </w:tcBorders>
            <w:shd w:val="clear" w:color="auto" w:fill="FFFFFF"/>
          </w:tcPr>
          <w:p w14:paraId="1AEB8CFA"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598C099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w:t>
            </w:r>
          </w:p>
        </w:tc>
        <w:tc>
          <w:tcPr>
            <w:tcW w:w="3185" w:type="dxa"/>
            <w:tcBorders>
              <w:top w:val="single" w:sz="4" w:space="0" w:color="auto"/>
              <w:left w:val="single" w:sz="4" w:space="0" w:color="auto"/>
              <w:right w:val="single" w:sz="4" w:space="0" w:color="auto"/>
            </w:tcBorders>
            <w:shd w:val="clear" w:color="auto" w:fill="FFFFFF"/>
            <w:vAlign w:val="bottom"/>
          </w:tcPr>
          <w:p w14:paraId="6C58DD97"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300</w:t>
            </w:r>
          </w:p>
        </w:tc>
      </w:tr>
      <w:tr w:rsidR="00CA27E3" w:rsidRPr="00D83000" w14:paraId="2FF6BCAB" w14:textId="77777777" w:rsidTr="00CA27E3">
        <w:trPr>
          <w:jc w:val="center"/>
        </w:trPr>
        <w:tc>
          <w:tcPr>
            <w:tcW w:w="3201" w:type="dxa"/>
            <w:tcBorders>
              <w:top w:val="single" w:sz="4" w:space="0" w:color="auto"/>
              <w:left w:val="single" w:sz="4" w:space="0" w:color="auto"/>
            </w:tcBorders>
            <w:shd w:val="clear" w:color="auto" w:fill="FFFFFF"/>
          </w:tcPr>
          <w:p w14:paraId="4C968415"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4555EAD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right w:val="single" w:sz="4" w:space="0" w:color="auto"/>
            </w:tcBorders>
            <w:shd w:val="clear" w:color="auto" w:fill="FFFFFF"/>
            <w:vAlign w:val="bottom"/>
          </w:tcPr>
          <w:p w14:paraId="0C1F8324"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540</w:t>
            </w:r>
          </w:p>
        </w:tc>
      </w:tr>
      <w:tr w:rsidR="00CA27E3" w:rsidRPr="00D83000" w14:paraId="1A0EFD34" w14:textId="77777777" w:rsidTr="00CA27E3">
        <w:trPr>
          <w:jc w:val="center"/>
        </w:trPr>
        <w:tc>
          <w:tcPr>
            <w:tcW w:w="3201" w:type="dxa"/>
            <w:tcBorders>
              <w:top w:val="single" w:sz="4" w:space="0" w:color="auto"/>
              <w:left w:val="single" w:sz="4" w:space="0" w:color="auto"/>
            </w:tcBorders>
            <w:shd w:val="clear" w:color="auto" w:fill="FFFFFF"/>
          </w:tcPr>
          <w:p w14:paraId="27B0B5A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AR111</w:t>
            </w:r>
          </w:p>
        </w:tc>
        <w:tc>
          <w:tcPr>
            <w:tcW w:w="3199" w:type="dxa"/>
            <w:tcBorders>
              <w:top w:val="single" w:sz="4" w:space="0" w:color="auto"/>
              <w:left w:val="single" w:sz="4" w:space="0" w:color="auto"/>
            </w:tcBorders>
            <w:shd w:val="clear" w:color="auto" w:fill="FFFFFF"/>
          </w:tcPr>
          <w:p w14:paraId="41349C3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w:t>
            </w:r>
          </w:p>
        </w:tc>
        <w:tc>
          <w:tcPr>
            <w:tcW w:w="3185" w:type="dxa"/>
            <w:tcBorders>
              <w:top w:val="single" w:sz="4" w:space="0" w:color="auto"/>
              <w:left w:val="single" w:sz="4" w:space="0" w:color="auto"/>
              <w:right w:val="single" w:sz="4" w:space="0" w:color="auto"/>
            </w:tcBorders>
            <w:shd w:val="clear" w:color="auto" w:fill="FFFFFF"/>
          </w:tcPr>
          <w:p w14:paraId="1A5A6CDC"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250</w:t>
            </w:r>
          </w:p>
        </w:tc>
      </w:tr>
      <w:tr w:rsidR="00CA27E3" w:rsidRPr="00D83000" w14:paraId="1E2E135A" w14:textId="77777777" w:rsidTr="00CA27E3">
        <w:trPr>
          <w:jc w:val="center"/>
        </w:trPr>
        <w:tc>
          <w:tcPr>
            <w:tcW w:w="3201" w:type="dxa"/>
            <w:tcBorders>
              <w:top w:val="single" w:sz="4" w:space="0" w:color="auto"/>
              <w:left w:val="single" w:sz="4" w:space="0" w:color="auto"/>
            </w:tcBorders>
            <w:shd w:val="clear" w:color="auto" w:fill="FFFFFF"/>
          </w:tcPr>
          <w:p w14:paraId="4C148018"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4982E82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right w:val="single" w:sz="4" w:space="0" w:color="auto"/>
            </w:tcBorders>
            <w:shd w:val="clear" w:color="auto" w:fill="FFFFFF"/>
            <w:vAlign w:val="bottom"/>
          </w:tcPr>
          <w:p w14:paraId="3E109B99"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390</w:t>
            </w:r>
          </w:p>
        </w:tc>
      </w:tr>
      <w:tr w:rsidR="00CA27E3" w:rsidRPr="00D83000" w14:paraId="62B792BD" w14:textId="77777777" w:rsidTr="00CA27E3">
        <w:trPr>
          <w:jc w:val="center"/>
        </w:trPr>
        <w:tc>
          <w:tcPr>
            <w:tcW w:w="3201" w:type="dxa"/>
            <w:tcBorders>
              <w:top w:val="single" w:sz="4" w:space="0" w:color="auto"/>
              <w:left w:val="single" w:sz="4" w:space="0" w:color="auto"/>
            </w:tcBorders>
            <w:shd w:val="clear" w:color="auto" w:fill="FFFFFF"/>
          </w:tcPr>
          <w:p w14:paraId="68A92435"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tcPr>
          <w:p w14:paraId="3BDEEE2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tcPr>
          <w:p w14:paraId="72633365"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640</w:t>
            </w:r>
          </w:p>
        </w:tc>
      </w:tr>
      <w:tr w:rsidR="00CA27E3" w:rsidRPr="00D83000" w14:paraId="4B35D10A" w14:textId="77777777" w:rsidTr="00CA27E3">
        <w:trPr>
          <w:jc w:val="center"/>
        </w:trPr>
        <w:tc>
          <w:tcPr>
            <w:tcW w:w="3201" w:type="dxa"/>
            <w:tcBorders>
              <w:top w:val="single" w:sz="4" w:space="0" w:color="auto"/>
              <w:left w:val="single" w:sz="4" w:space="0" w:color="auto"/>
            </w:tcBorders>
            <w:shd w:val="clear" w:color="auto" w:fill="FFFFFF"/>
          </w:tcPr>
          <w:p w14:paraId="37854FFA"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1059F23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vAlign w:val="bottom"/>
          </w:tcPr>
          <w:p w14:paraId="65AD7A33" w14:textId="77777777" w:rsidR="00CA27E3" w:rsidRPr="00D83000" w:rsidRDefault="00CA27E3" w:rsidP="00D83000">
            <w:pPr>
              <w:pStyle w:val="a4"/>
              <w:shd w:val="clear" w:color="auto" w:fill="auto"/>
              <w:spacing w:after="120" w:line="240" w:lineRule="auto"/>
              <w:ind w:left="1320" w:firstLine="0"/>
              <w:jc w:val="both"/>
              <w:rPr>
                <w:rFonts w:ascii="Sylfaen" w:hAnsi="Sylfaen" w:cs="Sylfaen"/>
                <w:sz w:val="20"/>
                <w:szCs w:val="20"/>
              </w:rPr>
            </w:pPr>
            <w:r w:rsidRPr="00D83000">
              <w:rPr>
                <w:rFonts w:ascii="Sylfaen" w:hAnsi="Sylfaen"/>
                <w:sz w:val="20"/>
                <w:szCs w:val="20"/>
              </w:rPr>
              <w:t>785</w:t>
            </w:r>
          </w:p>
        </w:tc>
      </w:tr>
      <w:tr w:rsidR="00CA27E3" w:rsidRPr="00D83000" w14:paraId="4A8645B2" w14:textId="77777777" w:rsidTr="00CA27E3">
        <w:trPr>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14:paraId="6AA156A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Արտափչվող ապակե լամպանոթով ռեֆլեկտորային լամպ՝ հաշվի առնելով ցանցի լարումը</w:t>
            </w:r>
          </w:p>
        </w:tc>
      </w:tr>
      <w:tr w:rsidR="00CA27E3" w:rsidRPr="00D83000" w14:paraId="39F182E4" w14:textId="77777777" w:rsidTr="00CA27E3">
        <w:trPr>
          <w:jc w:val="center"/>
        </w:trPr>
        <w:tc>
          <w:tcPr>
            <w:tcW w:w="3201" w:type="dxa"/>
            <w:tcBorders>
              <w:top w:val="single" w:sz="4" w:space="0" w:color="auto"/>
              <w:left w:val="single" w:sz="4" w:space="0" w:color="auto"/>
            </w:tcBorders>
            <w:shd w:val="clear" w:color="auto" w:fill="FFFFFF"/>
          </w:tcPr>
          <w:p w14:paraId="1C2C8F43" w14:textId="77777777" w:rsidR="00CA27E3" w:rsidRPr="00D83000" w:rsidRDefault="000809D3" w:rsidP="00D83000">
            <w:pPr>
              <w:pStyle w:val="a4"/>
              <w:shd w:val="clear" w:color="auto" w:fill="auto"/>
              <w:spacing w:after="120" w:line="240" w:lineRule="auto"/>
              <w:ind w:firstLine="0"/>
              <w:jc w:val="center"/>
              <w:rPr>
                <w:rFonts w:ascii="Sylfaen" w:hAnsi="Sylfaen" w:cs="Sylfaen"/>
                <w:sz w:val="20"/>
                <w:szCs w:val="20"/>
              </w:rPr>
            </w:pPr>
            <w:r>
              <w:rPr>
                <w:rFonts w:ascii="Sylfaen" w:hAnsi="Sylfaen"/>
                <w:sz w:val="20"/>
                <w:szCs w:val="20"/>
              </w:rPr>
              <w:t>R50/</w:t>
            </w:r>
            <w:r w:rsidR="00CA27E3" w:rsidRPr="00D83000">
              <w:rPr>
                <w:rFonts w:ascii="Sylfaen" w:hAnsi="Sylfaen"/>
                <w:sz w:val="20"/>
                <w:szCs w:val="20"/>
              </w:rPr>
              <w:t>NR50</w:t>
            </w:r>
          </w:p>
        </w:tc>
        <w:tc>
          <w:tcPr>
            <w:tcW w:w="3199" w:type="dxa"/>
            <w:tcBorders>
              <w:top w:val="single" w:sz="4" w:space="0" w:color="auto"/>
              <w:left w:val="single" w:sz="4" w:space="0" w:color="auto"/>
            </w:tcBorders>
            <w:shd w:val="clear" w:color="auto" w:fill="FFFFFF"/>
          </w:tcPr>
          <w:p w14:paraId="7480CFC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25</w:t>
            </w:r>
          </w:p>
        </w:tc>
        <w:tc>
          <w:tcPr>
            <w:tcW w:w="3185" w:type="dxa"/>
            <w:tcBorders>
              <w:top w:val="single" w:sz="4" w:space="0" w:color="auto"/>
              <w:left w:val="single" w:sz="4" w:space="0" w:color="auto"/>
              <w:right w:val="single" w:sz="4" w:space="0" w:color="auto"/>
            </w:tcBorders>
            <w:shd w:val="clear" w:color="auto" w:fill="FFFFFF"/>
          </w:tcPr>
          <w:p w14:paraId="0CAF3E31"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w:t>
            </w:r>
          </w:p>
        </w:tc>
      </w:tr>
      <w:tr w:rsidR="00CA27E3" w:rsidRPr="00D83000" w14:paraId="1BBDFF48" w14:textId="77777777" w:rsidTr="00CA27E3">
        <w:trPr>
          <w:jc w:val="center"/>
        </w:trPr>
        <w:tc>
          <w:tcPr>
            <w:tcW w:w="3201" w:type="dxa"/>
            <w:tcBorders>
              <w:top w:val="single" w:sz="4" w:space="0" w:color="auto"/>
              <w:left w:val="single" w:sz="4" w:space="0" w:color="auto"/>
            </w:tcBorders>
            <w:shd w:val="clear" w:color="auto" w:fill="FFFFFF"/>
          </w:tcPr>
          <w:p w14:paraId="01373B4D"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3EEA9D9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w:t>
            </w:r>
          </w:p>
        </w:tc>
        <w:tc>
          <w:tcPr>
            <w:tcW w:w="3185" w:type="dxa"/>
            <w:tcBorders>
              <w:top w:val="single" w:sz="4" w:space="0" w:color="auto"/>
              <w:left w:val="single" w:sz="4" w:space="0" w:color="auto"/>
              <w:right w:val="single" w:sz="4" w:space="0" w:color="auto"/>
            </w:tcBorders>
            <w:shd w:val="clear" w:color="auto" w:fill="FFFFFF"/>
            <w:vAlign w:val="bottom"/>
          </w:tcPr>
          <w:p w14:paraId="49AD630E"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170</w:t>
            </w:r>
          </w:p>
        </w:tc>
      </w:tr>
      <w:tr w:rsidR="00CA27E3" w:rsidRPr="00D83000" w14:paraId="7CAE6859" w14:textId="77777777" w:rsidTr="00CA27E3">
        <w:trPr>
          <w:jc w:val="center"/>
        </w:trPr>
        <w:tc>
          <w:tcPr>
            <w:tcW w:w="3201" w:type="dxa"/>
            <w:tcBorders>
              <w:top w:val="single" w:sz="4" w:space="0" w:color="auto"/>
              <w:left w:val="single" w:sz="4" w:space="0" w:color="auto"/>
            </w:tcBorders>
            <w:shd w:val="clear" w:color="auto" w:fill="FFFFFF"/>
            <w:vAlign w:val="bottom"/>
          </w:tcPr>
          <w:p w14:paraId="62F735E9" w14:textId="77777777" w:rsidR="00CA27E3" w:rsidRPr="00D83000" w:rsidRDefault="000809D3" w:rsidP="00D83000">
            <w:pPr>
              <w:pStyle w:val="a4"/>
              <w:shd w:val="clear" w:color="auto" w:fill="auto"/>
              <w:spacing w:after="120" w:line="240" w:lineRule="auto"/>
              <w:ind w:firstLine="0"/>
              <w:jc w:val="center"/>
              <w:rPr>
                <w:rFonts w:ascii="Sylfaen" w:hAnsi="Sylfaen" w:cs="Sylfaen"/>
                <w:sz w:val="20"/>
                <w:szCs w:val="20"/>
              </w:rPr>
            </w:pPr>
            <w:r>
              <w:rPr>
                <w:rFonts w:ascii="Sylfaen" w:hAnsi="Sylfaen"/>
                <w:sz w:val="20"/>
                <w:szCs w:val="20"/>
              </w:rPr>
              <w:t>R63/</w:t>
            </w:r>
            <w:r w:rsidR="00CA27E3" w:rsidRPr="00D83000">
              <w:rPr>
                <w:rFonts w:ascii="Sylfaen" w:hAnsi="Sylfaen"/>
                <w:sz w:val="20"/>
                <w:szCs w:val="20"/>
              </w:rPr>
              <w:t>NR63</w:t>
            </w:r>
          </w:p>
        </w:tc>
        <w:tc>
          <w:tcPr>
            <w:tcW w:w="3199" w:type="dxa"/>
            <w:tcBorders>
              <w:top w:val="single" w:sz="4" w:space="0" w:color="auto"/>
              <w:left w:val="single" w:sz="4" w:space="0" w:color="auto"/>
            </w:tcBorders>
            <w:shd w:val="clear" w:color="auto" w:fill="FFFFFF"/>
            <w:vAlign w:val="bottom"/>
          </w:tcPr>
          <w:p w14:paraId="40DC13C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w:t>
            </w:r>
          </w:p>
        </w:tc>
        <w:tc>
          <w:tcPr>
            <w:tcW w:w="3185" w:type="dxa"/>
            <w:tcBorders>
              <w:top w:val="single" w:sz="4" w:space="0" w:color="auto"/>
              <w:left w:val="single" w:sz="4" w:space="0" w:color="auto"/>
              <w:right w:val="single" w:sz="4" w:space="0" w:color="auto"/>
            </w:tcBorders>
            <w:shd w:val="clear" w:color="auto" w:fill="FFFFFF"/>
            <w:vAlign w:val="bottom"/>
          </w:tcPr>
          <w:p w14:paraId="55F03F04"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180</w:t>
            </w:r>
          </w:p>
        </w:tc>
      </w:tr>
      <w:tr w:rsidR="00CA27E3" w:rsidRPr="00D83000" w14:paraId="31F218C0" w14:textId="77777777" w:rsidTr="00CA27E3">
        <w:trPr>
          <w:jc w:val="center"/>
        </w:trPr>
        <w:tc>
          <w:tcPr>
            <w:tcW w:w="3201" w:type="dxa"/>
            <w:tcBorders>
              <w:top w:val="single" w:sz="4" w:space="0" w:color="auto"/>
              <w:left w:val="single" w:sz="4" w:space="0" w:color="auto"/>
            </w:tcBorders>
            <w:shd w:val="clear" w:color="auto" w:fill="FFFFFF"/>
          </w:tcPr>
          <w:p w14:paraId="49E60DC0"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19AA5C7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w:t>
            </w:r>
          </w:p>
        </w:tc>
        <w:tc>
          <w:tcPr>
            <w:tcW w:w="3185" w:type="dxa"/>
            <w:tcBorders>
              <w:top w:val="single" w:sz="4" w:space="0" w:color="auto"/>
              <w:left w:val="single" w:sz="4" w:space="0" w:color="auto"/>
              <w:right w:val="single" w:sz="4" w:space="0" w:color="auto"/>
            </w:tcBorders>
            <w:shd w:val="clear" w:color="auto" w:fill="FFFFFF"/>
          </w:tcPr>
          <w:p w14:paraId="37AAE3CE"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300</w:t>
            </w:r>
          </w:p>
        </w:tc>
      </w:tr>
      <w:tr w:rsidR="00CA27E3" w:rsidRPr="00D83000" w14:paraId="701A672C" w14:textId="77777777" w:rsidTr="00CA27E3">
        <w:trPr>
          <w:jc w:val="center"/>
        </w:trPr>
        <w:tc>
          <w:tcPr>
            <w:tcW w:w="3201" w:type="dxa"/>
            <w:tcBorders>
              <w:top w:val="single" w:sz="4" w:space="0" w:color="auto"/>
              <w:left w:val="single" w:sz="4" w:space="0" w:color="auto"/>
            </w:tcBorders>
            <w:shd w:val="clear" w:color="auto" w:fill="FFFFFF"/>
            <w:vAlign w:val="bottom"/>
          </w:tcPr>
          <w:p w14:paraId="2FAC3918" w14:textId="77777777" w:rsidR="00CA27E3" w:rsidRPr="00D83000" w:rsidRDefault="000809D3" w:rsidP="00D83000">
            <w:pPr>
              <w:pStyle w:val="a4"/>
              <w:shd w:val="clear" w:color="auto" w:fill="auto"/>
              <w:spacing w:after="120" w:line="240" w:lineRule="auto"/>
              <w:ind w:firstLine="0"/>
              <w:jc w:val="center"/>
              <w:rPr>
                <w:rFonts w:ascii="Sylfaen" w:hAnsi="Sylfaen" w:cs="Sylfaen"/>
                <w:sz w:val="20"/>
                <w:szCs w:val="20"/>
              </w:rPr>
            </w:pPr>
            <w:r>
              <w:rPr>
                <w:rFonts w:ascii="Sylfaen" w:hAnsi="Sylfaen"/>
                <w:sz w:val="20"/>
                <w:szCs w:val="20"/>
              </w:rPr>
              <w:t>R80/</w:t>
            </w:r>
            <w:r w:rsidR="00CA27E3" w:rsidRPr="00D83000">
              <w:rPr>
                <w:rFonts w:ascii="Sylfaen" w:hAnsi="Sylfaen"/>
                <w:sz w:val="20"/>
                <w:szCs w:val="20"/>
              </w:rPr>
              <w:t>NR80</w:t>
            </w:r>
          </w:p>
        </w:tc>
        <w:tc>
          <w:tcPr>
            <w:tcW w:w="3199" w:type="dxa"/>
            <w:tcBorders>
              <w:top w:val="single" w:sz="4" w:space="0" w:color="auto"/>
              <w:left w:val="single" w:sz="4" w:space="0" w:color="auto"/>
            </w:tcBorders>
            <w:shd w:val="clear" w:color="auto" w:fill="FFFFFF"/>
            <w:vAlign w:val="bottom"/>
          </w:tcPr>
          <w:p w14:paraId="7D17222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w:t>
            </w:r>
          </w:p>
        </w:tc>
        <w:tc>
          <w:tcPr>
            <w:tcW w:w="3185" w:type="dxa"/>
            <w:tcBorders>
              <w:top w:val="single" w:sz="4" w:space="0" w:color="auto"/>
              <w:left w:val="single" w:sz="4" w:space="0" w:color="auto"/>
              <w:right w:val="single" w:sz="4" w:space="0" w:color="auto"/>
            </w:tcBorders>
            <w:shd w:val="clear" w:color="auto" w:fill="FFFFFF"/>
            <w:vAlign w:val="bottom"/>
          </w:tcPr>
          <w:p w14:paraId="7B8673EE"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300</w:t>
            </w:r>
          </w:p>
        </w:tc>
      </w:tr>
      <w:tr w:rsidR="00CA27E3" w:rsidRPr="00D83000" w14:paraId="158372ED" w14:textId="77777777" w:rsidTr="00CA27E3">
        <w:trPr>
          <w:jc w:val="center"/>
        </w:trPr>
        <w:tc>
          <w:tcPr>
            <w:tcW w:w="3201" w:type="dxa"/>
            <w:tcBorders>
              <w:top w:val="single" w:sz="4" w:space="0" w:color="auto"/>
              <w:left w:val="single" w:sz="4" w:space="0" w:color="auto"/>
            </w:tcBorders>
            <w:shd w:val="clear" w:color="auto" w:fill="FFFFFF"/>
          </w:tcPr>
          <w:p w14:paraId="3FF4EA9C"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tcPr>
          <w:p w14:paraId="31D9449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tcPr>
          <w:p w14:paraId="7729B14B"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350</w:t>
            </w:r>
          </w:p>
        </w:tc>
      </w:tr>
      <w:tr w:rsidR="00CA27E3" w:rsidRPr="00D83000" w14:paraId="4F50C1EC" w14:textId="77777777" w:rsidTr="00CA27E3">
        <w:trPr>
          <w:jc w:val="center"/>
        </w:trPr>
        <w:tc>
          <w:tcPr>
            <w:tcW w:w="3201" w:type="dxa"/>
            <w:tcBorders>
              <w:top w:val="single" w:sz="4" w:space="0" w:color="auto"/>
              <w:left w:val="single" w:sz="4" w:space="0" w:color="auto"/>
            </w:tcBorders>
            <w:shd w:val="clear" w:color="auto" w:fill="FFFFFF"/>
          </w:tcPr>
          <w:p w14:paraId="6EDC9821"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1FC5265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tcPr>
          <w:p w14:paraId="695DD211"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580</w:t>
            </w:r>
          </w:p>
        </w:tc>
      </w:tr>
      <w:tr w:rsidR="00CA27E3" w:rsidRPr="00D83000" w14:paraId="6AAEAF27" w14:textId="77777777" w:rsidTr="00CA27E3">
        <w:trPr>
          <w:jc w:val="center"/>
        </w:trPr>
        <w:tc>
          <w:tcPr>
            <w:tcW w:w="3201" w:type="dxa"/>
            <w:tcBorders>
              <w:top w:val="single" w:sz="4" w:space="0" w:color="auto"/>
              <w:left w:val="single" w:sz="4" w:space="0" w:color="auto"/>
            </w:tcBorders>
            <w:shd w:val="clear" w:color="auto" w:fill="FFFFFF"/>
            <w:vAlign w:val="bottom"/>
          </w:tcPr>
          <w:p w14:paraId="682C5C37" w14:textId="77777777" w:rsidR="00CA27E3" w:rsidRPr="00D83000" w:rsidRDefault="000809D3" w:rsidP="00D83000">
            <w:pPr>
              <w:pStyle w:val="a4"/>
              <w:shd w:val="clear" w:color="auto" w:fill="auto"/>
              <w:spacing w:after="120" w:line="240" w:lineRule="auto"/>
              <w:ind w:firstLine="0"/>
              <w:jc w:val="center"/>
              <w:rPr>
                <w:rFonts w:ascii="Sylfaen" w:hAnsi="Sylfaen" w:cs="Sylfaen"/>
                <w:sz w:val="20"/>
                <w:szCs w:val="20"/>
              </w:rPr>
            </w:pPr>
            <w:r>
              <w:rPr>
                <w:rFonts w:ascii="Sylfaen" w:hAnsi="Sylfaen"/>
                <w:sz w:val="20"/>
                <w:szCs w:val="20"/>
              </w:rPr>
              <w:t>R95/</w:t>
            </w:r>
            <w:r w:rsidR="00CA27E3" w:rsidRPr="00D83000">
              <w:rPr>
                <w:rFonts w:ascii="Sylfaen" w:hAnsi="Sylfaen"/>
                <w:sz w:val="20"/>
                <w:szCs w:val="20"/>
              </w:rPr>
              <w:t>NR95</w:t>
            </w:r>
          </w:p>
        </w:tc>
        <w:tc>
          <w:tcPr>
            <w:tcW w:w="3199" w:type="dxa"/>
            <w:tcBorders>
              <w:top w:val="single" w:sz="4" w:space="0" w:color="auto"/>
              <w:left w:val="single" w:sz="4" w:space="0" w:color="auto"/>
            </w:tcBorders>
            <w:shd w:val="clear" w:color="auto" w:fill="FFFFFF"/>
            <w:vAlign w:val="bottom"/>
          </w:tcPr>
          <w:p w14:paraId="08DA8FE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vAlign w:val="bottom"/>
          </w:tcPr>
          <w:p w14:paraId="43CEAC24"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350</w:t>
            </w:r>
          </w:p>
        </w:tc>
      </w:tr>
      <w:tr w:rsidR="00CA27E3" w:rsidRPr="00D83000" w14:paraId="506B609F" w14:textId="77777777" w:rsidTr="00CA27E3">
        <w:trPr>
          <w:jc w:val="center"/>
        </w:trPr>
        <w:tc>
          <w:tcPr>
            <w:tcW w:w="3201" w:type="dxa"/>
            <w:tcBorders>
              <w:top w:val="single" w:sz="4" w:space="0" w:color="auto"/>
              <w:left w:val="single" w:sz="4" w:space="0" w:color="auto"/>
            </w:tcBorders>
            <w:shd w:val="clear" w:color="auto" w:fill="FFFFFF"/>
          </w:tcPr>
          <w:p w14:paraId="4A824F59"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042ADD8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tcPr>
          <w:p w14:paraId="7B824A5A"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540</w:t>
            </w:r>
          </w:p>
        </w:tc>
      </w:tr>
      <w:tr w:rsidR="00CA27E3" w:rsidRPr="00D83000" w14:paraId="79F74C6F" w14:textId="77777777" w:rsidTr="00CA27E3">
        <w:trPr>
          <w:jc w:val="center"/>
        </w:trPr>
        <w:tc>
          <w:tcPr>
            <w:tcW w:w="3201" w:type="dxa"/>
            <w:tcBorders>
              <w:top w:val="single" w:sz="4" w:space="0" w:color="auto"/>
              <w:left w:val="single" w:sz="4" w:space="0" w:color="auto"/>
            </w:tcBorders>
            <w:shd w:val="clear" w:color="auto" w:fill="FFFFFF"/>
            <w:vAlign w:val="bottom"/>
          </w:tcPr>
          <w:p w14:paraId="42668C6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R125</w:t>
            </w:r>
          </w:p>
        </w:tc>
        <w:tc>
          <w:tcPr>
            <w:tcW w:w="3199" w:type="dxa"/>
            <w:tcBorders>
              <w:top w:val="single" w:sz="4" w:space="0" w:color="auto"/>
              <w:left w:val="single" w:sz="4" w:space="0" w:color="auto"/>
            </w:tcBorders>
            <w:shd w:val="clear" w:color="auto" w:fill="FFFFFF"/>
            <w:vAlign w:val="bottom"/>
          </w:tcPr>
          <w:p w14:paraId="732520A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vAlign w:val="bottom"/>
          </w:tcPr>
          <w:p w14:paraId="7263CE89"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580</w:t>
            </w:r>
          </w:p>
        </w:tc>
      </w:tr>
      <w:tr w:rsidR="00CA27E3" w:rsidRPr="00D83000" w14:paraId="304513BC" w14:textId="77777777" w:rsidTr="00CA27E3">
        <w:trPr>
          <w:jc w:val="center"/>
        </w:trPr>
        <w:tc>
          <w:tcPr>
            <w:tcW w:w="3201" w:type="dxa"/>
            <w:tcBorders>
              <w:top w:val="single" w:sz="4" w:space="0" w:color="auto"/>
              <w:left w:val="single" w:sz="4" w:space="0" w:color="auto"/>
            </w:tcBorders>
            <w:shd w:val="clear" w:color="auto" w:fill="FFFFFF"/>
          </w:tcPr>
          <w:p w14:paraId="1F3C4978"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66DB3FE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150</w:t>
            </w:r>
          </w:p>
        </w:tc>
        <w:tc>
          <w:tcPr>
            <w:tcW w:w="3185" w:type="dxa"/>
            <w:tcBorders>
              <w:top w:val="single" w:sz="4" w:space="0" w:color="auto"/>
              <w:left w:val="single" w:sz="4" w:space="0" w:color="auto"/>
              <w:right w:val="single" w:sz="4" w:space="0" w:color="auto"/>
            </w:tcBorders>
            <w:shd w:val="clear" w:color="auto" w:fill="FFFFFF"/>
            <w:vAlign w:val="bottom"/>
          </w:tcPr>
          <w:p w14:paraId="042F93C8"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1000</w:t>
            </w:r>
          </w:p>
        </w:tc>
      </w:tr>
      <w:tr w:rsidR="00CA27E3" w:rsidRPr="00D83000" w14:paraId="1DC1FBB2" w14:textId="77777777" w:rsidTr="00CA27E3">
        <w:trPr>
          <w:jc w:val="center"/>
        </w:trPr>
        <w:tc>
          <w:tcPr>
            <w:tcW w:w="9585" w:type="dxa"/>
            <w:gridSpan w:val="3"/>
            <w:tcBorders>
              <w:top w:val="single" w:sz="4" w:space="0" w:color="auto"/>
              <w:left w:val="single" w:sz="4" w:space="0" w:color="auto"/>
              <w:right w:val="single" w:sz="4" w:space="0" w:color="auto"/>
            </w:tcBorders>
            <w:shd w:val="clear" w:color="auto" w:fill="FFFFFF"/>
            <w:vAlign w:val="bottom"/>
          </w:tcPr>
          <w:p w14:paraId="6512CFF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Մամլած ապակուց լամպանոթով ռեֆլեկտորային լամպ՝ հաշվի առնելով ցանցի լարումը</w:t>
            </w:r>
          </w:p>
        </w:tc>
      </w:tr>
      <w:tr w:rsidR="00CA27E3" w:rsidRPr="00D83000" w14:paraId="636D87CD" w14:textId="77777777" w:rsidTr="00CA27E3">
        <w:trPr>
          <w:jc w:val="center"/>
        </w:trPr>
        <w:tc>
          <w:tcPr>
            <w:tcW w:w="3201" w:type="dxa"/>
            <w:tcBorders>
              <w:top w:val="single" w:sz="4" w:space="0" w:color="auto"/>
              <w:left w:val="single" w:sz="4" w:space="0" w:color="auto"/>
            </w:tcBorders>
            <w:shd w:val="clear" w:color="auto" w:fill="FFFFFF"/>
            <w:vAlign w:val="bottom"/>
          </w:tcPr>
          <w:p w14:paraId="35E1ACE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PAR16</w:t>
            </w:r>
          </w:p>
        </w:tc>
        <w:tc>
          <w:tcPr>
            <w:tcW w:w="3199" w:type="dxa"/>
            <w:tcBorders>
              <w:top w:val="single" w:sz="4" w:space="0" w:color="auto"/>
              <w:left w:val="single" w:sz="4" w:space="0" w:color="auto"/>
            </w:tcBorders>
            <w:shd w:val="clear" w:color="auto" w:fill="FFFFFF"/>
            <w:vAlign w:val="bottom"/>
          </w:tcPr>
          <w:p w14:paraId="2DB25669"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20</w:t>
            </w:r>
          </w:p>
        </w:tc>
        <w:tc>
          <w:tcPr>
            <w:tcW w:w="3185" w:type="dxa"/>
            <w:tcBorders>
              <w:top w:val="single" w:sz="4" w:space="0" w:color="auto"/>
              <w:left w:val="single" w:sz="4" w:space="0" w:color="auto"/>
              <w:right w:val="single" w:sz="4" w:space="0" w:color="auto"/>
            </w:tcBorders>
            <w:shd w:val="clear" w:color="auto" w:fill="FFFFFF"/>
            <w:vAlign w:val="bottom"/>
          </w:tcPr>
          <w:p w14:paraId="2DA9BABC"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w:t>
            </w:r>
          </w:p>
        </w:tc>
      </w:tr>
      <w:tr w:rsidR="00CA27E3" w:rsidRPr="00D83000" w14:paraId="1DEF11B4" w14:textId="77777777" w:rsidTr="00CA27E3">
        <w:trPr>
          <w:jc w:val="center"/>
        </w:trPr>
        <w:tc>
          <w:tcPr>
            <w:tcW w:w="3201" w:type="dxa"/>
            <w:tcBorders>
              <w:top w:val="single" w:sz="4" w:space="0" w:color="auto"/>
              <w:left w:val="single" w:sz="4" w:space="0" w:color="auto"/>
            </w:tcBorders>
            <w:shd w:val="clear" w:color="auto" w:fill="FFFFFF"/>
          </w:tcPr>
          <w:p w14:paraId="7BFFA494"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1959AB3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25</w:t>
            </w:r>
          </w:p>
        </w:tc>
        <w:tc>
          <w:tcPr>
            <w:tcW w:w="3185" w:type="dxa"/>
            <w:tcBorders>
              <w:top w:val="single" w:sz="4" w:space="0" w:color="auto"/>
              <w:left w:val="single" w:sz="4" w:space="0" w:color="auto"/>
              <w:right w:val="single" w:sz="4" w:space="0" w:color="auto"/>
            </w:tcBorders>
            <w:shd w:val="clear" w:color="auto" w:fill="FFFFFF"/>
            <w:vAlign w:val="bottom"/>
          </w:tcPr>
          <w:p w14:paraId="20094028"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125</w:t>
            </w:r>
          </w:p>
        </w:tc>
      </w:tr>
      <w:tr w:rsidR="00CA27E3" w:rsidRPr="00D83000" w14:paraId="18CA8D6B" w14:textId="77777777" w:rsidTr="00CA27E3">
        <w:trPr>
          <w:jc w:val="center"/>
        </w:trPr>
        <w:tc>
          <w:tcPr>
            <w:tcW w:w="3201" w:type="dxa"/>
            <w:tcBorders>
              <w:top w:val="single" w:sz="4" w:space="0" w:color="auto"/>
              <w:left w:val="single" w:sz="4" w:space="0" w:color="auto"/>
            </w:tcBorders>
            <w:shd w:val="clear" w:color="auto" w:fill="FFFFFF"/>
          </w:tcPr>
          <w:p w14:paraId="7786F1B1"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tcPr>
          <w:p w14:paraId="0EF3023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w:t>
            </w:r>
          </w:p>
        </w:tc>
        <w:tc>
          <w:tcPr>
            <w:tcW w:w="3185" w:type="dxa"/>
            <w:tcBorders>
              <w:top w:val="single" w:sz="4" w:space="0" w:color="auto"/>
              <w:left w:val="single" w:sz="4" w:space="0" w:color="auto"/>
              <w:right w:val="single" w:sz="4" w:space="0" w:color="auto"/>
            </w:tcBorders>
            <w:shd w:val="clear" w:color="auto" w:fill="FFFFFF"/>
            <w:vAlign w:val="bottom"/>
          </w:tcPr>
          <w:p w14:paraId="1BA80B69"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200</w:t>
            </w:r>
          </w:p>
        </w:tc>
      </w:tr>
      <w:tr w:rsidR="00CA27E3" w:rsidRPr="00D83000" w14:paraId="7FB45C3C" w14:textId="77777777" w:rsidTr="00CA27E3">
        <w:trPr>
          <w:jc w:val="center"/>
        </w:trPr>
        <w:tc>
          <w:tcPr>
            <w:tcW w:w="3201" w:type="dxa"/>
            <w:tcBorders>
              <w:top w:val="single" w:sz="4" w:space="0" w:color="auto"/>
              <w:left w:val="single" w:sz="4" w:space="0" w:color="auto"/>
            </w:tcBorders>
            <w:shd w:val="clear" w:color="auto" w:fill="FFFFFF"/>
          </w:tcPr>
          <w:p w14:paraId="2DA00648"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6F1DCBC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right w:val="single" w:sz="4" w:space="0" w:color="auto"/>
            </w:tcBorders>
            <w:shd w:val="clear" w:color="auto" w:fill="FFFFFF"/>
            <w:vAlign w:val="bottom"/>
          </w:tcPr>
          <w:p w14:paraId="651F600A"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300</w:t>
            </w:r>
          </w:p>
        </w:tc>
      </w:tr>
      <w:tr w:rsidR="00CA27E3" w:rsidRPr="00D83000" w14:paraId="094A187B" w14:textId="77777777" w:rsidTr="00CA27E3">
        <w:trPr>
          <w:jc w:val="center"/>
        </w:trPr>
        <w:tc>
          <w:tcPr>
            <w:tcW w:w="3201" w:type="dxa"/>
            <w:tcBorders>
              <w:top w:val="single" w:sz="4" w:space="0" w:color="auto"/>
              <w:left w:val="single" w:sz="4" w:space="0" w:color="auto"/>
            </w:tcBorders>
            <w:shd w:val="clear" w:color="auto" w:fill="FFFFFF"/>
          </w:tcPr>
          <w:p w14:paraId="45436C9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PAR20</w:t>
            </w:r>
          </w:p>
        </w:tc>
        <w:tc>
          <w:tcPr>
            <w:tcW w:w="3199" w:type="dxa"/>
            <w:tcBorders>
              <w:top w:val="single" w:sz="4" w:space="0" w:color="auto"/>
              <w:left w:val="single" w:sz="4" w:space="0" w:color="auto"/>
            </w:tcBorders>
            <w:shd w:val="clear" w:color="auto" w:fill="FFFFFF"/>
          </w:tcPr>
          <w:p w14:paraId="46AAEF4C"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w:t>
            </w:r>
          </w:p>
        </w:tc>
        <w:tc>
          <w:tcPr>
            <w:tcW w:w="3185" w:type="dxa"/>
            <w:tcBorders>
              <w:top w:val="single" w:sz="4" w:space="0" w:color="auto"/>
              <w:left w:val="single" w:sz="4" w:space="0" w:color="auto"/>
              <w:right w:val="single" w:sz="4" w:space="0" w:color="auto"/>
            </w:tcBorders>
            <w:shd w:val="clear" w:color="auto" w:fill="FFFFFF"/>
            <w:vAlign w:val="bottom"/>
          </w:tcPr>
          <w:p w14:paraId="26AB00CA"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200</w:t>
            </w:r>
          </w:p>
        </w:tc>
      </w:tr>
      <w:tr w:rsidR="00CA27E3" w:rsidRPr="00D83000" w14:paraId="0F7EE3F9" w14:textId="77777777" w:rsidTr="00CA27E3">
        <w:trPr>
          <w:jc w:val="center"/>
        </w:trPr>
        <w:tc>
          <w:tcPr>
            <w:tcW w:w="3201" w:type="dxa"/>
            <w:tcBorders>
              <w:top w:val="single" w:sz="4" w:space="0" w:color="auto"/>
              <w:left w:val="single" w:sz="4" w:space="0" w:color="auto"/>
            </w:tcBorders>
            <w:shd w:val="clear" w:color="auto" w:fill="FFFFFF"/>
          </w:tcPr>
          <w:p w14:paraId="7A99EB04"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7DD9EB7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right w:val="single" w:sz="4" w:space="0" w:color="auto"/>
            </w:tcBorders>
            <w:shd w:val="clear" w:color="auto" w:fill="FFFFFF"/>
            <w:vAlign w:val="bottom"/>
          </w:tcPr>
          <w:p w14:paraId="2C2B2D8A"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300</w:t>
            </w:r>
          </w:p>
        </w:tc>
      </w:tr>
      <w:tr w:rsidR="00CA27E3" w:rsidRPr="00D83000" w14:paraId="502FCFBE" w14:textId="77777777" w:rsidTr="00CA27E3">
        <w:trPr>
          <w:jc w:val="center"/>
        </w:trPr>
        <w:tc>
          <w:tcPr>
            <w:tcW w:w="3201" w:type="dxa"/>
            <w:tcBorders>
              <w:top w:val="single" w:sz="4" w:space="0" w:color="auto"/>
              <w:left w:val="single" w:sz="4" w:space="0" w:color="auto"/>
            </w:tcBorders>
            <w:shd w:val="clear" w:color="auto" w:fill="FFFFFF"/>
          </w:tcPr>
          <w:p w14:paraId="11FC7CF5"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1E52910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vAlign w:val="bottom"/>
          </w:tcPr>
          <w:p w14:paraId="6091B093"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500</w:t>
            </w:r>
          </w:p>
        </w:tc>
      </w:tr>
      <w:tr w:rsidR="00CA27E3" w:rsidRPr="00D83000" w14:paraId="66BD40EF" w14:textId="77777777" w:rsidTr="00CA27E3">
        <w:trPr>
          <w:jc w:val="center"/>
        </w:trPr>
        <w:tc>
          <w:tcPr>
            <w:tcW w:w="3201" w:type="dxa"/>
            <w:tcBorders>
              <w:top w:val="single" w:sz="4" w:space="0" w:color="auto"/>
              <w:left w:val="single" w:sz="4" w:space="0" w:color="auto"/>
              <w:bottom w:val="single" w:sz="4" w:space="0" w:color="auto"/>
            </w:tcBorders>
            <w:shd w:val="clear" w:color="auto" w:fill="FFFFFF"/>
          </w:tcPr>
          <w:p w14:paraId="55418BC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lastRenderedPageBreak/>
              <w:t>PAR25</w:t>
            </w:r>
          </w:p>
        </w:tc>
        <w:tc>
          <w:tcPr>
            <w:tcW w:w="3199" w:type="dxa"/>
            <w:tcBorders>
              <w:top w:val="single" w:sz="4" w:space="0" w:color="auto"/>
              <w:left w:val="single" w:sz="4" w:space="0" w:color="auto"/>
              <w:bottom w:val="single" w:sz="4" w:space="0" w:color="auto"/>
            </w:tcBorders>
            <w:shd w:val="clear" w:color="auto" w:fill="FFFFFF"/>
          </w:tcPr>
          <w:p w14:paraId="4E9C56BD"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bottom w:val="single" w:sz="4" w:space="0" w:color="auto"/>
              <w:right w:val="single" w:sz="4" w:space="0" w:color="auto"/>
            </w:tcBorders>
            <w:shd w:val="clear" w:color="auto" w:fill="FFFFFF"/>
          </w:tcPr>
          <w:p w14:paraId="5EB87DC1"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350</w:t>
            </w:r>
          </w:p>
        </w:tc>
      </w:tr>
      <w:tr w:rsidR="00CA27E3" w:rsidRPr="00D83000" w14:paraId="0DF5B877" w14:textId="77777777" w:rsidTr="00CA27E3">
        <w:trPr>
          <w:jc w:val="center"/>
        </w:trPr>
        <w:tc>
          <w:tcPr>
            <w:tcW w:w="3201" w:type="dxa"/>
            <w:tcBorders>
              <w:top w:val="single" w:sz="4" w:space="0" w:color="auto"/>
              <w:left w:val="single" w:sz="4" w:space="0" w:color="auto"/>
            </w:tcBorders>
            <w:shd w:val="clear" w:color="auto" w:fill="FFFFFF"/>
          </w:tcPr>
          <w:p w14:paraId="0570F947"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tcPr>
          <w:p w14:paraId="5A17D436"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tcPr>
          <w:p w14:paraId="5F34F707"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550</w:t>
            </w:r>
          </w:p>
        </w:tc>
      </w:tr>
      <w:tr w:rsidR="00CA27E3" w:rsidRPr="00D83000" w14:paraId="608E9B5B" w14:textId="77777777" w:rsidTr="00CA27E3">
        <w:trPr>
          <w:jc w:val="center"/>
        </w:trPr>
        <w:tc>
          <w:tcPr>
            <w:tcW w:w="3201" w:type="dxa"/>
            <w:tcBorders>
              <w:top w:val="single" w:sz="4" w:space="0" w:color="auto"/>
              <w:left w:val="single" w:sz="4" w:space="0" w:color="auto"/>
            </w:tcBorders>
            <w:shd w:val="clear" w:color="auto" w:fill="FFFFFF"/>
          </w:tcPr>
          <w:p w14:paraId="26B2567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PAR30S</w:t>
            </w:r>
          </w:p>
        </w:tc>
        <w:tc>
          <w:tcPr>
            <w:tcW w:w="3199" w:type="dxa"/>
            <w:tcBorders>
              <w:top w:val="single" w:sz="4" w:space="0" w:color="auto"/>
              <w:left w:val="single" w:sz="4" w:space="0" w:color="auto"/>
            </w:tcBorders>
            <w:shd w:val="clear" w:color="auto" w:fill="FFFFFF"/>
          </w:tcPr>
          <w:p w14:paraId="22AB032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right w:val="single" w:sz="4" w:space="0" w:color="auto"/>
            </w:tcBorders>
            <w:shd w:val="clear" w:color="auto" w:fill="FFFFFF"/>
          </w:tcPr>
          <w:p w14:paraId="15A470F8"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350</w:t>
            </w:r>
          </w:p>
        </w:tc>
      </w:tr>
      <w:tr w:rsidR="00CA27E3" w:rsidRPr="00D83000" w14:paraId="3E866CCA" w14:textId="77777777" w:rsidTr="00CA27E3">
        <w:trPr>
          <w:jc w:val="center"/>
        </w:trPr>
        <w:tc>
          <w:tcPr>
            <w:tcW w:w="3201" w:type="dxa"/>
            <w:tcBorders>
              <w:top w:val="single" w:sz="4" w:space="0" w:color="auto"/>
              <w:left w:val="single" w:sz="4" w:space="0" w:color="auto"/>
            </w:tcBorders>
            <w:shd w:val="clear" w:color="auto" w:fill="FFFFFF"/>
          </w:tcPr>
          <w:p w14:paraId="59EAD3EA"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20D09A6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vAlign w:val="bottom"/>
          </w:tcPr>
          <w:p w14:paraId="7DBFB4C2"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550</w:t>
            </w:r>
          </w:p>
        </w:tc>
      </w:tr>
      <w:tr w:rsidR="00CA27E3" w:rsidRPr="00D83000" w14:paraId="5AF8783F" w14:textId="77777777" w:rsidTr="00CA27E3">
        <w:trPr>
          <w:jc w:val="center"/>
        </w:trPr>
        <w:tc>
          <w:tcPr>
            <w:tcW w:w="3201" w:type="dxa"/>
            <w:tcBorders>
              <w:top w:val="single" w:sz="4" w:space="0" w:color="auto"/>
              <w:left w:val="single" w:sz="4" w:space="0" w:color="auto"/>
            </w:tcBorders>
            <w:shd w:val="clear" w:color="auto" w:fill="FFFFFF"/>
          </w:tcPr>
          <w:p w14:paraId="46085407"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488C77C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vAlign w:val="bottom"/>
          </w:tcPr>
          <w:p w14:paraId="4FDC8C20"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750</w:t>
            </w:r>
          </w:p>
        </w:tc>
      </w:tr>
      <w:tr w:rsidR="00CA27E3" w:rsidRPr="00D83000" w14:paraId="44656777" w14:textId="77777777" w:rsidTr="00CA27E3">
        <w:trPr>
          <w:jc w:val="center"/>
        </w:trPr>
        <w:tc>
          <w:tcPr>
            <w:tcW w:w="3201" w:type="dxa"/>
            <w:tcBorders>
              <w:top w:val="single" w:sz="4" w:space="0" w:color="auto"/>
              <w:left w:val="single" w:sz="4" w:space="0" w:color="auto"/>
            </w:tcBorders>
            <w:shd w:val="clear" w:color="auto" w:fill="FFFFFF"/>
          </w:tcPr>
          <w:p w14:paraId="0929F3D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PAR36</w:t>
            </w:r>
          </w:p>
        </w:tc>
        <w:tc>
          <w:tcPr>
            <w:tcW w:w="3199" w:type="dxa"/>
            <w:tcBorders>
              <w:top w:val="single" w:sz="4" w:space="0" w:color="auto"/>
              <w:left w:val="single" w:sz="4" w:space="0" w:color="auto"/>
            </w:tcBorders>
            <w:shd w:val="clear" w:color="auto" w:fill="FFFFFF"/>
          </w:tcPr>
          <w:p w14:paraId="297B2DC2"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50</w:t>
            </w:r>
          </w:p>
        </w:tc>
        <w:tc>
          <w:tcPr>
            <w:tcW w:w="3185" w:type="dxa"/>
            <w:tcBorders>
              <w:top w:val="single" w:sz="4" w:space="0" w:color="auto"/>
              <w:left w:val="single" w:sz="4" w:space="0" w:color="auto"/>
              <w:right w:val="single" w:sz="4" w:space="0" w:color="auto"/>
            </w:tcBorders>
            <w:shd w:val="clear" w:color="auto" w:fill="FFFFFF"/>
          </w:tcPr>
          <w:p w14:paraId="759731FB"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350</w:t>
            </w:r>
          </w:p>
        </w:tc>
      </w:tr>
      <w:tr w:rsidR="00CA27E3" w:rsidRPr="00D83000" w14:paraId="084D3AC0" w14:textId="77777777" w:rsidTr="00CA27E3">
        <w:trPr>
          <w:jc w:val="center"/>
        </w:trPr>
        <w:tc>
          <w:tcPr>
            <w:tcW w:w="3201" w:type="dxa"/>
            <w:tcBorders>
              <w:top w:val="single" w:sz="4" w:space="0" w:color="auto"/>
              <w:left w:val="single" w:sz="4" w:space="0" w:color="auto"/>
            </w:tcBorders>
            <w:shd w:val="clear" w:color="auto" w:fill="FFFFFF"/>
          </w:tcPr>
          <w:p w14:paraId="013F0EAF"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6B2309DE"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vAlign w:val="bottom"/>
          </w:tcPr>
          <w:p w14:paraId="3A3E6FA1"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550</w:t>
            </w:r>
          </w:p>
        </w:tc>
      </w:tr>
      <w:tr w:rsidR="00CA27E3" w:rsidRPr="00D83000" w14:paraId="4A3C98C4" w14:textId="77777777" w:rsidTr="00CA27E3">
        <w:trPr>
          <w:jc w:val="center"/>
        </w:trPr>
        <w:tc>
          <w:tcPr>
            <w:tcW w:w="3201" w:type="dxa"/>
            <w:tcBorders>
              <w:top w:val="single" w:sz="4" w:space="0" w:color="auto"/>
              <w:left w:val="single" w:sz="4" w:space="0" w:color="auto"/>
            </w:tcBorders>
            <w:shd w:val="clear" w:color="auto" w:fill="FFFFFF"/>
          </w:tcPr>
          <w:p w14:paraId="15D38143"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6E12B2F1"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tcPr>
          <w:p w14:paraId="5E67ABF4"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720</w:t>
            </w:r>
          </w:p>
        </w:tc>
      </w:tr>
      <w:tr w:rsidR="00CA27E3" w:rsidRPr="00D83000" w14:paraId="541CA864" w14:textId="77777777" w:rsidTr="00CA27E3">
        <w:trPr>
          <w:jc w:val="center"/>
        </w:trPr>
        <w:tc>
          <w:tcPr>
            <w:tcW w:w="3201" w:type="dxa"/>
            <w:tcBorders>
              <w:top w:val="single" w:sz="4" w:space="0" w:color="auto"/>
              <w:left w:val="single" w:sz="4" w:space="0" w:color="auto"/>
            </w:tcBorders>
            <w:shd w:val="clear" w:color="auto" w:fill="FFFFFF"/>
            <w:vAlign w:val="bottom"/>
          </w:tcPr>
          <w:p w14:paraId="11BD6AF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PAR38</w:t>
            </w:r>
          </w:p>
        </w:tc>
        <w:tc>
          <w:tcPr>
            <w:tcW w:w="3199" w:type="dxa"/>
            <w:tcBorders>
              <w:top w:val="single" w:sz="4" w:space="0" w:color="auto"/>
              <w:left w:val="single" w:sz="4" w:space="0" w:color="auto"/>
            </w:tcBorders>
            <w:shd w:val="clear" w:color="auto" w:fill="FFFFFF"/>
            <w:vAlign w:val="bottom"/>
          </w:tcPr>
          <w:p w14:paraId="2ABDAF2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w:t>
            </w:r>
          </w:p>
        </w:tc>
        <w:tc>
          <w:tcPr>
            <w:tcW w:w="3185" w:type="dxa"/>
            <w:tcBorders>
              <w:top w:val="single" w:sz="4" w:space="0" w:color="auto"/>
              <w:left w:val="single" w:sz="4" w:space="0" w:color="auto"/>
              <w:right w:val="single" w:sz="4" w:space="0" w:color="auto"/>
            </w:tcBorders>
            <w:shd w:val="clear" w:color="auto" w:fill="FFFFFF"/>
            <w:vAlign w:val="bottom"/>
          </w:tcPr>
          <w:p w14:paraId="49F4EC5E"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400</w:t>
            </w:r>
          </w:p>
        </w:tc>
      </w:tr>
      <w:tr w:rsidR="00CA27E3" w:rsidRPr="00D83000" w14:paraId="4CE72189" w14:textId="77777777" w:rsidTr="00CA27E3">
        <w:trPr>
          <w:jc w:val="center"/>
        </w:trPr>
        <w:tc>
          <w:tcPr>
            <w:tcW w:w="3201" w:type="dxa"/>
            <w:tcBorders>
              <w:top w:val="single" w:sz="4" w:space="0" w:color="auto"/>
              <w:left w:val="single" w:sz="4" w:space="0" w:color="auto"/>
            </w:tcBorders>
            <w:shd w:val="clear" w:color="auto" w:fill="FFFFFF"/>
          </w:tcPr>
          <w:p w14:paraId="6A74E0CA"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20E084C5"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75</w:t>
            </w:r>
          </w:p>
        </w:tc>
        <w:tc>
          <w:tcPr>
            <w:tcW w:w="3185" w:type="dxa"/>
            <w:tcBorders>
              <w:top w:val="single" w:sz="4" w:space="0" w:color="auto"/>
              <w:left w:val="single" w:sz="4" w:space="0" w:color="auto"/>
              <w:right w:val="single" w:sz="4" w:space="0" w:color="auto"/>
            </w:tcBorders>
            <w:shd w:val="clear" w:color="auto" w:fill="FFFFFF"/>
            <w:vAlign w:val="bottom"/>
          </w:tcPr>
          <w:p w14:paraId="605235CF"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555</w:t>
            </w:r>
          </w:p>
        </w:tc>
      </w:tr>
      <w:tr w:rsidR="00CA27E3" w:rsidRPr="00D83000" w14:paraId="61BA503D" w14:textId="77777777" w:rsidTr="00CA27E3">
        <w:trPr>
          <w:jc w:val="center"/>
        </w:trPr>
        <w:tc>
          <w:tcPr>
            <w:tcW w:w="3201" w:type="dxa"/>
            <w:tcBorders>
              <w:top w:val="single" w:sz="4" w:space="0" w:color="auto"/>
              <w:left w:val="single" w:sz="4" w:space="0" w:color="auto"/>
            </w:tcBorders>
            <w:shd w:val="clear" w:color="auto" w:fill="FFFFFF"/>
          </w:tcPr>
          <w:p w14:paraId="59FE6EB8"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10EA5C8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80</w:t>
            </w:r>
          </w:p>
        </w:tc>
        <w:tc>
          <w:tcPr>
            <w:tcW w:w="3185" w:type="dxa"/>
            <w:tcBorders>
              <w:top w:val="single" w:sz="4" w:space="0" w:color="auto"/>
              <w:left w:val="single" w:sz="4" w:space="0" w:color="auto"/>
              <w:right w:val="single" w:sz="4" w:space="0" w:color="auto"/>
            </w:tcBorders>
            <w:shd w:val="clear" w:color="auto" w:fill="FFFFFF"/>
            <w:vAlign w:val="bottom"/>
          </w:tcPr>
          <w:p w14:paraId="09ECEFDB"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600</w:t>
            </w:r>
          </w:p>
        </w:tc>
      </w:tr>
      <w:tr w:rsidR="00CA27E3" w:rsidRPr="00D83000" w14:paraId="0F2A4EAC" w14:textId="77777777" w:rsidTr="00CA27E3">
        <w:trPr>
          <w:jc w:val="center"/>
        </w:trPr>
        <w:tc>
          <w:tcPr>
            <w:tcW w:w="3201" w:type="dxa"/>
            <w:tcBorders>
              <w:top w:val="single" w:sz="4" w:space="0" w:color="auto"/>
              <w:left w:val="single" w:sz="4" w:space="0" w:color="auto"/>
            </w:tcBorders>
            <w:shd w:val="clear" w:color="auto" w:fill="FFFFFF"/>
          </w:tcPr>
          <w:p w14:paraId="43A53064"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tcBorders>
            <w:shd w:val="clear" w:color="auto" w:fill="FFFFFF"/>
            <w:vAlign w:val="bottom"/>
          </w:tcPr>
          <w:p w14:paraId="333E4C5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100</w:t>
            </w:r>
          </w:p>
        </w:tc>
        <w:tc>
          <w:tcPr>
            <w:tcW w:w="3185" w:type="dxa"/>
            <w:tcBorders>
              <w:top w:val="single" w:sz="4" w:space="0" w:color="auto"/>
              <w:left w:val="single" w:sz="4" w:space="0" w:color="auto"/>
              <w:right w:val="single" w:sz="4" w:space="0" w:color="auto"/>
            </w:tcBorders>
            <w:shd w:val="clear" w:color="auto" w:fill="FFFFFF"/>
            <w:vAlign w:val="bottom"/>
          </w:tcPr>
          <w:p w14:paraId="780266AF"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760</w:t>
            </w:r>
          </w:p>
        </w:tc>
      </w:tr>
      <w:tr w:rsidR="00CA27E3" w:rsidRPr="00D83000" w14:paraId="6E33AF4F" w14:textId="77777777" w:rsidTr="000809D3">
        <w:trPr>
          <w:trHeight w:val="77"/>
          <w:jc w:val="center"/>
        </w:trPr>
        <w:tc>
          <w:tcPr>
            <w:tcW w:w="3201" w:type="dxa"/>
            <w:tcBorders>
              <w:top w:val="single" w:sz="4" w:space="0" w:color="auto"/>
              <w:left w:val="single" w:sz="4" w:space="0" w:color="auto"/>
              <w:bottom w:val="single" w:sz="4" w:space="0" w:color="auto"/>
            </w:tcBorders>
            <w:shd w:val="clear" w:color="auto" w:fill="FFFFFF"/>
          </w:tcPr>
          <w:p w14:paraId="6518E324" w14:textId="77777777" w:rsidR="00CA27E3" w:rsidRPr="00D83000" w:rsidRDefault="00CA27E3" w:rsidP="00D83000">
            <w:pPr>
              <w:spacing w:after="120"/>
              <w:rPr>
                <w:rFonts w:ascii="Sylfaen" w:hAnsi="Sylfaen" w:cs="Sylfaen"/>
                <w:sz w:val="20"/>
                <w:szCs w:val="20"/>
              </w:rPr>
            </w:pPr>
          </w:p>
        </w:tc>
        <w:tc>
          <w:tcPr>
            <w:tcW w:w="3199" w:type="dxa"/>
            <w:tcBorders>
              <w:top w:val="single" w:sz="4" w:space="0" w:color="auto"/>
              <w:left w:val="single" w:sz="4" w:space="0" w:color="auto"/>
              <w:bottom w:val="single" w:sz="4" w:space="0" w:color="auto"/>
            </w:tcBorders>
            <w:shd w:val="clear" w:color="auto" w:fill="FFFFFF"/>
            <w:vAlign w:val="bottom"/>
          </w:tcPr>
          <w:p w14:paraId="06CEC0E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120</w:t>
            </w:r>
          </w:p>
        </w:tc>
        <w:tc>
          <w:tcPr>
            <w:tcW w:w="3185" w:type="dxa"/>
            <w:tcBorders>
              <w:top w:val="single" w:sz="4" w:space="0" w:color="auto"/>
              <w:left w:val="single" w:sz="4" w:space="0" w:color="auto"/>
              <w:bottom w:val="single" w:sz="4" w:space="0" w:color="auto"/>
              <w:right w:val="single" w:sz="4" w:space="0" w:color="auto"/>
            </w:tcBorders>
            <w:shd w:val="clear" w:color="auto" w:fill="FFFFFF"/>
            <w:vAlign w:val="center"/>
          </w:tcPr>
          <w:p w14:paraId="44CC5708"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900</w:t>
            </w:r>
          </w:p>
        </w:tc>
      </w:tr>
    </w:tbl>
    <w:p w14:paraId="4FD96EFF"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p>
    <w:p w14:paraId="63840BDE" w14:textId="77777777" w:rsidR="00CA27E3" w:rsidRPr="00CA27E3" w:rsidRDefault="00CA27E3" w:rsidP="00CA27E3">
      <w:pPr>
        <w:pStyle w:val="a2"/>
        <w:shd w:val="clear" w:color="auto" w:fill="auto"/>
        <w:spacing w:after="160" w:line="360" w:lineRule="auto"/>
        <w:jc w:val="right"/>
        <w:rPr>
          <w:rFonts w:ascii="Sylfaen" w:hAnsi="Sylfaen" w:cs="Sylfaen"/>
          <w:sz w:val="24"/>
          <w:szCs w:val="24"/>
        </w:rPr>
      </w:pPr>
      <w:r w:rsidRPr="00CA27E3">
        <w:rPr>
          <w:rFonts w:ascii="Sylfaen" w:hAnsi="Sylfaen"/>
          <w:sz w:val="24"/>
          <w:szCs w:val="24"/>
        </w:rPr>
        <w:t>Աղյուսակ 7</w:t>
      </w:r>
    </w:p>
    <w:p w14:paraId="5BC83EAE"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Լուսային հոսքի համար ճշգրտման գործակիցները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4805"/>
        <w:gridCol w:w="4781"/>
      </w:tblGrid>
      <w:tr w:rsidR="00CA27E3" w:rsidRPr="00D83000" w14:paraId="573540DE" w14:textId="77777777" w:rsidTr="00CA27E3">
        <w:trPr>
          <w:jc w:val="center"/>
        </w:trPr>
        <w:tc>
          <w:tcPr>
            <w:tcW w:w="4805" w:type="dxa"/>
            <w:tcBorders>
              <w:top w:val="single" w:sz="4" w:space="0" w:color="auto"/>
              <w:left w:val="single" w:sz="4" w:space="0" w:color="auto"/>
            </w:tcBorders>
            <w:shd w:val="clear" w:color="auto" w:fill="FFFFFF"/>
          </w:tcPr>
          <w:p w14:paraId="2C197CC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Լամպի տիպը</w:t>
            </w:r>
          </w:p>
        </w:tc>
        <w:tc>
          <w:tcPr>
            <w:tcW w:w="4781" w:type="dxa"/>
            <w:tcBorders>
              <w:top w:val="single" w:sz="4" w:space="0" w:color="auto"/>
              <w:left w:val="single" w:sz="4" w:space="0" w:color="auto"/>
              <w:right w:val="single" w:sz="4" w:space="0" w:color="auto"/>
            </w:tcBorders>
            <w:shd w:val="clear" w:color="auto" w:fill="FFFFFF"/>
            <w:vAlign w:val="bottom"/>
          </w:tcPr>
          <w:p w14:paraId="68D53A94"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Լուսային հոսքի համար ճշգրտման գործակիցը </w:t>
            </w:r>
          </w:p>
        </w:tc>
      </w:tr>
      <w:tr w:rsidR="00CA27E3" w:rsidRPr="00D83000" w14:paraId="252CFDE1" w14:textId="77777777" w:rsidTr="00CA27E3">
        <w:trPr>
          <w:jc w:val="center"/>
        </w:trPr>
        <w:tc>
          <w:tcPr>
            <w:tcW w:w="4805" w:type="dxa"/>
            <w:tcBorders>
              <w:top w:val="single" w:sz="4" w:space="0" w:color="auto"/>
            </w:tcBorders>
            <w:shd w:val="clear" w:color="auto" w:fill="FFFFFF"/>
            <w:vAlign w:val="center"/>
          </w:tcPr>
          <w:p w14:paraId="31065D37"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Հալոգենային լամպ</w:t>
            </w:r>
          </w:p>
        </w:tc>
        <w:tc>
          <w:tcPr>
            <w:tcW w:w="4781" w:type="dxa"/>
            <w:tcBorders>
              <w:top w:val="single" w:sz="4" w:space="0" w:color="auto"/>
            </w:tcBorders>
            <w:shd w:val="clear" w:color="auto" w:fill="FFFFFF"/>
            <w:vAlign w:val="bottom"/>
          </w:tcPr>
          <w:p w14:paraId="5C32D547"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w:t>
            </w:r>
          </w:p>
        </w:tc>
      </w:tr>
      <w:tr w:rsidR="00CA27E3" w:rsidRPr="00D83000" w14:paraId="14D0C952" w14:textId="77777777" w:rsidTr="00CA27E3">
        <w:trPr>
          <w:jc w:val="center"/>
        </w:trPr>
        <w:tc>
          <w:tcPr>
            <w:tcW w:w="4805" w:type="dxa"/>
            <w:shd w:val="clear" w:color="auto" w:fill="FFFFFF"/>
            <w:vAlign w:val="center"/>
          </w:tcPr>
          <w:p w14:paraId="4A146898"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Կոմպակտ լյումինեսցենտային լամպ</w:t>
            </w:r>
          </w:p>
        </w:tc>
        <w:tc>
          <w:tcPr>
            <w:tcW w:w="4781" w:type="dxa"/>
            <w:shd w:val="clear" w:color="auto" w:fill="FFFFFF"/>
            <w:vAlign w:val="bottom"/>
          </w:tcPr>
          <w:p w14:paraId="0BFD707B"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1,08</w:t>
            </w:r>
          </w:p>
        </w:tc>
      </w:tr>
      <w:tr w:rsidR="00CA27E3" w:rsidRPr="00D83000" w14:paraId="010F667B" w14:textId="77777777" w:rsidTr="00CA27E3">
        <w:trPr>
          <w:jc w:val="center"/>
        </w:trPr>
        <w:tc>
          <w:tcPr>
            <w:tcW w:w="4805" w:type="dxa"/>
            <w:shd w:val="clear" w:color="auto" w:fill="FFFFFF"/>
          </w:tcPr>
          <w:p w14:paraId="28C80FD4" w14:textId="77777777" w:rsidR="00CA27E3" w:rsidRPr="00D83000" w:rsidRDefault="00CA27E3" w:rsidP="00D83000">
            <w:pPr>
              <w:spacing w:after="120"/>
              <w:rPr>
                <w:rFonts w:ascii="Sylfaen" w:hAnsi="Sylfaen" w:cs="Sylfaen"/>
                <w:sz w:val="20"/>
                <w:szCs w:val="20"/>
              </w:rPr>
            </w:pPr>
          </w:p>
        </w:tc>
        <w:tc>
          <w:tcPr>
            <w:tcW w:w="4781" w:type="dxa"/>
            <w:shd w:val="clear" w:color="auto" w:fill="FFFFFF"/>
            <w:vAlign w:val="bottom"/>
          </w:tcPr>
          <w:p w14:paraId="1E1404F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 + 0,5 × (1 - LLMF), որտեղ՝</w:t>
            </w:r>
          </w:p>
        </w:tc>
      </w:tr>
      <w:tr w:rsidR="00CA27E3" w:rsidRPr="00D83000" w14:paraId="7EB5577C" w14:textId="77777777" w:rsidTr="00CA27E3">
        <w:trPr>
          <w:jc w:val="center"/>
        </w:trPr>
        <w:tc>
          <w:tcPr>
            <w:tcW w:w="4805" w:type="dxa"/>
            <w:shd w:val="clear" w:color="auto" w:fill="FFFFFF"/>
          </w:tcPr>
          <w:p w14:paraId="46DB1BA1"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Լուսադիոդային լամպ</w:t>
            </w:r>
          </w:p>
        </w:tc>
        <w:tc>
          <w:tcPr>
            <w:tcW w:w="4781" w:type="dxa"/>
            <w:shd w:val="clear" w:color="auto" w:fill="FFFFFF"/>
            <w:vAlign w:val="bottom"/>
          </w:tcPr>
          <w:p w14:paraId="5EBFCA0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 xml:space="preserve">LLMF՝ ծառայության անվանական ժամկետի ավարտին լուսային հոսքի գործակիցը </w:t>
            </w:r>
          </w:p>
        </w:tc>
      </w:tr>
    </w:tbl>
    <w:p w14:paraId="0DEA290F" w14:textId="77777777" w:rsidR="00CA27E3" w:rsidRPr="00CA27E3" w:rsidRDefault="00CA27E3" w:rsidP="00CA27E3">
      <w:pPr>
        <w:spacing w:after="160" w:line="360" w:lineRule="auto"/>
        <w:rPr>
          <w:rFonts w:ascii="Sylfaen" w:hAnsi="Sylfaen" w:cs="Sylfaen"/>
        </w:rPr>
      </w:pPr>
    </w:p>
    <w:p w14:paraId="6B35E569" w14:textId="77777777" w:rsidR="00CA27E3" w:rsidRPr="00CA27E3" w:rsidRDefault="00CA27E3" w:rsidP="00CA27E3">
      <w:pPr>
        <w:spacing w:after="160" w:line="360" w:lineRule="auto"/>
        <w:jc w:val="right"/>
        <w:rPr>
          <w:rFonts w:ascii="Sylfaen" w:hAnsi="Sylfaen"/>
        </w:rPr>
      </w:pPr>
      <w:r w:rsidRPr="00CA27E3">
        <w:rPr>
          <w:rFonts w:ascii="Sylfaen" w:hAnsi="Sylfaen"/>
        </w:rPr>
        <w:t>Աղյուսակ 8</w:t>
      </w:r>
    </w:p>
    <w:p w14:paraId="0DAED97F" w14:textId="77777777" w:rsidR="00CA27E3" w:rsidRPr="00CA27E3" w:rsidRDefault="00CA27E3" w:rsidP="00CA27E3">
      <w:pPr>
        <w:spacing w:after="160" w:line="360" w:lineRule="auto"/>
        <w:jc w:val="center"/>
        <w:rPr>
          <w:rFonts w:ascii="Sylfaen" w:hAnsi="Sylfaen"/>
        </w:rPr>
      </w:pPr>
      <w:r w:rsidRPr="00CA27E3">
        <w:rPr>
          <w:rFonts w:ascii="Sylfaen" w:hAnsi="Sylfaen"/>
        </w:rPr>
        <w:t xml:space="preserve">Լուսադիոդային լամպերի համար ճշգրտման գործակիցները </w:t>
      </w:r>
    </w:p>
    <w:tbl>
      <w:tblPr>
        <w:tblOverlap w:val="never"/>
        <w:tblW w:w="9585" w:type="dxa"/>
        <w:jc w:val="center"/>
        <w:tblLayout w:type="fixed"/>
        <w:tblCellMar>
          <w:left w:w="10" w:type="dxa"/>
          <w:right w:w="10" w:type="dxa"/>
        </w:tblCellMar>
        <w:tblLook w:val="0000" w:firstRow="0" w:lastRow="0" w:firstColumn="0" w:lastColumn="0" w:noHBand="0" w:noVBand="0"/>
      </w:tblPr>
      <w:tblGrid>
        <w:gridCol w:w="4790"/>
        <w:gridCol w:w="4795"/>
      </w:tblGrid>
      <w:tr w:rsidR="00CA27E3" w:rsidRPr="00D83000" w14:paraId="02EE3464" w14:textId="77777777" w:rsidTr="000809D3">
        <w:trPr>
          <w:jc w:val="center"/>
        </w:trPr>
        <w:tc>
          <w:tcPr>
            <w:tcW w:w="4790" w:type="dxa"/>
            <w:tcBorders>
              <w:top w:val="single" w:sz="4" w:space="0" w:color="auto"/>
              <w:left w:val="single" w:sz="4" w:space="0" w:color="auto"/>
            </w:tcBorders>
            <w:shd w:val="clear" w:color="auto" w:fill="FFFFFF"/>
            <w:vAlign w:val="center"/>
          </w:tcPr>
          <w:p w14:paraId="07DA836E"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Լուսադիոդային լամպի ճառագայթի ցրման անկյունը</w:t>
            </w:r>
          </w:p>
        </w:tc>
        <w:tc>
          <w:tcPr>
            <w:tcW w:w="4795" w:type="dxa"/>
            <w:tcBorders>
              <w:top w:val="single" w:sz="4" w:space="0" w:color="auto"/>
              <w:left w:val="single" w:sz="4" w:space="0" w:color="auto"/>
              <w:right w:val="single" w:sz="4" w:space="0" w:color="auto"/>
            </w:tcBorders>
            <w:shd w:val="clear" w:color="auto" w:fill="FFFFFF"/>
            <w:vAlign w:val="center"/>
          </w:tcPr>
          <w:p w14:paraId="64F0BF77" w14:textId="77777777" w:rsidR="00CA27E3" w:rsidRPr="00D83000" w:rsidRDefault="00CA27E3" w:rsidP="000809D3">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Լուսային հոսքի համար ճշգրտման գործակիցը</w:t>
            </w:r>
          </w:p>
        </w:tc>
      </w:tr>
      <w:tr w:rsidR="00CA27E3" w:rsidRPr="00D83000" w14:paraId="064F39D1" w14:textId="77777777" w:rsidTr="00CA27E3">
        <w:trPr>
          <w:jc w:val="center"/>
        </w:trPr>
        <w:tc>
          <w:tcPr>
            <w:tcW w:w="4790" w:type="dxa"/>
            <w:tcBorders>
              <w:top w:val="single" w:sz="4" w:space="0" w:color="auto"/>
            </w:tcBorders>
            <w:shd w:val="clear" w:color="auto" w:fill="FFFFFF"/>
            <w:vAlign w:val="center"/>
          </w:tcPr>
          <w:p w14:paraId="075C92FC"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ցրման անկյունը ≥ 20</w:t>
            </w:r>
            <w:r w:rsidRPr="00D83000">
              <w:rPr>
                <w:rFonts w:ascii="Sylfaen" w:hAnsi="Sylfaen"/>
                <w:sz w:val="20"/>
                <w:szCs w:val="20"/>
                <w:vertAlign w:val="superscript"/>
              </w:rPr>
              <w:t>o</w:t>
            </w:r>
          </w:p>
        </w:tc>
        <w:tc>
          <w:tcPr>
            <w:tcW w:w="4795" w:type="dxa"/>
            <w:tcBorders>
              <w:top w:val="single" w:sz="4" w:space="0" w:color="auto"/>
            </w:tcBorders>
            <w:shd w:val="clear" w:color="auto" w:fill="FFFFFF"/>
            <w:vAlign w:val="center"/>
          </w:tcPr>
          <w:p w14:paraId="057F78F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1</w:t>
            </w:r>
          </w:p>
        </w:tc>
      </w:tr>
      <w:tr w:rsidR="00CA27E3" w:rsidRPr="00D83000" w14:paraId="7655D6FA" w14:textId="77777777" w:rsidTr="00CA27E3">
        <w:trPr>
          <w:jc w:val="center"/>
        </w:trPr>
        <w:tc>
          <w:tcPr>
            <w:tcW w:w="4790" w:type="dxa"/>
            <w:shd w:val="clear" w:color="auto" w:fill="FFFFFF"/>
          </w:tcPr>
          <w:p w14:paraId="2869B8B5"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15</w:t>
            </w:r>
            <w:r w:rsidRPr="00D83000">
              <w:rPr>
                <w:rFonts w:ascii="Sylfaen" w:hAnsi="Sylfaen"/>
                <w:sz w:val="20"/>
                <w:szCs w:val="20"/>
                <w:vertAlign w:val="superscript"/>
              </w:rPr>
              <w:t>o</w:t>
            </w:r>
            <w:r w:rsidRPr="00D83000">
              <w:rPr>
                <w:rFonts w:ascii="Sylfaen" w:hAnsi="Sylfaen"/>
                <w:sz w:val="20"/>
                <w:szCs w:val="20"/>
              </w:rPr>
              <w:t xml:space="preserve"> ≤ ցրման անկյունը &lt; 20</w:t>
            </w:r>
            <w:r w:rsidRPr="00D83000">
              <w:rPr>
                <w:rFonts w:ascii="Sylfaen" w:hAnsi="Sylfaen"/>
                <w:sz w:val="20"/>
                <w:szCs w:val="20"/>
                <w:vertAlign w:val="superscript"/>
              </w:rPr>
              <w:t>o</w:t>
            </w:r>
          </w:p>
        </w:tc>
        <w:tc>
          <w:tcPr>
            <w:tcW w:w="4795" w:type="dxa"/>
            <w:shd w:val="clear" w:color="auto" w:fill="FFFFFF"/>
          </w:tcPr>
          <w:p w14:paraId="7ADFCA03"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0,9</w:t>
            </w:r>
          </w:p>
        </w:tc>
      </w:tr>
      <w:tr w:rsidR="00CA27E3" w:rsidRPr="00D83000" w14:paraId="46A91F71" w14:textId="77777777" w:rsidTr="00CA27E3">
        <w:trPr>
          <w:jc w:val="center"/>
        </w:trPr>
        <w:tc>
          <w:tcPr>
            <w:tcW w:w="4790" w:type="dxa"/>
            <w:shd w:val="clear" w:color="auto" w:fill="FFFFFF"/>
          </w:tcPr>
          <w:p w14:paraId="56251D0B"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10</w:t>
            </w:r>
            <w:r w:rsidRPr="00D83000">
              <w:rPr>
                <w:rFonts w:ascii="Sylfaen" w:hAnsi="Sylfaen"/>
                <w:sz w:val="20"/>
                <w:szCs w:val="20"/>
                <w:vertAlign w:val="superscript"/>
              </w:rPr>
              <w:t>o</w:t>
            </w:r>
            <w:r w:rsidRPr="00D83000">
              <w:rPr>
                <w:rFonts w:ascii="Sylfaen" w:hAnsi="Sylfaen"/>
                <w:sz w:val="20"/>
                <w:szCs w:val="20"/>
              </w:rPr>
              <w:t xml:space="preserve"> ≤ ցրման անկյունը &lt; 25</w:t>
            </w:r>
            <w:r w:rsidRPr="00D83000">
              <w:rPr>
                <w:rFonts w:ascii="Sylfaen" w:hAnsi="Sylfaen"/>
                <w:sz w:val="20"/>
                <w:szCs w:val="20"/>
                <w:vertAlign w:val="superscript"/>
              </w:rPr>
              <w:t>o</w:t>
            </w:r>
          </w:p>
        </w:tc>
        <w:tc>
          <w:tcPr>
            <w:tcW w:w="4795" w:type="dxa"/>
            <w:shd w:val="clear" w:color="auto" w:fill="FFFFFF"/>
          </w:tcPr>
          <w:p w14:paraId="68D8224F"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0,85</w:t>
            </w:r>
          </w:p>
        </w:tc>
      </w:tr>
      <w:tr w:rsidR="00CA27E3" w:rsidRPr="00D83000" w14:paraId="079FA8DF" w14:textId="77777777" w:rsidTr="00CA27E3">
        <w:trPr>
          <w:jc w:val="center"/>
        </w:trPr>
        <w:tc>
          <w:tcPr>
            <w:tcW w:w="4790" w:type="dxa"/>
            <w:shd w:val="clear" w:color="auto" w:fill="FFFFFF"/>
            <w:vAlign w:val="bottom"/>
          </w:tcPr>
          <w:p w14:paraId="61281DB9" w14:textId="77777777" w:rsidR="00CA27E3" w:rsidRPr="00D83000" w:rsidRDefault="00CA27E3" w:rsidP="00D83000">
            <w:pPr>
              <w:pStyle w:val="a4"/>
              <w:shd w:val="clear" w:color="auto" w:fill="auto"/>
              <w:spacing w:after="120" w:line="240" w:lineRule="auto"/>
              <w:ind w:firstLine="0"/>
              <w:rPr>
                <w:rFonts w:ascii="Sylfaen" w:hAnsi="Sylfaen" w:cs="Sylfaen"/>
                <w:sz w:val="20"/>
                <w:szCs w:val="20"/>
              </w:rPr>
            </w:pPr>
            <w:r w:rsidRPr="00D83000">
              <w:rPr>
                <w:rFonts w:ascii="Sylfaen" w:hAnsi="Sylfaen"/>
                <w:sz w:val="20"/>
                <w:szCs w:val="20"/>
              </w:rPr>
              <w:t>ցրման անկյունը &lt; 10</w:t>
            </w:r>
            <w:r w:rsidRPr="00D83000">
              <w:rPr>
                <w:rFonts w:ascii="Sylfaen" w:hAnsi="Sylfaen"/>
                <w:sz w:val="20"/>
                <w:szCs w:val="20"/>
                <w:vertAlign w:val="superscript"/>
              </w:rPr>
              <w:t>o</w:t>
            </w:r>
          </w:p>
        </w:tc>
        <w:tc>
          <w:tcPr>
            <w:tcW w:w="4795" w:type="dxa"/>
            <w:shd w:val="clear" w:color="auto" w:fill="FFFFFF"/>
            <w:vAlign w:val="bottom"/>
          </w:tcPr>
          <w:p w14:paraId="5B091CB8"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0,80</w:t>
            </w:r>
          </w:p>
        </w:tc>
      </w:tr>
    </w:tbl>
    <w:p w14:paraId="131E275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եթե լամպը պարունակում է սնդիկ՝ </w:t>
      </w:r>
    </w:p>
    <w:p w14:paraId="06D6F9AA"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լամպում սնդիկի պարունակությունը</w:t>
      </w:r>
      <w:r>
        <w:rPr>
          <w:rFonts w:ascii="Sylfaen" w:hAnsi="Sylfaen"/>
          <w:sz w:val="24"/>
          <w:szCs w:val="24"/>
        </w:rPr>
        <w:t xml:space="preserve"> </w:t>
      </w:r>
      <w:r w:rsidRPr="00CA27E3">
        <w:rPr>
          <w:rFonts w:ascii="Sylfaen" w:hAnsi="Sylfaen"/>
          <w:sz w:val="24"/>
          <w:szCs w:val="24"/>
        </w:rPr>
        <w:t>(X,X մգ կամ X,X mg).</w:t>
      </w:r>
    </w:p>
    <w:p w14:paraId="00349AD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տեղեկատվությունը, որը պետք է լինի տեխնիկական փաստաթղթերում՝</w:t>
      </w:r>
    </w:p>
    <w:p w14:paraId="7D24164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սույն կետի «ա» ենթակետի ութից քսաներկուերորդ պարբերություններում նշված տեղեկատվությունը.</w:t>
      </w:r>
    </w:p>
    <w:p w14:paraId="6C7746C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անվանական հզորությունը (մինչ</w:t>
      </w:r>
      <w:r>
        <w:rPr>
          <w:rFonts w:ascii="Sylfaen" w:hAnsi="Sylfaen"/>
          <w:sz w:val="24"/>
          <w:szCs w:val="24"/>
        </w:rPr>
        <w:t>եւ</w:t>
      </w:r>
      <w:r w:rsidRPr="00CA27E3">
        <w:rPr>
          <w:rFonts w:ascii="Sylfaen" w:hAnsi="Sylfaen"/>
          <w:sz w:val="24"/>
          <w:szCs w:val="24"/>
        </w:rPr>
        <w:t xml:space="preserve"> 0,1 Վտ ճշգրտությամբ).</w:t>
      </w:r>
    </w:p>
    <w:p w14:paraId="36E4511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անվանական օգտակար լուսային հոսքը.</w:t>
      </w:r>
    </w:p>
    <w:p w14:paraId="70078365"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ծառայության անվանական ժամկետը.</w:t>
      </w:r>
    </w:p>
    <w:p w14:paraId="6B48A1B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լամպի հզորության գործակիցը.</w:t>
      </w:r>
    </w:p>
    <w:p w14:paraId="5C6FE1A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լուսային հոսքի կայունության գործակիցը՝ ծառայության անվանական ժամկետի ավարտին (բացառությամբ շիկացման լամպերի).</w:t>
      </w:r>
    </w:p>
    <w:p w14:paraId="4B2FF81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վառքի ժամանակը (X, X վ-ի տեսքով)</w:t>
      </w:r>
    </w:p>
    <w:p w14:paraId="0A4C7374"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գունահաղորդման ցուցիչը.</w:t>
      </w:r>
    </w:p>
    <w:p w14:paraId="31F5E35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գույնի համասեռությունը (միայն լուսադիոդային լամպերի համար).</w:t>
      </w:r>
    </w:p>
    <w:p w14:paraId="41201F6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լույսի անվանական առավելագույն ուժը՝ կանդելաներով (կդ).</w:t>
      </w:r>
    </w:p>
    <w:p w14:paraId="0862A51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ճառագայթի ցրման անվանական անկյունը.</w:t>
      </w:r>
    </w:p>
    <w:p w14:paraId="4B642CEF"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արտաքին լուսավորման կամ արտարդյունաբերական կիրառության համար լամպի նշանակության մասին տեղեկատվությունը (առկայության դեպքում).</w:t>
      </w:r>
    </w:p>
    <w:p w14:paraId="5D1CB4E6"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եթե լամպը պարունակում է սնդիկ՝</w:t>
      </w:r>
    </w:p>
    <w:p w14:paraId="3154C0D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լամպը պատահաբար վնասելու դեպքում տարածքը մաքրելու վերաբերյալ հրահանգը, ինչպես նա</w:t>
      </w:r>
      <w:r>
        <w:rPr>
          <w:rFonts w:ascii="Sylfaen" w:hAnsi="Sylfaen"/>
          <w:sz w:val="24"/>
          <w:szCs w:val="24"/>
        </w:rPr>
        <w:t>եւ</w:t>
      </w:r>
      <w:r w:rsidRPr="00CA27E3">
        <w:rPr>
          <w:rFonts w:ascii="Sylfaen" w:hAnsi="Sylfaen"/>
          <w:sz w:val="24"/>
          <w:szCs w:val="24"/>
        </w:rPr>
        <w:t xml:space="preserve"> ծառայության ժամկետի ավարտին լամպն օգտահանելու մասին առաջարկությունները.</w:t>
      </w:r>
    </w:p>
    <w:p w14:paraId="1B778194"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բ)</w:t>
      </w:r>
      <w:r w:rsidR="005C50BB" w:rsidRPr="005C50BB">
        <w:rPr>
          <w:rFonts w:ascii="Sylfaen" w:hAnsi="Sylfaen"/>
          <w:sz w:val="24"/>
          <w:szCs w:val="24"/>
        </w:rPr>
        <w:tab/>
      </w:r>
      <w:r w:rsidRPr="00CA27E3">
        <w:rPr>
          <w:rFonts w:ascii="Sylfaen" w:hAnsi="Sylfaen"/>
          <w:sz w:val="24"/>
          <w:szCs w:val="24"/>
        </w:rPr>
        <w:t>առանց ներկառուցված բալաստի լյումինեսցենտային լամպերը փոխարինող լուսադիոդային արտադրանքի համար լրացուցիչ տեղեկությունները՝</w:t>
      </w:r>
    </w:p>
    <w:p w14:paraId="52B2D37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տեղեկատվությունն այն մասին, որ որ</w:t>
      </w:r>
      <w:r>
        <w:rPr>
          <w:rFonts w:ascii="Sylfaen" w:hAnsi="Sylfaen"/>
          <w:sz w:val="24"/>
          <w:szCs w:val="24"/>
        </w:rPr>
        <w:t>եւ</w:t>
      </w:r>
      <w:r w:rsidRPr="00CA27E3">
        <w:rPr>
          <w:rFonts w:ascii="Sylfaen" w:hAnsi="Sylfaen"/>
          <w:sz w:val="24"/>
          <w:szCs w:val="24"/>
        </w:rPr>
        <w:t xml:space="preserve">իցե սարքվածքի ընդհանուր էներգետիկ արդյունավետությունը </w:t>
      </w:r>
      <w:r>
        <w:rPr>
          <w:rFonts w:ascii="Sylfaen" w:hAnsi="Sylfaen"/>
          <w:sz w:val="24"/>
          <w:szCs w:val="24"/>
        </w:rPr>
        <w:t>եւ</w:t>
      </w:r>
      <w:r w:rsidRPr="00CA27E3">
        <w:rPr>
          <w:rFonts w:ascii="Sylfaen" w:hAnsi="Sylfaen"/>
          <w:sz w:val="24"/>
          <w:szCs w:val="24"/>
        </w:rPr>
        <w:t xml:space="preserve"> լույսի բաշխումը, որում օգտագործվում են այդպիսի լամպերը, որոշվում է սարքվածքի կառուցվածքով (նշվում է արտադրողի կողմից).</w:t>
      </w:r>
    </w:p>
    <w:p w14:paraId="31669D9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տեղեկատվությունն այն մասին, որ լուսադիոդային լամպը փոխարինում է առանց՝ որոշակի հզորության ներկառուցված բալաստի լյումինեսցենտային լամպը, թույլատրելի է, եթե՝</w:t>
      </w:r>
    </w:p>
    <w:p w14:paraId="48B8C09C"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խողովակի առանցքի շուրջ ցանկացած ուղղությամբ լույսի ուժը չի շեղվում խողովակի շուրջ լույսի միջին ուժից</w:t>
      </w:r>
      <w:r>
        <w:rPr>
          <w:rFonts w:ascii="Sylfaen" w:hAnsi="Sylfaen"/>
          <w:sz w:val="24"/>
          <w:szCs w:val="24"/>
        </w:rPr>
        <w:t xml:space="preserve"> </w:t>
      </w:r>
      <w:r w:rsidRPr="00CA27E3">
        <w:rPr>
          <w:rFonts w:ascii="Sylfaen" w:hAnsi="Sylfaen"/>
          <w:sz w:val="24"/>
          <w:szCs w:val="24"/>
        </w:rPr>
        <w:t>ավելի, քան 25 %-ով.</w:t>
      </w:r>
    </w:p>
    <w:p w14:paraId="72C20C3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լուսադիոդային լամպի լուսային հոսքը ցածր չէ անվանական հզորության լյումինեսցենտային լամպի լուսային հոսքից։ Լյումինեսցենտային լամպի լուսային հոսքն ստացվում է հայտարարված հզորությունը համապատասխան լյումինեսցենտային լամպի արդյունավետության նվազագույն արժեքով բազմապատկելու միջոցով.</w:t>
      </w:r>
    </w:p>
    <w:p w14:paraId="195AA6BE"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լուսադիոդային լամպի հզորությունը բարձր չէ փոխարինման համար հայտարարված լյումինեսցենտային լամպի հզորությունից։</w:t>
      </w:r>
    </w:p>
    <w:p w14:paraId="45BB9313"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Տեխնիկական փաստաթղթերը պետք է պարունակեն այդ պահանջների կատարումը հաստատող տեղեկություններ.</w:t>
      </w:r>
    </w:p>
    <w:p w14:paraId="480627C1"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գ)</w:t>
      </w:r>
      <w:r w:rsidR="005C50BB" w:rsidRPr="005C50BB">
        <w:rPr>
          <w:rFonts w:ascii="Sylfaen" w:hAnsi="Sylfaen"/>
          <w:sz w:val="24"/>
          <w:szCs w:val="24"/>
        </w:rPr>
        <w:tab/>
      </w:r>
      <w:r w:rsidRPr="00CA27E3">
        <w:rPr>
          <w:rFonts w:ascii="Sylfaen" w:hAnsi="Sylfaen"/>
          <w:sz w:val="24"/>
          <w:szCs w:val="24"/>
        </w:rPr>
        <w:t xml:space="preserve">լուսատուներից բացի՝ այն սարքավորումների համար արտադրանքի մասին տեղեկատվությանը ներկայացվող պահանջները, որոնք նախատեսված են ցանցի </w:t>
      </w:r>
      <w:r>
        <w:rPr>
          <w:rFonts w:ascii="Sylfaen" w:hAnsi="Sylfaen"/>
          <w:sz w:val="24"/>
          <w:szCs w:val="24"/>
        </w:rPr>
        <w:t>եւ</w:t>
      </w:r>
      <w:r w:rsidRPr="00CA27E3">
        <w:rPr>
          <w:rFonts w:ascii="Sylfaen" w:hAnsi="Sylfaen"/>
          <w:sz w:val="24"/>
          <w:szCs w:val="24"/>
        </w:rPr>
        <w:t xml:space="preserve"> լամպերի միջ</w:t>
      </w:r>
      <w:r>
        <w:rPr>
          <w:rFonts w:ascii="Sylfaen" w:hAnsi="Sylfaen"/>
          <w:sz w:val="24"/>
          <w:szCs w:val="24"/>
        </w:rPr>
        <w:t>եւ</w:t>
      </w:r>
      <w:r w:rsidRPr="00CA27E3">
        <w:rPr>
          <w:rFonts w:ascii="Sylfaen" w:hAnsi="Sylfaen"/>
          <w:sz w:val="24"/>
          <w:szCs w:val="24"/>
        </w:rPr>
        <w:t xml:space="preserve"> տեղակայման համար՝ սկսած 2-րդ փուլից` արտադրողի կողմից զետեղվում է սարքավորման՝ էներգասպառող լամպերի հետ անհամատեղելիության մասին նախազգուշացնող տեղեկատվություն, եթե սարքավորումը չի ապահովում էներգասպառող լամպերից ցանկացածի հետ համատեղելիությունը.</w:t>
      </w:r>
    </w:p>
    <w:p w14:paraId="2F2FE783"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դ)</w:t>
      </w:r>
      <w:r w:rsidR="005C50BB" w:rsidRPr="005C50BB">
        <w:rPr>
          <w:rFonts w:ascii="Sylfaen" w:hAnsi="Sylfaen"/>
          <w:sz w:val="24"/>
          <w:szCs w:val="24"/>
        </w:rPr>
        <w:tab/>
      </w:r>
      <w:r w:rsidRPr="00CA27E3">
        <w:rPr>
          <w:rFonts w:ascii="Sylfaen" w:hAnsi="Sylfaen"/>
          <w:sz w:val="24"/>
          <w:szCs w:val="24"/>
        </w:rPr>
        <w:t xml:space="preserve">ԳԿԱ-ի արտադրանքի մասին տեղեկատվությանը ներկայացվող պահանջները՝ սկսած 2-րդ փուլից՝ բերվում է տեղեկատվություն այն մասին, որ </w:t>
      </w:r>
      <w:r w:rsidRPr="00CA27E3">
        <w:rPr>
          <w:rFonts w:ascii="Sylfaen" w:hAnsi="Sylfaen"/>
          <w:sz w:val="24"/>
          <w:szCs w:val="24"/>
        </w:rPr>
        <w:lastRenderedPageBreak/>
        <w:t xml:space="preserve">սարքվածքը նախատեսված է որպես ԳԿԱ օգտագործելու համար </w:t>
      </w:r>
      <w:r>
        <w:rPr>
          <w:rFonts w:ascii="Sylfaen" w:hAnsi="Sylfaen"/>
          <w:sz w:val="24"/>
          <w:szCs w:val="24"/>
        </w:rPr>
        <w:t>եւ</w:t>
      </w:r>
      <w:r w:rsidRPr="00CA27E3">
        <w:rPr>
          <w:rFonts w:ascii="Sylfaen" w:hAnsi="Sylfaen"/>
          <w:sz w:val="24"/>
          <w:szCs w:val="24"/>
        </w:rPr>
        <w:t xml:space="preserve"> որ ԳԿԱ-ն կարող է աշխատել պարապ ընթացքի ռեժիմում (առկայության դեպքում).</w:t>
      </w:r>
    </w:p>
    <w:p w14:paraId="5BD1629B" w14:textId="77777777" w:rsidR="00CA27E3" w:rsidRPr="00CA27E3" w:rsidRDefault="00CA27E3" w:rsidP="005C50B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ե)</w:t>
      </w:r>
      <w:r w:rsidR="005C50BB" w:rsidRPr="005C50BB">
        <w:rPr>
          <w:rFonts w:ascii="Sylfaen" w:hAnsi="Sylfaen"/>
          <w:sz w:val="24"/>
          <w:szCs w:val="24"/>
        </w:rPr>
        <w:tab/>
      </w:r>
      <w:r w:rsidRPr="00CA27E3">
        <w:rPr>
          <w:rFonts w:ascii="Sylfaen" w:hAnsi="Sylfaen"/>
          <w:sz w:val="24"/>
          <w:szCs w:val="24"/>
        </w:rPr>
        <w:t>հատուկ նշանակության արտադրանքի մասին տեղեկատվությանը ներկայացվող պահանջները՝ հատուկ նշանակության ամբողջ արտադրանքի համար պետք է նշվի նպատակային օգտագործման մասին նախազգուշացնող տեղեկատվություն, ինչպես նա</w:t>
      </w:r>
      <w:r>
        <w:rPr>
          <w:rFonts w:ascii="Sylfaen" w:hAnsi="Sylfaen"/>
          <w:sz w:val="24"/>
          <w:szCs w:val="24"/>
        </w:rPr>
        <w:t>եւ</w:t>
      </w:r>
      <w:r w:rsidRPr="00CA27E3">
        <w:rPr>
          <w:rFonts w:ascii="Sylfaen" w:hAnsi="Sylfaen"/>
          <w:sz w:val="24"/>
          <w:szCs w:val="24"/>
        </w:rPr>
        <w:t xml:space="preserve"> նախազգուշացնող տեղեկատվություն այն մասին, որ հատուկ նշանակության արտադրանքը նախատեսված չէ այլ նպատակներով օգտագործելու համար։</w:t>
      </w:r>
    </w:p>
    <w:p w14:paraId="0AC0C23B" w14:textId="77777777" w:rsidR="00CA27E3" w:rsidRPr="00CA27E3" w:rsidRDefault="00CA27E3" w:rsidP="00647F3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զ)</w:t>
      </w:r>
      <w:r w:rsidR="00647F3B" w:rsidRPr="00647F3B">
        <w:rPr>
          <w:rFonts w:ascii="Sylfaen" w:hAnsi="Sylfaen"/>
          <w:sz w:val="24"/>
          <w:szCs w:val="24"/>
        </w:rPr>
        <w:tab/>
      </w:r>
      <w:r w:rsidRPr="00CA27E3">
        <w:rPr>
          <w:rFonts w:ascii="Sylfaen" w:hAnsi="Sylfaen"/>
          <w:sz w:val="24"/>
          <w:szCs w:val="24"/>
        </w:rPr>
        <w:t>Միության (Մաքսային միության) համապատասխան տեխնիկական կանոնակարգերով նախատեսված այլ տեղեկություններ։</w:t>
      </w:r>
    </w:p>
    <w:p w14:paraId="1FE816D2"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p>
    <w:p w14:paraId="25C03169"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 xml:space="preserve">IV. Ուղղորդված լույսի լամպերի, լուսադիոդային լամպերի </w:t>
      </w:r>
      <w:r>
        <w:rPr>
          <w:rFonts w:ascii="Sylfaen" w:hAnsi="Sylfaen"/>
          <w:sz w:val="24"/>
          <w:szCs w:val="24"/>
        </w:rPr>
        <w:t>եւ</w:t>
      </w:r>
      <w:r w:rsidRPr="00CA27E3">
        <w:rPr>
          <w:rFonts w:ascii="Sylfaen" w:hAnsi="Sylfaen"/>
          <w:sz w:val="24"/>
          <w:szCs w:val="24"/>
        </w:rPr>
        <w:t xml:space="preserve"> հարակից սարքավորումների էներգետիկ արդյունավետության պարամետրերի թույլատրելի շեղումները՝ դրանք շրջանառության մեջ դնելուց հետո փորձարկումներ (չափումներ) անցկացնելիս</w:t>
      </w:r>
    </w:p>
    <w:p w14:paraId="593448AF" w14:textId="77777777" w:rsidR="00CA27E3" w:rsidRPr="00CA27E3" w:rsidRDefault="00CA27E3" w:rsidP="00647F3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12.</w:t>
      </w:r>
      <w:r w:rsidR="00647F3B" w:rsidRPr="00647F3B">
        <w:rPr>
          <w:rFonts w:ascii="Sylfaen" w:hAnsi="Sylfaen"/>
          <w:sz w:val="24"/>
          <w:szCs w:val="24"/>
        </w:rPr>
        <w:tab/>
      </w:r>
      <w:r w:rsidRPr="00CA27E3">
        <w:rPr>
          <w:rFonts w:ascii="Sylfaen" w:hAnsi="Sylfaen"/>
          <w:sz w:val="24"/>
          <w:szCs w:val="24"/>
        </w:rPr>
        <w:t xml:space="preserve">Ուղղորդված լույսի լամպերի, լուսադիոդային լամպերի </w:t>
      </w:r>
      <w:r>
        <w:rPr>
          <w:rFonts w:ascii="Sylfaen" w:hAnsi="Sylfaen"/>
          <w:sz w:val="24"/>
          <w:szCs w:val="24"/>
        </w:rPr>
        <w:t>եւ</w:t>
      </w:r>
      <w:r w:rsidRPr="00CA27E3">
        <w:rPr>
          <w:rFonts w:ascii="Sylfaen" w:hAnsi="Sylfaen"/>
          <w:sz w:val="24"/>
          <w:szCs w:val="24"/>
        </w:rPr>
        <w:t xml:space="preserve"> հարակից սարքավորումների՝ դրանք շրջանառության մեջ դնելուց</w:t>
      </w:r>
      <w:r>
        <w:rPr>
          <w:rFonts w:ascii="Sylfaen" w:hAnsi="Sylfaen"/>
          <w:sz w:val="24"/>
          <w:szCs w:val="24"/>
        </w:rPr>
        <w:t xml:space="preserve"> </w:t>
      </w:r>
      <w:r w:rsidRPr="00CA27E3">
        <w:rPr>
          <w:rFonts w:ascii="Sylfaen" w:hAnsi="Sylfaen"/>
          <w:sz w:val="24"/>
          <w:szCs w:val="24"/>
        </w:rPr>
        <w:t>հետո փորձարկումներ (չափումներ) անցկացնելիս պետք է փորձարկվի մի</w:t>
      </w:r>
      <w:r>
        <w:rPr>
          <w:rFonts w:ascii="Sylfaen" w:hAnsi="Sylfaen"/>
          <w:sz w:val="24"/>
          <w:szCs w:val="24"/>
        </w:rPr>
        <w:t>եւ</w:t>
      </w:r>
      <w:r w:rsidRPr="00CA27E3">
        <w:rPr>
          <w:rFonts w:ascii="Sylfaen" w:hAnsi="Sylfaen"/>
          <w:sz w:val="24"/>
          <w:szCs w:val="24"/>
        </w:rPr>
        <w:t xml:space="preserve">նույն մոդելի </w:t>
      </w:r>
      <w:r>
        <w:rPr>
          <w:rFonts w:ascii="Sylfaen" w:hAnsi="Sylfaen"/>
          <w:sz w:val="24"/>
          <w:szCs w:val="24"/>
        </w:rPr>
        <w:t>եւ</w:t>
      </w:r>
      <w:r w:rsidRPr="00CA27E3">
        <w:rPr>
          <w:rFonts w:ascii="Sylfaen" w:hAnsi="Sylfaen"/>
          <w:sz w:val="24"/>
          <w:szCs w:val="24"/>
        </w:rPr>
        <w:t xml:space="preserve"> մի</w:t>
      </w:r>
      <w:r>
        <w:rPr>
          <w:rFonts w:ascii="Sylfaen" w:hAnsi="Sylfaen"/>
          <w:sz w:val="24"/>
          <w:szCs w:val="24"/>
        </w:rPr>
        <w:t>եւ</w:t>
      </w:r>
      <w:r w:rsidRPr="00CA27E3">
        <w:rPr>
          <w:rFonts w:ascii="Sylfaen" w:hAnsi="Sylfaen"/>
          <w:sz w:val="24"/>
          <w:szCs w:val="24"/>
        </w:rPr>
        <w:t xml:space="preserve">նույն արտադրողի լամպերի </w:t>
      </w:r>
      <w:r>
        <w:rPr>
          <w:rFonts w:ascii="Sylfaen" w:hAnsi="Sylfaen"/>
          <w:sz w:val="24"/>
          <w:szCs w:val="24"/>
        </w:rPr>
        <w:t>եւ</w:t>
      </w:r>
      <w:r w:rsidRPr="00CA27E3">
        <w:rPr>
          <w:rFonts w:ascii="Sylfaen" w:hAnsi="Sylfaen"/>
          <w:sz w:val="24"/>
          <w:szCs w:val="24"/>
        </w:rPr>
        <w:t xml:space="preserve"> սարքավորումների առնվազն 20 նմուշ։ Նշված լամպերի </w:t>
      </w:r>
      <w:r w:rsidRPr="00647F3B">
        <w:rPr>
          <w:rFonts w:ascii="Sylfaen" w:hAnsi="Sylfaen"/>
          <w:spacing w:val="-4"/>
          <w:sz w:val="24"/>
          <w:szCs w:val="24"/>
        </w:rPr>
        <w:t>եւ սարքավորումների պարամետրերի ու բնութագրերի չափված արժեքները պետք է համապատասխանեն</w:t>
      </w:r>
      <w:r w:rsidRPr="00CA27E3">
        <w:rPr>
          <w:rFonts w:ascii="Sylfaen" w:hAnsi="Sylfaen"/>
          <w:sz w:val="24"/>
          <w:szCs w:val="24"/>
        </w:rPr>
        <w:t xml:space="preserve"> սույն փաստաթղթի պահանջներին </w:t>
      </w:r>
      <w:r>
        <w:rPr>
          <w:rFonts w:ascii="Sylfaen" w:hAnsi="Sylfaen"/>
          <w:sz w:val="24"/>
          <w:szCs w:val="24"/>
        </w:rPr>
        <w:t>եւ</w:t>
      </w:r>
      <w:r w:rsidRPr="00CA27E3">
        <w:rPr>
          <w:rFonts w:ascii="Sylfaen" w:hAnsi="Sylfaen"/>
          <w:sz w:val="24"/>
          <w:szCs w:val="24"/>
        </w:rPr>
        <w:t xml:space="preserve"> արտադրողի կողմից հայտարարված անվանական արժեքներին՝ 9-րդ աղյուսակում նշված թույլատրելի չափերի սահմաններում։</w:t>
      </w:r>
    </w:p>
    <w:p w14:paraId="45D53C9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Արտադրանքը պետք է դիտարկվի որպես սույն փաստաթղթում նշված պահանջներին համապատասխանող, եթե՝</w:t>
      </w:r>
    </w:p>
    <w:p w14:paraId="2083211D"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 xml:space="preserve">խմբաքանակի մեջ լամպերն ուղեկցվում են անհրաժեշտ </w:t>
      </w:r>
      <w:r>
        <w:rPr>
          <w:rFonts w:ascii="Sylfaen" w:hAnsi="Sylfaen"/>
          <w:sz w:val="24"/>
          <w:szCs w:val="24"/>
        </w:rPr>
        <w:t>եւ</w:t>
      </w:r>
      <w:r w:rsidRPr="00CA27E3">
        <w:rPr>
          <w:rFonts w:ascii="Sylfaen" w:hAnsi="Sylfaen"/>
          <w:sz w:val="24"/>
          <w:szCs w:val="24"/>
        </w:rPr>
        <w:t xml:space="preserve"> ճիշտ տեղեկատվությամբ.</w:t>
      </w:r>
    </w:p>
    <w:p w14:paraId="619A1359"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խմբաքանակի՝ 9-րդ աղյուսակում նշված պարամետրերի փորձարկմամբ չեն հայտնաբերվել թույլատրելի շեղումների շրջանակներում պարամետրերից ցանկացածի համար անհամապատասխանություններ։</w:t>
      </w:r>
    </w:p>
    <w:p w14:paraId="6EE537EA"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p>
    <w:p w14:paraId="6A9EEC23" w14:textId="77777777" w:rsidR="00CA27E3" w:rsidRPr="00CA27E3" w:rsidRDefault="00CA27E3" w:rsidP="00CA27E3">
      <w:pPr>
        <w:pStyle w:val="a0"/>
        <w:shd w:val="clear" w:color="auto" w:fill="auto"/>
        <w:spacing w:after="160"/>
        <w:ind w:firstLine="0"/>
        <w:jc w:val="right"/>
        <w:rPr>
          <w:rFonts w:ascii="Sylfaen" w:hAnsi="Sylfaen" w:cs="Sylfaen"/>
          <w:sz w:val="24"/>
          <w:szCs w:val="24"/>
        </w:rPr>
      </w:pPr>
      <w:r w:rsidRPr="00CA27E3">
        <w:rPr>
          <w:rFonts w:ascii="Sylfaen" w:hAnsi="Sylfaen"/>
          <w:sz w:val="24"/>
          <w:szCs w:val="24"/>
        </w:rPr>
        <w:t>Աղյուսակ 9</w:t>
      </w:r>
    </w:p>
    <w:p w14:paraId="6DD5FCB7" w14:textId="77777777" w:rsidR="00CA27E3" w:rsidRPr="00CA27E3" w:rsidRDefault="00CA27E3" w:rsidP="00CA27E3">
      <w:pPr>
        <w:pStyle w:val="a0"/>
        <w:shd w:val="clear" w:color="auto" w:fill="auto"/>
        <w:spacing w:after="160"/>
        <w:ind w:firstLine="0"/>
        <w:jc w:val="center"/>
        <w:rPr>
          <w:rFonts w:ascii="Sylfaen" w:hAnsi="Sylfaen" w:cs="Sylfaen"/>
          <w:sz w:val="24"/>
          <w:szCs w:val="24"/>
        </w:rPr>
      </w:pPr>
      <w:r w:rsidRPr="00CA27E3">
        <w:rPr>
          <w:rFonts w:ascii="Sylfaen" w:hAnsi="Sylfaen"/>
          <w:sz w:val="24"/>
          <w:szCs w:val="24"/>
        </w:rPr>
        <w:t>Թույլատրելի շեղումները</w:t>
      </w:r>
    </w:p>
    <w:tbl>
      <w:tblPr>
        <w:tblOverlap w:val="never"/>
        <w:tblW w:w="9619" w:type="dxa"/>
        <w:jc w:val="center"/>
        <w:tblLayout w:type="fixed"/>
        <w:tblCellMar>
          <w:left w:w="10" w:type="dxa"/>
          <w:right w:w="10" w:type="dxa"/>
        </w:tblCellMar>
        <w:tblLook w:val="0000" w:firstRow="0" w:lastRow="0" w:firstColumn="0" w:lastColumn="0" w:noHBand="0" w:noVBand="0"/>
      </w:tblPr>
      <w:tblGrid>
        <w:gridCol w:w="4790"/>
        <w:gridCol w:w="4829"/>
      </w:tblGrid>
      <w:tr w:rsidR="00CA27E3" w:rsidRPr="00D83000" w14:paraId="4A40FECC" w14:textId="77777777" w:rsidTr="00D83000">
        <w:trPr>
          <w:tblHeader/>
          <w:jc w:val="center"/>
        </w:trPr>
        <w:tc>
          <w:tcPr>
            <w:tcW w:w="4790" w:type="dxa"/>
            <w:tcBorders>
              <w:top w:val="single" w:sz="4" w:space="0" w:color="auto"/>
              <w:left w:val="single" w:sz="4" w:space="0" w:color="auto"/>
            </w:tcBorders>
            <w:shd w:val="clear" w:color="auto" w:fill="FFFFFF"/>
            <w:vAlign w:val="center"/>
          </w:tcPr>
          <w:p w14:paraId="454CD7F0"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Չափվող պարամետրը</w:t>
            </w:r>
          </w:p>
        </w:tc>
        <w:tc>
          <w:tcPr>
            <w:tcW w:w="4829" w:type="dxa"/>
            <w:tcBorders>
              <w:top w:val="single" w:sz="4" w:space="0" w:color="auto"/>
              <w:left w:val="single" w:sz="4" w:space="0" w:color="auto"/>
              <w:right w:val="single" w:sz="4" w:space="0" w:color="auto"/>
            </w:tcBorders>
            <w:shd w:val="clear" w:color="auto" w:fill="FFFFFF"/>
            <w:vAlign w:val="center"/>
          </w:tcPr>
          <w:p w14:paraId="3004FBEA" w14:textId="77777777" w:rsidR="00CA27E3" w:rsidRPr="00D83000" w:rsidRDefault="00CA27E3" w:rsidP="00D83000">
            <w:pPr>
              <w:pStyle w:val="a4"/>
              <w:shd w:val="clear" w:color="auto" w:fill="auto"/>
              <w:spacing w:after="120" w:line="240" w:lineRule="auto"/>
              <w:ind w:firstLine="0"/>
              <w:jc w:val="center"/>
              <w:rPr>
                <w:rFonts w:ascii="Sylfaen" w:hAnsi="Sylfaen" w:cs="Sylfaen"/>
                <w:sz w:val="20"/>
                <w:szCs w:val="20"/>
              </w:rPr>
            </w:pPr>
            <w:r w:rsidRPr="00D83000">
              <w:rPr>
                <w:rFonts w:ascii="Sylfaen" w:hAnsi="Sylfaen"/>
                <w:sz w:val="20"/>
                <w:szCs w:val="20"/>
              </w:rPr>
              <w:t>Թույլատրելի շեղումները</w:t>
            </w:r>
          </w:p>
        </w:tc>
      </w:tr>
      <w:tr w:rsidR="00CA27E3" w:rsidRPr="00D83000" w14:paraId="78E22BA3" w14:textId="77777777" w:rsidTr="005D6C2A">
        <w:trPr>
          <w:jc w:val="center"/>
        </w:trPr>
        <w:tc>
          <w:tcPr>
            <w:tcW w:w="4790" w:type="dxa"/>
            <w:tcBorders>
              <w:top w:val="single" w:sz="4" w:space="0" w:color="auto"/>
              <w:left w:val="single" w:sz="4" w:space="0" w:color="auto"/>
              <w:bottom w:val="single" w:sz="4" w:space="0" w:color="auto"/>
            </w:tcBorders>
            <w:shd w:val="clear" w:color="auto" w:fill="FFFFFF"/>
          </w:tcPr>
          <w:p w14:paraId="3A7BBA31"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Լամպերի ծառայության ժամկետի գործակիցը 6 000 ժ-ից հետո (լուսադիոդային լամպերի համար)</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37A2BAB9"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փորձարկվող խմբաքանակի 20 լամպերից առավելագույնը 2-ը կարող են շարքից դուրս գալ՝ նախքան պահանջվող ժամերի քանակը լրանալը</w:t>
            </w:r>
          </w:p>
        </w:tc>
      </w:tr>
      <w:tr w:rsidR="00CA27E3" w:rsidRPr="00D83000" w14:paraId="1AAEA66C" w14:textId="77777777" w:rsidTr="005D6C2A">
        <w:trPr>
          <w:jc w:val="center"/>
        </w:trPr>
        <w:tc>
          <w:tcPr>
            <w:tcW w:w="4790" w:type="dxa"/>
            <w:tcBorders>
              <w:top w:val="single" w:sz="4" w:space="0" w:color="auto"/>
              <w:left w:val="single" w:sz="4" w:space="0" w:color="auto"/>
            </w:tcBorders>
            <w:shd w:val="clear" w:color="auto" w:fill="FFFFFF"/>
          </w:tcPr>
          <w:p w14:paraId="17B103A7"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 xml:space="preserve">Փոխարկումների քանակը՝ մինչեւ խափանվելը </w:t>
            </w:r>
          </w:p>
        </w:tc>
        <w:tc>
          <w:tcPr>
            <w:tcW w:w="4829" w:type="dxa"/>
            <w:tcBorders>
              <w:top w:val="single" w:sz="4" w:space="0" w:color="auto"/>
              <w:left w:val="single" w:sz="4" w:space="0" w:color="auto"/>
              <w:right w:val="single" w:sz="4" w:space="0" w:color="auto"/>
            </w:tcBorders>
            <w:shd w:val="clear" w:color="auto" w:fill="FFFFFF"/>
          </w:tcPr>
          <w:p w14:paraId="7CE5E5D2"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խմբաքանակի 20 լամպերից 19-ը չպետք է շարքից դուրս գան՝ փոխարկումների ցիկլերի պահանջվող քանակը լրանալուց հետո</w:t>
            </w:r>
          </w:p>
        </w:tc>
      </w:tr>
      <w:tr w:rsidR="00CA27E3" w:rsidRPr="00D83000" w14:paraId="402EF688" w14:textId="77777777" w:rsidTr="005D6C2A">
        <w:trPr>
          <w:trHeight w:val="1653"/>
          <w:jc w:val="center"/>
        </w:trPr>
        <w:tc>
          <w:tcPr>
            <w:tcW w:w="4790" w:type="dxa"/>
            <w:tcBorders>
              <w:top w:val="single" w:sz="4" w:space="0" w:color="auto"/>
              <w:left w:val="single" w:sz="4" w:space="0" w:color="auto"/>
            </w:tcBorders>
            <w:shd w:val="clear" w:color="auto" w:fill="FFFFFF"/>
          </w:tcPr>
          <w:p w14:paraId="39333DE6"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Վառքի ժամանակը</w:t>
            </w:r>
          </w:p>
        </w:tc>
        <w:tc>
          <w:tcPr>
            <w:tcW w:w="4829" w:type="dxa"/>
            <w:tcBorders>
              <w:top w:val="single" w:sz="4" w:space="0" w:color="auto"/>
              <w:left w:val="single" w:sz="4" w:space="0" w:color="auto"/>
              <w:right w:val="single" w:sz="4" w:space="0" w:color="auto"/>
            </w:tcBorders>
            <w:shd w:val="clear" w:color="auto" w:fill="FFFFFF"/>
          </w:tcPr>
          <w:p w14:paraId="7DDA7106"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 xml:space="preserve">չափված մեծության արժեքը չպետք է գերազանցի անվանական արժեքն ավելի, քան 10 %-ով եւ խմբաքանակի լամպերից ոչ մեկը չպետք է ունենա այնպիսի արժեք, որը 2 անգամից ավելի կգերազանցի պահանջվող արժեքը </w:t>
            </w:r>
          </w:p>
        </w:tc>
      </w:tr>
      <w:tr w:rsidR="00CA27E3" w:rsidRPr="00D83000" w14:paraId="6FCE1EEB" w14:textId="77777777" w:rsidTr="005D6C2A">
        <w:trPr>
          <w:jc w:val="center"/>
        </w:trPr>
        <w:tc>
          <w:tcPr>
            <w:tcW w:w="4790" w:type="dxa"/>
            <w:tcBorders>
              <w:top w:val="single" w:sz="4" w:space="0" w:color="auto"/>
              <w:left w:val="single" w:sz="4" w:space="0" w:color="auto"/>
            </w:tcBorders>
            <w:shd w:val="clear" w:color="auto" w:fill="FFFFFF"/>
          </w:tcPr>
          <w:p w14:paraId="64B482EA"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Լամպի թեժացման ժամանակը՝ մինչեւ 60 %, Φ</w:t>
            </w:r>
          </w:p>
        </w:tc>
        <w:tc>
          <w:tcPr>
            <w:tcW w:w="4829" w:type="dxa"/>
            <w:tcBorders>
              <w:top w:val="single" w:sz="4" w:space="0" w:color="auto"/>
              <w:left w:val="single" w:sz="4" w:space="0" w:color="auto"/>
              <w:right w:val="single" w:sz="4" w:space="0" w:color="auto"/>
            </w:tcBorders>
            <w:shd w:val="clear" w:color="auto" w:fill="FFFFFF"/>
          </w:tcPr>
          <w:p w14:paraId="7C0F3E18"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չափված մեծության արժեքը չպետք է գերազանցի անվանական արժեքն ավելի, քան 10 %-ով եւ խմբաքանակում լամպերից ոչ մեկը չպետք է ունենա այնպիսի արժեք, որն ավելի, քան 1,5</w:t>
            </w:r>
            <w:r w:rsidR="000809D3" w:rsidRPr="000809D3">
              <w:rPr>
                <w:rFonts w:ascii="Sylfaen" w:hAnsi="Sylfaen"/>
                <w:sz w:val="20"/>
                <w:szCs w:val="20"/>
              </w:rPr>
              <w:t> </w:t>
            </w:r>
            <w:r w:rsidRPr="00D83000">
              <w:rPr>
                <w:rFonts w:ascii="Sylfaen" w:hAnsi="Sylfaen"/>
                <w:sz w:val="20"/>
                <w:szCs w:val="20"/>
              </w:rPr>
              <w:t xml:space="preserve">անգամ կգերազանցի պահանջվող արժեքը </w:t>
            </w:r>
          </w:p>
        </w:tc>
      </w:tr>
      <w:tr w:rsidR="00CA27E3" w:rsidRPr="00D83000" w14:paraId="08297FF9" w14:textId="77777777" w:rsidTr="005D6C2A">
        <w:trPr>
          <w:trHeight w:val="2431"/>
          <w:jc w:val="center"/>
        </w:trPr>
        <w:tc>
          <w:tcPr>
            <w:tcW w:w="4790" w:type="dxa"/>
            <w:tcBorders>
              <w:top w:val="single" w:sz="4" w:space="0" w:color="auto"/>
              <w:left w:val="single" w:sz="4" w:space="0" w:color="auto"/>
            </w:tcBorders>
            <w:shd w:val="clear" w:color="auto" w:fill="FFFFFF"/>
          </w:tcPr>
          <w:p w14:paraId="5185157B"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Ժամանակից շուտ խափանումների հաճախականությունը</w:t>
            </w:r>
          </w:p>
        </w:tc>
        <w:tc>
          <w:tcPr>
            <w:tcW w:w="4829" w:type="dxa"/>
            <w:tcBorders>
              <w:top w:val="single" w:sz="4" w:space="0" w:color="auto"/>
              <w:left w:val="single" w:sz="4" w:space="0" w:color="auto"/>
              <w:right w:val="single" w:sz="4" w:space="0" w:color="auto"/>
            </w:tcBorders>
            <w:shd w:val="clear" w:color="auto" w:fill="FFFFFF"/>
          </w:tcPr>
          <w:p w14:paraId="7995F01D"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կախված այն բանից, թե ինչ է տեղի ունենում ավելի վաղ՝ փորձարկումն ավարտվում է, եթե լրացել է ժամերի պահանջվող քանակը. լամպերի՝ 1-ից ավելին շարքից դուրս է գալիս։ Համապատասխանությունը. Փորձարկվող խմբաքանակի 20 լամպերից առավելագույնը 1-ը շարքից դուրս է գալիս՝ նախքան ժամերի պահանջվող քանակը լրանալը</w:t>
            </w:r>
          </w:p>
        </w:tc>
      </w:tr>
      <w:tr w:rsidR="00CA27E3" w:rsidRPr="00D83000" w14:paraId="5C43BB59" w14:textId="77777777" w:rsidTr="005D6C2A">
        <w:trPr>
          <w:jc w:val="center"/>
        </w:trPr>
        <w:tc>
          <w:tcPr>
            <w:tcW w:w="4790" w:type="dxa"/>
            <w:tcBorders>
              <w:top w:val="single" w:sz="4" w:space="0" w:color="auto"/>
              <w:left w:val="single" w:sz="4" w:space="0" w:color="auto"/>
            </w:tcBorders>
            <w:shd w:val="clear" w:color="auto" w:fill="FFFFFF"/>
          </w:tcPr>
          <w:p w14:paraId="3B1F3B9D"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Գունահաղորդման ցուցիչը (Ra)</w:t>
            </w:r>
          </w:p>
        </w:tc>
        <w:tc>
          <w:tcPr>
            <w:tcW w:w="4829" w:type="dxa"/>
            <w:tcBorders>
              <w:top w:val="single" w:sz="4" w:space="0" w:color="auto"/>
              <w:left w:val="single" w:sz="4" w:space="0" w:color="auto"/>
              <w:right w:val="single" w:sz="4" w:space="0" w:color="auto"/>
            </w:tcBorders>
            <w:shd w:val="clear" w:color="auto" w:fill="FFFFFF"/>
          </w:tcPr>
          <w:p w14:paraId="383ECCCE"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չափված մեծության արժեքը չպետք է ցածր լինի անվանական արժեքից 3 կետից ավելի եւ լամպերից ոչ մեկը չպետք է ունենա պահանջվող արժեքից ավելի, քան 3,9 կետով ցածր Ra արժեք</w:t>
            </w:r>
          </w:p>
        </w:tc>
      </w:tr>
      <w:tr w:rsidR="00CA27E3" w:rsidRPr="00D83000" w14:paraId="220A3038" w14:textId="77777777" w:rsidTr="005D6C2A">
        <w:trPr>
          <w:jc w:val="center"/>
        </w:trPr>
        <w:tc>
          <w:tcPr>
            <w:tcW w:w="4790" w:type="dxa"/>
            <w:tcBorders>
              <w:top w:val="single" w:sz="4" w:space="0" w:color="auto"/>
              <w:left w:val="single" w:sz="4" w:space="0" w:color="auto"/>
              <w:bottom w:val="single" w:sz="4" w:space="0" w:color="auto"/>
            </w:tcBorders>
            <w:shd w:val="clear" w:color="auto" w:fill="FFFFFF"/>
          </w:tcPr>
          <w:p w14:paraId="2D772E3C"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Լուսային հոսքը ծառայության ժամկետի եւ ծառայության անվանական ժամկետի ավարտին (լուսադիոդային լամպերի համար)</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503572A9"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 xml:space="preserve">«Ծառայության ժամկետի ավարտ» ասելով հասկացվում է ժամանակի այնպիսի պահ, երբ ենթադրաբար կշարունակի աշխատել լամպերի միայն 50 %-ը կամ երբ խմբաքանակի լուսային հոսքի կայունության միջին արժեքն ընկնում է </w:t>
            </w:r>
            <w:r w:rsidRPr="00D83000">
              <w:rPr>
                <w:rFonts w:ascii="Sylfaen" w:hAnsi="Sylfaen"/>
                <w:sz w:val="20"/>
                <w:szCs w:val="20"/>
              </w:rPr>
              <w:lastRenderedPageBreak/>
              <w:t>70</w:t>
            </w:r>
            <w:r w:rsidR="000809D3" w:rsidRPr="000809D3">
              <w:rPr>
                <w:rFonts w:ascii="Sylfaen" w:hAnsi="Sylfaen"/>
                <w:sz w:val="20"/>
                <w:szCs w:val="20"/>
              </w:rPr>
              <w:t> </w:t>
            </w:r>
            <w:r w:rsidRPr="00D83000">
              <w:rPr>
                <w:rFonts w:ascii="Sylfaen" w:hAnsi="Sylfaen"/>
                <w:sz w:val="20"/>
                <w:szCs w:val="20"/>
              </w:rPr>
              <w:t>%-ից ցածր՝ կախված այն բանից, թե ինչ է տեղի ունենում ավելի վաղ։</w:t>
            </w:r>
          </w:p>
          <w:p w14:paraId="2D7CA672"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Համապատասխանությունը. ծառայության ժամկետի ավարտին եւ դրա ընթացքում լուսային հոսքի կայունությունը, որն ստացվել է լամպի ծառայության ժամկետի գործակցի եւ ստուգվող խմբաքանակում լամպերի լուսային հոսքի կայունության միջին արժեքի արտարկմամբ եւ հավասար է 6000 ժ-ի, պետք է լինի, համապատասխանաբար, լուսային հոսքի կայունության արժեքներից եւ արտադրանքն արտադրողի կողմից հայտարարված ծառայության ժամկետի ընթացքում անվանական արժեքներից ոչ ցածր՝ հանած 10 %։ Անհամապատասխանությունը. այլ դեպքերում</w:t>
            </w:r>
          </w:p>
        </w:tc>
      </w:tr>
      <w:tr w:rsidR="00CA27E3" w:rsidRPr="00D83000" w14:paraId="4AEFB2AA" w14:textId="77777777" w:rsidTr="005D6C2A">
        <w:trPr>
          <w:jc w:val="center"/>
        </w:trPr>
        <w:tc>
          <w:tcPr>
            <w:tcW w:w="4790" w:type="dxa"/>
            <w:tcBorders>
              <w:top w:val="single" w:sz="4" w:space="0" w:color="auto"/>
              <w:left w:val="single" w:sz="4" w:space="0" w:color="auto"/>
            </w:tcBorders>
            <w:shd w:val="clear" w:color="auto" w:fill="FFFFFF"/>
          </w:tcPr>
          <w:p w14:paraId="7BE88EC9"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lastRenderedPageBreak/>
              <w:t>Լամպերի համարժեքությունը (սույն պահանջների 11 կետի «ա» ենթակետի քսանմեկերորդ պարբերությանը համապատասխան)</w:t>
            </w:r>
          </w:p>
        </w:tc>
        <w:tc>
          <w:tcPr>
            <w:tcW w:w="4829" w:type="dxa"/>
            <w:tcBorders>
              <w:top w:val="single" w:sz="4" w:space="0" w:color="auto"/>
              <w:left w:val="single" w:sz="4" w:space="0" w:color="auto"/>
              <w:right w:val="single" w:sz="4" w:space="0" w:color="auto"/>
            </w:tcBorders>
            <w:shd w:val="clear" w:color="auto" w:fill="FFFFFF"/>
          </w:tcPr>
          <w:p w14:paraId="23BAA8F0"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Ստուգվում է լամպերի 10 նմուշ։ Չափված մեծությունների արժեքները չեն շեղվում անվանական արժեքներից եւ սահմանված սահմանային արժեքներից ավելի, քան 10 %-ով</w:t>
            </w:r>
          </w:p>
        </w:tc>
      </w:tr>
      <w:tr w:rsidR="00CA27E3" w:rsidRPr="00D83000" w14:paraId="4A8E88EC" w14:textId="77777777" w:rsidTr="005D6C2A">
        <w:trPr>
          <w:jc w:val="center"/>
        </w:trPr>
        <w:tc>
          <w:tcPr>
            <w:tcW w:w="4790" w:type="dxa"/>
            <w:tcBorders>
              <w:top w:val="single" w:sz="4" w:space="0" w:color="auto"/>
              <w:left w:val="single" w:sz="4" w:space="0" w:color="auto"/>
            </w:tcBorders>
            <w:shd w:val="clear" w:color="auto" w:fill="FFFFFF"/>
          </w:tcPr>
          <w:p w14:paraId="68A5F56D"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ճառագայթի ցրման անկյունը</w:t>
            </w:r>
          </w:p>
        </w:tc>
        <w:tc>
          <w:tcPr>
            <w:tcW w:w="4829" w:type="dxa"/>
            <w:tcBorders>
              <w:top w:val="single" w:sz="4" w:space="0" w:color="auto"/>
              <w:left w:val="single" w:sz="4" w:space="0" w:color="auto"/>
              <w:right w:val="single" w:sz="4" w:space="0" w:color="auto"/>
            </w:tcBorders>
            <w:shd w:val="clear" w:color="auto" w:fill="FFFFFF"/>
          </w:tcPr>
          <w:p w14:paraId="41C5565A"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փորձարկվող խմբաքանակի լամպերի միջին արդյունքները շեղվում են ճառագայթի ցրման նշված անկյունից ոչ ավելի, քան 25 %-ով, եւ փորձարկվող խմբաքանակի յուրաքանչյուր առանձին լամպի ճառագայթի ցրման անկյունի համար արժեքը շեղվում է չափված արժեքից ոչ ավելի, քան 25 %-ով</w:t>
            </w:r>
          </w:p>
        </w:tc>
      </w:tr>
      <w:tr w:rsidR="00CA27E3" w:rsidRPr="00D83000" w14:paraId="08B79ADA" w14:textId="77777777" w:rsidTr="005D6C2A">
        <w:trPr>
          <w:jc w:val="center"/>
        </w:trPr>
        <w:tc>
          <w:tcPr>
            <w:tcW w:w="4790" w:type="dxa"/>
            <w:tcBorders>
              <w:top w:val="single" w:sz="4" w:space="0" w:color="auto"/>
              <w:left w:val="single" w:sz="4" w:space="0" w:color="auto"/>
            </w:tcBorders>
            <w:shd w:val="clear" w:color="auto" w:fill="FFFFFF"/>
          </w:tcPr>
          <w:p w14:paraId="5927917C"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Առավելագույն ինտենսիվությունը</w:t>
            </w:r>
          </w:p>
        </w:tc>
        <w:tc>
          <w:tcPr>
            <w:tcW w:w="4829" w:type="dxa"/>
            <w:tcBorders>
              <w:top w:val="single" w:sz="4" w:space="0" w:color="auto"/>
              <w:left w:val="single" w:sz="4" w:space="0" w:color="auto"/>
              <w:right w:val="single" w:sz="4" w:space="0" w:color="auto"/>
            </w:tcBorders>
            <w:shd w:val="clear" w:color="auto" w:fill="FFFFFF"/>
          </w:tcPr>
          <w:p w14:paraId="5E053463"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փորձարկվող խմբաքանակի յուրաքանչյուր առանձին լամպի չափված մեծության արժեքը չպետք է լինի չափված ինտենսիվության 75 % -ից պակաս</w:t>
            </w:r>
          </w:p>
        </w:tc>
      </w:tr>
      <w:tr w:rsidR="00CA27E3" w:rsidRPr="00D83000" w14:paraId="1E0B81B0" w14:textId="77777777" w:rsidTr="005D6C2A">
        <w:trPr>
          <w:trHeight w:val="77"/>
          <w:jc w:val="center"/>
        </w:trPr>
        <w:tc>
          <w:tcPr>
            <w:tcW w:w="4790" w:type="dxa"/>
            <w:tcBorders>
              <w:top w:val="single" w:sz="4" w:space="0" w:color="auto"/>
              <w:left w:val="single" w:sz="4" w:space="0" w:color="auto"/>
              <w:bottom w:val="single" w:sz="4" w:space="0" w:color="auto"/>
            </w:tcBorders>
            <w:shd w:val="clear" w:color="auto" w:fill="FFFFFF"/>
            <w:vAlign w:val="center"/>
          </w:tcPr>
          <w:p w14:paraId="06BC4B5B" w14:textId="77777777" w:rsidR="00CA27E3" w:rsidRPr="00D83000" w:rsidRDefault="00CA27E3" w:rsidP="000809D3">
            <w:pPr>
              <w:pStyle w:val="a4"/>
              <w:shd w:val="clear" w:color="auto" w:fill="auto"/>
              <w:spacing w:after="120" w:line="240" w:lineRule="auto"/>
              <w:ind w:left="68" w:right="111" w:firstLine="0"/>
              <w:rPr>
                <w:rFonts w:ascii="Sylfaen" w:hAnsi="Sylfaen" w:cs="Sylfaen"/>
                <w:sz w:val="20"/>
                <w:szCs w:val="20"/>
              </w:rPr>
            </w:pPr>
            <w:r w:rsidRPr="00D83000">
              <w:rPr>
                <w:rFonts w:ascii="Sylfaen" w:hAnsi="Sylfaen"/>
                <w:sz w:val="20"/>
                <w:szCs w:val="20"/>
              </w:rPr>
              <w:t xml:space="preserve">Այլ պարամետրեր (այդ թվում՝ էներգաարդյունավետության ցուցիչը) </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14:paraId="00A39158" w14:textId="77777777" w:rsidR="00CA27E3" w:rsidRPr="00D83000" w:rsidRDefault="00CA27E3" w:rsidP="005D6C2A">
            <w:pPr>
              <w:pStyle w:val="a4"/>
              <w:shd w:val="clear" w:color="auto" w:fill="auto"/>
              <w:spacing w:after="120" w:line="240" w:lineRule="auto"/>
              <w:ind w:left="66" w:right="121" w:firstLine="0"/>
              <w:rPr>
                <w:rFonts w:ascii="Sylfaen" w:hAnsi="Sylfaen" w:cs="Sylfaen"/>
                <w:sz w:val="20"/>
                <w:szCs w:val="20"/>
              </w:rPr>
            </w:pPr>
            <w:r w:rsidRPr="00D83000">
              <w:rPr>
                <w:rFonts w:ascii="Sylfaen" w:hAnsi="Sylfaen"/>
                <w:sz w:val="20"/>
                <w:szCs w:val="20"/>
              </w:rPr>
              <w:t>չափված մեծությունների արժեքները չպետք է շեղվեն անվանական արժեքներից 10 %-ից ավելի</w:t>
            </w:r>
          </w:p>
        </w:tc>
      </w:tr>
    </w:tbl>
    <w:p w14:paraId="3A7AF091" w14:textId="77777777" w:rsidR="00CA27E3" w:rsidRPr="00CA27E3" w:rsidRDefault="00CA27E3" w:rsidP="000809D3">
      <w:pPr>
        <w:spacing w:after="160" w:line="341" w:lineRule="auto"/>
        <w:rPr>
          <w:rFonts w:ascii="Sylfaen" w:hAnsi="Sylfaen" w:cs="Sylfaen"/>
        </w:rPr>
      </w:pPr>
    </w:p>
    <w:p w14:paraId="196BAF6D" w14:textId="77777777" w:rsidR="00CA27E3" w:rsidRPr="00CA27E3" w:rsidRDefault="00CA27E3" w:rsidP="000809D3">
      <w:pPr>
        <w:pStyle w:val="a0"/>
        <w:shd w:val="clear" w:color="auto" w:fill="auto"/>
        <w:tabs>
          <w:tab w:val="left" w:pos="1134"/>
        </w:tabs>
        <w:spacing w:after="160" w:line="341" w:lineRule="auto"/>
        <w:ind w:firstLine="567"/>
        <w:jc w:val="both"/>
        <w:rPr>
          <w:rFonts w:ascii="Sylfaen" w:hAnsi="Sylfaen" w:cs="Sylfaen"/>
          <w:sz w:val="24"/>
          <w:szCs w:val="24"/>
        </w:rPr>
      </w:pPr>
      <w:r w:rsidRPr="00CA27E3">
        <w:rPr>
          <w:rFonts w:ascii="Sylfaen" w:hAnsi="Sylfaen"/>
          <w:sz w:val="24"/>
          <w:szCs w:val="24"/>
        </w:rPr>
        <w:t>13.</w:t>
      </w:r>
      <w:r w:rsidR="00647F3B" w:rsidRPr="00647F3B">
        <w:rPr>
          <w:rFonts w:ascii="Sylfaen" w:hAnsi="Sylfaen"/>
          <w:sz w:val="24"/>
          <w:szCs w:val="24"/>
        </w:rPr>
        <w:tab/>
      </w:r>
      <w:r w:rsidRPr="00CA27E3">
        <w:rPr>
          <w:rFonts w:ascii="Sylfaen" w:hAnsi="Sylfaen"/>
          <w:sz w:val="24"/>
          <w:szCs w:val="24"/>
        </w:rPr>
        <w:t xml:space="preserve">Օգտագործողի կողմից լուսատուից հանելու համար չնախատեսված լուսադիոդային մոդուլների ստուգման ընթացակարգը։ </w:t>
      </w:r>
    </w:p>
    <w:p w14:paraId="5335A1FE"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t xml:space="preserve">Փորձարկումների (չափումների) նպատակներով ընտրվում 1 մոդելի </w:t>
      </w:r>
      <w:r>
        <w:rPr>
          <w:rFonts w:ascii="Sylfaen" w:hAnsi="Sylfaen"/>
          <w:sz w:val="24"/>
          <w:szCs w:val="24"/>
        </w:rPr>
        <w:t>եւ</w:t>
      </w:r>
      <w:r w:rsidRPr="00CA27E3">
        <w:rPr>
          <w:rFonts w:ascii="Sylfaen" w:hAnsi="Sylfaen"/>
          <w:sz w:val="24"/>
          <w:szCs w:val="24"/>
        </w:rPr>
        <w:t xml:space="preserve"> 1</w:t>
      </w:r>
      <w:r w:rsidR="000809D3" w:rsidRPr="000809D3">
        <w:rPr>
          <w:rFonts w:ascii="Sylfaen" w:hAnsi="Sylfaen"/>
          <w:sz w:val="24"/>
          <w:szCs w:val="24"/>
        </w:rPr>
        <w:t> </w:t>
      </w:r>
      <w:r w:rsidRPr="00CA27E3">
        <w:rPr>
          <w:rFonts w:ascii="Sylfaen" w:hAnsi="Sylfaen"/>
          <w:sz w:val="24"/>
          <w:szCs w:val="24"/>
        </w:rPr>
        <w:t xml:space="preserve">արտադրողի նմուշների քանակ (լուսադիոդային մոդուլների կամ լուսատուների)՝ հնարավորինս հավասար համամասնությամբ՝ մի քանի աղբյուրներից՝ պատահական ընտրանքի մեթոդով։ Սույն պահանջների 13-րդ կետի վեցերորդ, ութերորդ </w:t>
      </w:r>
      <w:r>
        <w:rPr>
          <w:rFonts w:ascii="Sylfaen" w:hAnsi="Sylfaen"/>
          <w:sz w:val="24"/>
          <w:szCs w:val="24"/>
        </w:rPr>
        <w:t>եւ</w:t>
      </w:r>
      <w:r w:rsidRPr="00CA27E3">
        <w:rPr>
          <w:rFonts w:ascii="Sylfaen" w:hAnsi="Sylfaen"/>
          <w:sz w:val="24"/>
          <w:szCs w:val="24"/>
        </w:rPr>
        <w:t xml:space="preserve"> իններորդ պարբերությունների համար աղբյուրների թիվը պետք է լինի 4-ից ոչ պակաս, եթե դա հնարավոր է։</w:t>
      </w:r>
    </w:p>
    <w:p w14:paraId="4B946C5B"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lastRenderedPageBreak/>
        <w:t xml:space="preserve">Սույն պահանջների 13-րդ կետի յոթերորդ պարբերության համար աղբյուրների թիվը պետք է լինի 4-ից ոչ պակաս, եթե դա հնարավոր է, </w:t>
      </w:r>
      <w:r>
        <w:rPr>
          <w:rFonts w:ascii="Sylfaen" w:hAnsi="Sylfaen"/>
          <w:sz w:val="24"/>
          <w:szCs w:val="24"/>
        </w:rPr>
        <w:t>եւ</w:t>
      </w:r>
      <w:r w:rsidRPr="00CA27E3">
        <w:rPr>
          <w:rFonts w:ascii="Sylfaen" w:hAnsi="Sylfaen"/>
          <w:sz w:val="24"/>
          <w:szCs w:val="24"/>
        </w:rPr>
        <w:t xml:space="preserve"> եթե լուսատուների անհրաժեշտ քանակը դրանցից մի</w:t>
      </w:r>
      <w:r>
        <w:rPr>
          <w:rFonts w:ascii="Sylfaen" w:hAnsi="Sylfaen"/>
          <w:sz w:val="24"/>
          <w:szCs w:val="24"/>
        </w:rPr>
        <w:t>եւ</w:t>
      </w:r>
      <w:r w:rsidRPr="00CA27E3">
        <w:rPr>
          <w:rFonts w:ascii="Sylfaen" w:hAnsi="Sylfaen"/>
          <w:sz w:val="24"/>
          <w:szCs w:val="24"/>
        </w:rPr>
        <w:t>նույն մոդելի 20 լուսադիոդային մոդուլներ հանելու համար 4-ից պակաս չէ, մյուս դեպքերում աղբյուրների թիվն ընդունում են անհրաժեշտ լուսատուների թվին հավասար։</w:t>
      </w:r>
    </w:p>
    <w:p w14:paraId="180DCC28"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t>Փորձարկումները (չափումները) անցկացվում են հետ</w:t>
      </w:r>
      <w:r>
        <w:rPr>
          <w:rFonts w:ascii="Sylfaen" w:hAnsi="Sylfaen"/>
          <w:sz w:val="24"/>
          <w:szCs w:val="24"/>
        </w:rPr>
        <w:t>եւ</w:t>
      </w:r>
      <w:r w:rsidRPr="00CA27E3">
        <w:rPr>
          <w:rFonts w:ascii="Sylfaen" w:hAnsi="Sylfaen"/>
          <w:sz w:val="24"/>
          <w:szCs w:val="24"/>
        </w:rPr>
        <w:t>յալ կարգով։</w:t>
      </w:r>
    </w:p>
    <w:p w14:paraId="645DDFFD"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t>«Լուսատու» ասելով հասկաց</w:t>
      </w:r>
      <w:r w:rsidR="005D6C2A">
        <w:rPr>
          <w:rFonts w:ascii="Sylfaen" w:hAnsi="Sylfaen"/>
          <w:sz w:val="24"/>
          <w:szCs w:val="24"/>
        </w:rPr>
        <w:t>վ</w:t>
      </w:r>
      <w:r w:rsidRPr="00CA27E3">
        <w:rPr>
          <w:rFonts w:ascii="Sylfaen" w:hAnsi="Sylfaen"/>
          <w:sz w:val="24"/>
          <w:szCs w:val="24"/>
        </w:rPr>
        <w:t xml:space="preserve">ում է լուսատու, որը պարունակում է լուսադիոդային մոդուլներ, իսկ «փորձարկում» հասկացության տակ հասկացվում է սույն պահանջների 7-րդ կետում նկարագրված ընթացակարգը։ Այն դեպքում, երբ տեխնիկական փաստաթղթերով նախատեսված է անցկացնել փորձարկումներ՝ սույն պահանջների 13-րդ կետի վեցերորդ </w:t>
      </w:r>
      <w:r>
        <w:rPr>
          <w:rFonts w:ascii="Sylfaen" w:hAnsi="Sylfaen"/>
          <w:sz w:val="24"/>
          <w:szCs w:val="24"/>
        </w:rPr>
        <w:t>եւ</w:t>
      </w:r>
      <w:r w:rsidRPr="00CA27E3">
        <w:rPr>
          <w:rFonts w:ascii="Sylfaen" w:hAnsi="Sylfaen"/>
          <w:sz w:val="24"/>
          <w:szCs w:val="24"/>
        </w:rPr>
        <w:t xml:space="preserve"> յոթերորդ պարբերությունների համաձայն, ապա թույլատրվում է ընտրել ամենահարմար մեթոդը։</w:t>
      </w:r>
    </w:p>
    <w:p w14:paraId="0066D55D"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t>Եթե լուսատուի տեխնիկական փաստաթղթերով նախատեսվում է լուսատուի փորձարկում ամբողջությամբ որպես լամպ, ապա պետք է փորձարկվի 20</w:t>
      </w:r>
      <w:r w:rsidR="000809D3" w:rsidRPr="000809D3">
        <w:rPr>
          <w:rFonts w:ascii="Sylfaen" w:hAnsi="Sylfaen"/>
          <w:sz w:val="24"/>
          <w:szCs w:val="24"/>
        </w:rPr>
        <w:t> </w:t>
      </w:r>
      <w:r w:rsidRPr="00CA27E3">
        <w:rPr>
          <w:rFonts w:ascii="Sylfaen" w:hAnsi="Sylfaen"/>
          <w:sz w:val="24"/>
          <w:szCs w:val="24"/>
        </w:rPr>
        <w:t>լուսատու։ Եթե լուսատուի մոդելը համապատասխանում է տեխնիկական կանոնակարգի պահանջներին, ապա համարվում է, որ տվյալ մոդելի լուսադիոդային մոդուլները համապատասխանում են դրանց։</w:t>
      </w:r>
    </w:p>
    <w:p w14:paraId="04140C35"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t>Այլ դեպքերում, եթե լուսատուի տեխնիկական փաստաթղթերով նախատեսվում է փորձարկումների համար դրանից հանել լուսադիոդային մոդուլները, ապա անհրաժեշտ է ընտրել լուսատուների բավարար քանակություն՝ լուսադիոդային մոդուլների 20 նմուշների ստացման համար։ Ընդ որում՝ անհրաժեշտ է հետ</w:t>
      </w:r>
      <w:r>
        <w:rPr>
          <w:rFonts w:ascii="Sylfaen" w:hAnsi="Sylfaen"/>
          <w:sz w:val="24"/>
          <w:szCs w:val="24"/>
        </w:rPr>
        <w:t>եւ</w:t>
      </w:r>
      <w:r w:rsidRPr="00CA27E3">
        <w:rPr>
          <w:rFonts w:ascii="Sylfaen" w:hAnsi="Sylfaen"/>
          <w:sz w:val="24"/>
          <w:szCs w:val="24"/>
        </w:rPr>
        <w:t xml:space="preserve">ել լուսատուների ապամոնտաժման տեխնիկական փաստաթղթերի ցուցումներին </w:t>
      </w:r>
      <w:r>
        <w:rPr>
          <w:rFonts w:ascii="Sylfaen" w:hAnsi="Sylfaen"/>
          <w:sz w:val="24"/>
          <w:szCs w:val="24"/>
        </w:rPr>
        <w:t>եւ</w:t>
      </w:r>
      <w:r w:rsidRPr="00CA27E3">
        <w:rPr>
          <w:rFonts w:ascii="Sylfaen" w:hAnsi="Sylfaen"/>
          <w:sz w:val="24"/>
          <w:szCs w:val="24"/>
        </w:rPr>
        <w:t xml:space="preserve"> յուրաքանչյուր լուսադիոդային մոդուլի համար առանձին անցկացնել փորձարկումներ։</w:t>
      </w:r>
    </w:p>
    <w:p w14:paraId="1025024F" w14:textId="77777777" w:rsidR="00CA27E3" w:rsidRPr="00CA27E3" w:rsidRDefault="00CA27E3" w:rsidP="000809D3">
      <w:pPr>
        <w:pStyle w:val="a0"/>
        <w:shd w:val="clear" w:color="auto" w:fill="auto"/>
        <w:spacing w:after="160" w:line="341" w:lineRule="auto"/>
        <w:ind w:firstLine="567"/>
        <w:jc w:val="both"/>
        <w:rPr>
          <w:rFonts w:ascii="Sylfaen" w:hAnsi="Sylfaen" w:cs="Sylfaen"/>
          <w:sz w:val="24"/>
          <w:szCs w:val="24"/>
        </w:rPr>
      </w:pPr>
      <w:r w:rsidRPr="00CA27E3">
        <w:rPr>
          <w:rFonts w:ascii="Sylfaen" w:hAnsi="Sylfaen"/>
          <w:sz w:val="24"/>
          <w:szCs w:val="24"/>
        </w:rPr>
        <w:t xml:space="preserve">Այլ դեպքերում, եթե լուսատուի տեխնիկական փաստաթղթերին համապատասխան, արտադրողը թողարկում է լուսադիոդային մոդուլներ առանձին արտադրանքի տեսքով, ապա անհրաժեշտ է փորձարկումների համար ընտրել տվյալ մոդելի լուսադիոդային մոդուլների 20 նմուշ </w:t>
      </w:r>
      <w:r>
        <w:rPr>
          <w:rFonts w:ascii="Sylfaen" w:hAnsi="Sylfaen"/>
          <w:sz w:val="24"/>
          <w:szCs w:val="24"/>
        </w:rPr>
        <w:t>եւ</w:t>
      </w:r>
      <w:r w:rsidRPr="00CA27E3">
        <w:rPr>
          <w:rFonts w:ascii="Sylfaen" w:hAnsi="Sylfaen"/>
          <w:sz w:val="24"/>
          <w:szCs w:val="24"/>
        </w:rPr>
        <w:t xml:space="preserve"> փորձարկել յուրաքանչյուր լուսադիոդային մոդուլն առանձին։</w:t>
      </w:r>
    </w:p>
    <w:p w14:paraId="76D64342"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lastRenderedPageBreak/>
        <w:t xml:space="preserve">Եթե բաժնի՝ սույն պահանջների 7-րդ կետի «ա» - «գ» ենթակետերին համապատասխան փորձարկումներ անցկացնելն անհնար է, այսինքն լուսադիոդային մոդուլները չեն կարող հանվել լուսատուից առանձին ստուգման համար, ապա պետք է ստուգվեն փոխարկման ցիկլերը, ժամանակից շուտ շարքից դուրս գալը, վառքի ժամանակը </w:t>
      </w:r>
      <w:r>
        <w:rPr>
          <w:rFonts w:ascii="Sylfaen" w:hAnsi="Sylfaen"/>
          <w:sz w:val="24"/>
          <w:szCs w:val="24"/>
        </w:rPr>
        <w:t>եւ</w:t>
      </w:r>
      <w:r w:rsidRPr="00CA27E3">
        <w:rPr>
          <w:rFonts w:ascii="Sylfaen" w:hAnsi="Sylfaen"/>
          <w:sz w:val="24"/>
          <w:szCs w:val="24"/>
        </w:rPr>
        <w:t xml:space="preserve"> թեժացման ժամանակը 1 լուսատուի՝</w:t>
      </w:r>
      <w:r>
        <w:rPr>
          <w:rFonts w:ascii="Sylfaen" w:hAnsi="Sylfaen"/>
          <w:sz w:val="24"/>
          <w:szCs w:val="24"/>
        </w:rPr>
        <w:t xml:space="preserve"> </w:t>
      </w:r>
      <w:r w:rsidRPr="00CA27E3">
        <w:rPr>
          <w:rFonts w:ascii="Sylfaen" w:hAnsi="Sylfaen"/>
          <w:sz w:val="24"/>
          <w:szCs w:val="24"/>
        </w:rPr>
        <w:t xml:space="preserve">5-րդ աղյուսակի պահանջներին համապատասխանության համար։ Եթե փորձարկումների արդյունքները տարբերվում են սահմանային արժեքներից ավելի, քան10 %-ով կամ եթե լուսատուն ժամանակից շուտ դուրս է եկել շարքից, ապա պետք է լրացուցիչ փորձարկվեն </w:t>
      </w:r>
      <w:r>
        <w:rPr>
          <w:rFonts w:ascii="Sylfaen" w:hAnsi="Sylfaen"/>
          <w:sz w:val="24"/>
          <w:szCs w:val="24"/>
        </w:rPr>
        <w:t>եւ</w:t>
      </w:r>
      <w:r w:rsidRPr="00CA27E3">
        <w:rPr>
          <w:rFonts w:ascii="Sylfaen" w:hAnsi="Sylfaen"/>
          <w:sz w:val="24"/>
          <w:szCs w:val="24"/>
        </w:rPr>
        <w:t>ս 3 լուսատուներ։ Եթե հաջորդող՝ 3</w:t>
      </w:r>
      <w:r w:rsidR="000809D3" w:rsidRPr="000809D3">
        <w:rPr>
          <w:rFonts w:ascii="Sylfaen" w:hAnsi="Sylfaen"/>
          <w:sz w:val="24"/>
          <w:szCs w:val="24"/>
        </w:rPr>
        <w:t> </w:t>
      </w:r>
      <w:r w:rsidRPr="00CA27E3">
        <w:rPr>
          <w:rFonts w:ascii="Sylfaen" w:hAnsi="Sylfaen"/>
          <w:sz w:val="24"/>
          <w:szCs w:val="24"/>
        </w:rPr>
        <w:t xml:space="preserve">նմուշների փորձարկումների միջին արժեքները (բացի ժամանակից շուտ շարքից դուրս եկածներից) չեն տարբերվում սահմանային արժեքներից ավելի, քան 10 %-ով </w:t>
      </w:r>
      <w:r>
        <w:rPr>
          <w:rFonts w:ascii="Sylfaen" w:hAnsi="Sylfaen"/>
          <w:sz w:val="24"/>
          <w:szCs w:val="24"/>
        </w:rPr>
        <w:t>եւ</w:t>
      </w:r>
      <w:r w:rsidRPr="00CA27E3">
        <w:rPr>
          <w:rFonts w:ascii="Sylfaen" w:hAnsi="Sylfaen"/>
          <w:sz w:val="24"/>
          <w:szCs w:val="24"/>
        </w:rPr>
        <w:t xml:space="preserve"> լուսատուներից ոչ մեկը շարքից դուրս չի եկել, ապա տվյալ մոդելի լուսադիոդային մոդուլները համարվում են սույն պահանջներին համապատասխանող։</w:t>
      </w:r>
    </w:p>
    <w:p w14:paraId="14DF3B98" w14:textId="77777777" w:rsidR="00CA27E3" w:rsidRPr="00CA27E3" w:rsidRDefault="00CA27E3" w:rsidP="00647F3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t>14.</w:t>
      </w:r>
      <w:r w:rsidR="00647F3B" w:rsidRPr="00647F3B">
        <w:rPr>
          <w:rFonts w:ascii="Sylfaen" w:hAnsi="Sylfaen"/>
          <w:sz w:val="24"/>
          <w:szCs w:val="24"/>
        </w:rPr>
        <w:tab/>
      </w:r>
      <w:r w:rsidRPr="00CA27E3">
        <w:rPr>
          <w:rFonts w:ascii="Sylfaen" w:hAnsi="Sylfaen"/>
          <w:sz w:val="24"/>
          <w:szCs w:val="24"/>
        </w:rPr>
        <w:t xml:space="preserve">Ցանցի </w:t>
      </w:r>
      <w:r>
        <w:rPr>
          <w:rFonts w:ascii="Sylfaen" w:hAnsi="Sylfaen"/>
          <w:sz w:val="24"/>
          <w:szCs w:val="24"/>
        </w:rPr>
        <w:t>եւ</w:t>
      </w:r>
      <w:r w:rsidRPr="00CA27E3">
        <w:rPr>
          <w:rFonts w:ascii="Sylfaen" w:hAnsi="Sylfaen"/>
          <w:sz w:val="24"/>
          <w:szCs w:val="24"/>
        </w:rPr>
        <w:t xml:space="preserve"> լամպերի միջ</w:t>
      </w:r>
      <w:r>
        <w:rPr>
          <w:rFonts w:ascii="Sylfaen" w:hAnsi="Sylfaen"/>
          <w:sz w:val="24"/>
          <w:szCs w:val="24"/>
        </w:rPr>
        <w:t>եւ</w:t>
      </w:r>
      <w:r w:rsidRPr="00CA27E3">
        <w:rPr>
          <w:rFonts w:ascii="Sylfaen" w:hAnsi="Sylfaen"/>
          <w:sz w:val="24"/>
          <w:szCs w:val="24"/>
        </w:rPr>
        <w:t xml:space="preserve"> տեղակայման համար նախատեսված սարքավորումների ստուգման գործընթացները</w:t>
      </w:r>
    </w:p>
    <w:p w14:paraId="52FDF4C8"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CA27E3">
        <w:rPr>
          <w:rFonts w:ascii="Sylfaen" w:hAnsi="Sylfaen"/>
          <w:sz w:val="24"/>
          <w:szCs w:val="24"/>
        </w:rPr>
        <w:t>Ի լրումն ԳԿԱ-ի համատեղելիության պահանջների՝ պետք է ստուգվեն նա</w:t>
      </w:r>
      <w:r>
        <w:rPr>
          <w:rFonts w:ascii="Sylfaen" w:hAnsi="Sylfaen"/>
          <w:sz w:val="24"/>
          <w:szCs w:val="24"/>
        </w:rPr>
        <w:t>եւ</w:t>
      </w:r>
      <w:r w:rsidRPr="00CA27E3">
        <w:rPr>
          <w:rFonts w:ascii="Sylfaen" w:hAnsi="Sylfaen"/>
          <w:sz w:val="24"/>
          <w:szCs w:val="24"/>
        </w:rPr>
        <w:t xml:space="preserve"> սույն պահանջների 4-րդ կետին համապատասխան՝ էներգետիկ արդյունավետության պահանջներին համապատասխանության մասով։ Փորձարկումն անցկացնում են ԳԿԱ-ի 1 նմուշի վրա, անգամ եթե մոդելը նախատեսված է սարքավորման մեջ այլ ԳԿԱ-ի հետ համատեղ աշխատելու համար։ ԳԿԱ-ի մոդելը պետք է դիտարկվի որպես պահանջներին համապատասխանող, եթե փորձարկումների արդյունքները չեն շեղվում սահմանային արժեքներից ավելի, քան 2,5 %-ով։</w:t>
      </w:r>
    </w:p>
    <w:p w14:paraId="73A49031" w14:textId="77777777" w:rsidR="00CA27E3" w:rsidRPr="00CA27E3" w:rsidRDefault="00CA27E3" w:rsidP="00CA27E3">
      <w:pPr>
        <w:pStyle w:val="a0"/>
        <w:shd w:val="clear" w:color="auto" w:fill="auto"/>
        <w:spacing w:after="160"/>
        <w:ind w:firstLine="567"/>
        <w:jc w:val="both"/>
        <w:rPr>
          <w:rFonts w:ascii="Sylfaen" w:hAnsi="Sylfaen" w:cs="Sylfaen"/>
          <w:sz w:val="24"/>
          <w:szCs w:val="24"/>
        </w:rPr>
      </w:pPr>
      <w:r w:rsidRPr="000809D3">
        <w:rPr>
          <w:rFonts w:ascii="Sylfaen" w:hAnsi="Sylfaen"/>
          <w:spacing w:val="-6"/>
          <w:sz w:val="24"/>
          <w:szCs w:val="24"/>
        </w:rPr>
        <w:t>Եթե արդյունքները շեղվում են սահմանային արժեքներից ավելի, քան 2,5 %-ով, ապա պետք</w:t>
      </w:r>
      <w:r w:rsidRPr="00CA27E3">
        <w:rPr>
          <w:rFonts w:ascii="Sylfaen" w:hAnsi="Sylfaen"/>
          <w:sz w:val="24"/>
          <w:szCs w:val="24"/>
        </w:rPr>
        <w:t xml:space="preserve"> է փորձարկվեն</w:t>
      </w:r>
      <w:r>
        <w:rPr>
          <w:rFonts w:ascii="Sylfaen" w:hAnsi="Sylfaen"/>
          <w:sz w:val="24"/>
          <w:szCs w:val="24"/>
        </w:rPr>
        <w:t xml:space="preserve"> եւ</w:t>
      </w:r>
      <w:r w:rsidRPr="00CA27E3">
        <w:rPr>
          <w:rFonts w:ascii="Sylfaen" w:hAnsi="Sylfaen"/>
          <w:sz w:val="24"/>
          <w:szCs w:val="24"/>
        </w:rPr>
        <w:t>ս 3 նմուշներ։ Մոդելը դիտարկում</w:t>
      </w:r>
      <w:r>
        <w:rPr>
          <w:rFonts w:ascii="Sylfaen" w:hAnsi="Sylfaen"/>
          <w:sz w:val="24"/>
          <w:szCs w:val="24"/>
        </w:rPr>
        <w:t xml:space="preserve"> </w:t>
      </w:r>
      <w:r w:rsidRPr="00CA27E3">
        <w:rPr>
          <w:rFonts w:ascii="Sylfaen" w:hAnsi="Sylfaen"/>
          <w:sz w:val="24"/>
          <w:szCs w:val="24"/>
        </w:rPr>
        <w:t>են որպես սույն պահանջներին համապատասխանող, եթե այդ 3 նմուշների փորձարկումների միջին արժեքը չի տարբերվում սահմանային արժեքներից ավելի, քան 2,5 %-ով։</w:t>
      </w:r>
    </w:p>
    <w:p w14:paraId="0B3CAB74" w14:textId="77777777" w:rsidR="00CA27E3" w:rsidRPr="00CA27E3" w:rsidRDefault="00CA27E3" w:rsidP="00647F3B">
      <w:pPr>
        <w:pStyle w:val="a0"/>
        <w:shd w:val="clear" w:color="auto" w:fill="auto"/>
        <w:tabs>
          <w:tab w:val="left" w:pos="1134"/>
        </w:tabs>
        <w:spacing w:after="160"/>
        <w:ind w:firstLine="567"/>
        <w:jc w:val="both"/>
        <w:rPr>
          <w:rFonts w:ascii="Sylfaen" w:hAnsi="Sylfaen" w:cs="Sylfaen"/>
          <w:sz w:val="24"/>
          <w:szCs w:val="24"/>
        </w:rPr>
      </w:pPr>
      <w:r w:rsidRPr="00CA27E3">
        <w:rPr>
          <w:rFonts w:ascii="Sylfaen" w:hAnsi="Sylfaen"/>
          <w:sz w:val="24"/>
          <w:szCs w:val="24"/>
        </w:rPr>
        <w:lastRenderedPageBreak/>
        <w:t>9.</w:t>
      </w:r>
      <w:r w:rsidR="00647F3B" w:rsidRPr="00647F3B">
        <w:rPr>
          <w:rFonts w:ascii="Sylfaen" w:hAnsi="Sylfaen"/>
          <w:sz w:val="24"/>
          <w:szCs w:val="24"/>
        </w:rPr>
        <w:tab/>
      </w:r>
      <w:r w:rsidRPr="00CA27E3">
        <w:rPr>
          <w:rFonts w:ascii="Sylfaen" w:hAnsi="Sylfaen"/>
          <w:sz w:val="24"/>
          <w:szCs w:val="24"/>
        </w:rPr>
        <w:t>Պետք է ստուգվեն նա</w:t>
      </w:r>
      <w:r>
        <w:rPr>
          <w:rFonts w:ascii="Sylfaen" w:hAnsi="Sylfaen"/>
          <w:sz w:val="24"/>
          <w:szCs w:val="24"/>
        </w:rPr>
        <w:t>եւ</w:t>
      </w:r>
      <w:r w:rsidRPr="00CA27E3">
        <w:rPr>
          <w:rFonts w:ascii="Sylfaen" w:hAnsi="Sylfaen"/>
          <w:sz w:val="24"/>
          <w:szCs w:val="24"/>
        </w:rPr>
        <w:t xml:space="preserve"> լուսատուները՝ փաթեթվածքի մեջ լամպերի առկայության մասով։ Մոդելը համարվում է համապատասխանող, եթե լամպեր չկան կամ եթե եղած լամպերն ունեն էներգետիկ արդյունավետության այն ցուցիչը, որը պահանջվում է սույն պահանջների 32-րդ կետին համապատասխան։</w:t>
      </w:r>
    </w:p>
    <w:p w14:paraId="318A3A2A" w14:textId="77777777" w:rsidR="00D83000" w:rsidRPr="003D2C38" w:rsidRDefault="00CA27E3" w:rsidP="00647F3B">
      <w:pPr>
        <w:pStyle w:val="a0"/>
        <w:shd w:val="clear" w:color="auto" w:fill="auto"/>
        <w:tabs>
          <w:tab w:val="left" w:pos="1134"/>
        </w:tabs>
        <w:spacing w:after="160"/>
        <w:ind w:firstLine="567"/>
        <w:jc w:val="both"/>
        <w:rPr>
          <w:rFonts w:ascii="Sylfaen" w:hAnsi="Sylfaen"/>
          <w:sz w:val="24"/>
          <w:szCs w:val="24"/>
        </w:rPr>
      </w:pPr>
      <w:r w:rsidRPr="00CA27E3">
        <w:rPr>
          <w:rFonts w:ascii="Sylfaen" w:hAnsi="Sylfaen"/>
          <w:sz w:val="24"/>
          <w:szCs w:val="24"/>
        </w:rPr>
        <w:t>10.</w:t>
      </w:r>
      <w:r w:rsidR="00647F3B" w:rsidRPr="00647F3B">
        <w:rPr>
          <w:rFonts w:ascii="Sylfaen" w:hAnsi="Sylfaen"/>
          <w:sz w:val="24"/>
          <w:szCs w:val="24"/>
        </w:rPr>
        <w:tab/>
      </w:r>
      <w:r w:rsidRPr="00CA27E3">
        <w:rPr>
          <w:rFonts w:ascii="Sylfaen" w:hAnsi="Sylfaen"/>
          <w:sz w:val="24"/>
          <w:szCs w:val="24"/>
        </w:rPr>
        <w:t>Լրացուցիչ պետք է ստուգվի պայծառության կառավարման սարքվածքը շիկացման լամպերի լրակազմում, եթե այդ կառավարման սարքվածքը գտնվում է նվազագույն պայծառության դիրքում։ Մոդելը համարվում է պահանջներին համապատասխանող, եթե, արտադրողի հրահանգներին համապատասխան, դրա տեղակայման պայմաններում, լամպերը լրիվ բեռնվածքի դեպքում ապահովում են իրենց լուսային հոսքի առնվազն 1 %-ը։</w:t>
      </w:r>
    </w:p>
    <w:p w14:paraId="1EE61981" w14:textId="77777777" w:rsidR="000809D3" w:rsidRPr="003D2C38" w:rsidRDefault="000809D3" w:rsidP="000809D3">
      <w:pPr>
        <w:pStyle w:val="a0"/>
        <w:shd w:val="clear" w:color="auto" w:fill="auto"/>
        <w:spacing w:after="160"/>
        <w:ind w:firstLine="0"/>
        <w:jc w:val="center"/>
        <w:rPr>
          <w:rFonts w:ascii="Sylfaen" w:hAnsi="Sylfaen"/>
          <w:sz w:val="24"/>
          <w:szCs w:val="24"/>
        </w:rPr>
      </w:pPr>
      <w:r w:rsidRPr="003D2C38">
        <w:rPr>
          <w:rFonts w:ascii="Sylfaen" w:hAnsi="Sylfaen"/>
          <w:sz w:val="24"/>
          <w:szCs w:val="24"/>
        </w:rPr>
        <w:t>____________</w:t>
      </w:r>
    </w:p>
    <w:p w14:paraId="7C6D1ED6" w14:textId="77777777" w:rsidR="00647F3B" w:rsidRPr="00647F3B" w:rsidRDefault="00647F3B" w:rsidP="00CA27E3">
      <w:pPr>
        <w:pStyle w:val="a0"/>
        <w:shd w:val="clear" w:color="auto" w:fill="auto"/>
        <w:spacing w:after="160"/>
        <w:ind w:firstLine="567"/>
        <w:jc w:val="both"/>
        <w:rPr>
          <w:rFonts w:ascii="Sylfaen" w:hAnsi="Sylfaen"/>
          <w:sz w:val="24"/>
          <w:szCs w:val="24"/>
        </w:rPr>
      </w:pPr>
    </w:p>
    <w:p w14:paraId="0144E1B2" w14:textId="77777777" w:rsidR="00647F3B" w:rsidRPr="00647F3B" w:rsidRDefault="00647F3B" w:rsidP="00CA27E3">
      <w:pPr>
        <w:pStyle w:val="a0"/>
        <w:shd w:val="clear" w:color="auto" w:fill="auto"/>
        <w:spacing w:after="160"/>
        <w:ind w:firstLine="567"/>
        <w:jc w:val="both"/>
        <w:rPr>
          <w:rFonts w:ascii="Sylfaen" w:hAnsi="Sylfaen"/>
          <w:sz w:val="24"/>
          <w:szCs w:val="24"/>
        </w:rPr>
        <w:sectPr w:rsidR="00647F3B" w:rsidRPr="00647F3B" w:rsidSect="0027701C">
          <w:pgSz w:w="11907" w:h="16840" w:code="9"/>
          <w:pgMar w:top="1418" w:right="1418" w:bottom="1418" w:left="1418" w:header="0" w:footer="539" w:gutter="0"/>
          <w:pgNumType w:start="1"/>
          <w:cols w:space="720"/>
          <w:noEndnote/>
          <w:titlePg/>
          <w:docGrid w:linePitch="360"/>
        </w:sectPr>
      </w:pPr>
    </w:p>
    <w:p w14:paraId="4A931725" w14:textId="77777777" w:rsidR="00CA27E3" w:rsidRPr="00CA27E3" w:rsidRDefault="00CA27E3" w:rsidP="00647F3B">
      <w:pPr>
        <w:pStyle w:val="Bodytext212"/>
        <w:shd w:val="clear" w:color="auto" w:fill="auto"/>
        <w:spacing w:after="160" w:line="360" w:lineRule="auto"/>
        <w:ind w:left="3969" w:firstLine="0"/>
        <w:jc w:val="center"/>
        <w:rPr>
          <w:rFonts w:ascii="Sylfaen" w:hAnsi="Sylfaen"/>
          <w:sz w:val="24"/>
          <w:szCs w:val="24"/>
        </w:rPr>
      </w:pPr>
      <w:r w:rsidRPr="00CA27E3">
        <w:rPr>
          <w:rFonts w:ascii="Sylfaen" w:hAnsi="Sylfaen"/>
          <w:sz w:val="24"/>
          <w:szCs w:val="24"/>
        </w:rPr>
        <w:lastRenderedPageBreak/>
        <w:t>ՀԱՎԵԼՎԱԾ ԹԻՎ 15</w:t>
      </w:r>
    </w:p>
    <w:p w14:paraId="07EBCA1A" w14:textId="77777777" w:rsidR="00CA27E3" w:rsidRPr="00CA27E3" w:rsidRDefault="00CA27E3" w:rsidP="00647F3B">
      <w:pPr>
        <w:pStyle w:val="Bodytext212"/>
        <w:shd w:val="clear" w:color="auto" w:fill="auto"/>
        <w:spacing w:after="160" w:line="360" w:lineRule="auto"/>
        <w:ind w:left="3969" w:firstLine="0"/>
        <w:jc w:val="center"/>
        <w:rPr>
          <w:rFonts w:ascii="Sylfaen" w:hAnsi="Sylfaen"/>
          <w:sz w:val="24"/>
          <w:szCs w:val="24"/>
        </w:rPr>
      </w:pPr>
      <w:r w:rsidRPr="00CA27E3">
        <w:rPr>
          <w:rFonts w:ascii="Sylfaen" w:hAnsi="Sylfaen"/>
          <w:sz w:val="24"/>
          <w:szCs w:val="24"/>
        </w:rPr>
        <w:t xml:space="preserve">«Էներգասպառող սարքվածքների </w:t>
      </w:r>
      <w:r w:rsidR="000809D3" w:rsidRPr="000809D3">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0809D3" w:rsidRPr="000809D3">
        <w:rPr>
          <w:rFonts w:ascii="Sylfaen" w:hAnsi="Sylfaen"/>
          <w:sz w:val="24"/>
          <w:szCs w:val="24"/>
        </w:rPr>
        <w:br/>
      </w:r>
      <w:r w:rsidRPr="00CA27E3">
        <w:rPr>
          <w:rFonts w:ascii="Sylfaen" w:hAnsi="Sylfaen"/>
          <w:sz w:val="24"/>
          <w:szCs w:val="24"/>
        </w:rPr>
        <w:t>(ԵԱՏՄ ՏԿ</w:t>
      </w:r>
      <w:r w:rsidR="00647F3B" w:rsidRPr="00647F3B">
        <w:rPr>
          <w:rFonts w:ascii="Sylfaen" w:hAnsi="Sylfaen"/>
          <w:sz w:val="24"/>
          <w:szCs w:val="24"/>
        </w:rPr>
        <w:tab/>
      </w:r>
      <w:r w:rsidRPr="00CA27E3">
        <w:rPr>
          <w:rFonts w:ascii="Sylfaen" w:hAnsi="Sylfaen"/>
          <w:sz w:val="24"/>
          <w:szCs w:val="24"/>
        </w:rPr>
        <w:t>/20</w:t>
      </w:r>
      <w:r w:rsidR="00647F3B" w:rsidRPr="00647F3B">
        <w:rPr>
          <w:rFonts w:ascii="Sylfaen" w:hAnsi="Sylfaen"/>
          <w:sz w:val="24"/>
          <w:szCs w:val="24"/>
        </w:rPr>
        <w:tab/>
      </w:r>
      <w:r w:rsidRPr="00CA27E3">
        <w:rPr>
          <w:rFonts w:ascii="Sylfaen" w:hAnsi="Sylfaen"/>
          <w:sz w:val="24"/>
          <w:szCs w:val="24"/>
        </w:rPr>
        <w:t>)</w:t>
      </w:r>
    </w:p>
    <w:p w14:paraId="7BB4F659" w14:textId="77777777" w:rsidR="00CA27E3" w:rsidRPr="00CA27E3" w:rsidRDefault="00CA27E3" w:rsidP="00CA27E3">
      <w:pPr>
        <w:pStyle w:val="Bodytext31"/>
        <w:shd w:val="clear" w:color="auto" w:fill="auto"/>
        <w:spacing w:before="0" w:after="160" w:line="360" w:lineRule="auto"/>
        <w:rPr>
          <w:rStyle w:val="Bodytext3Spacing2pt"/>
          <w:rFonts w:ascii="Sylfaen" w:hAnsi="Sylfaen"/>
          <w:b/>
          <w:bCs/>
          <w:spacing w:val="0"/>
          <w:sz w:val="24"/>
          <w:szCs w:val="24"/>
        </w:rPr>
      </w:pPr>
    </w:p>
    <w:p w14:paraId="685BA94B" w14:textId="77777777" w:rsidR="00CA27E3" w:rsidRPr="00647F3B" w:rsidRDefault="00CA27E3" w:rsidP="00647F3B">
      <w:pPr>
        <w:pStyle w:val="Bodytext31"/>
        <w:shd w:val="clear" w:color="auto" w:fill="auto"/>
        <w:spacing w:before="0" w:after="160" w:line="360" w:lineRule="auto"/>
        <w:ind w:left="567" w:right="566"/>
        <w:rPr>
          <w:rFonts w:ascii="Sylfaen" w:hAnsi="Sylfaen"/>
          <w:b w:val="0"/>
          <w:sz w:val="24"/>
          <w:szCs w:val="24"/>
        </w:rPr>
      </w:pPr>
      <w:r w:rsidRPr="00647F3B">
        <w:rPr>
          <w:rStyle w:val="Bodytext3Spacing2pt"/>
          <w:rFonts w:ascii="Sylfaen" w:hAnsi="Sylfaen"/>
          <w:b/>
          <w:spacing w:val="0"/>
          <w:sz w:val="24"/>
          <w:szCs w:val="24"/>
        </w:rPr>
        <w:t>ՊԱՀԱՆՋՆԵՐ</w:t>
      </w:r>
    </w:p>
    <w:p w14:paraId="1F7A90EB" w14:textId="77777777" w:rsidR="00CA27E3" w:rsidRPr="00CA27E3" w:rsidRDefault="00CA27E3" w:rsidP="00647F3B">
      <w:pPr>
        <w:pStyle w:val="Bodytext31"/>
        <w:shd w:val="clear" w:color="auto" w:fill="auto"/>
        <w:spacing w:before="0" w:after="160" w:line="360" w:lineRule="auto"/>
        <w:ind w:left="567" w:right="566"/>
        <w:rPr>
          <w:rFonts w:ascii="Sylfaen" w:hAnsi="Sylfaen"/>
          <w:sz w:val="24"/>
          <w:szCs w:val="24"/>
        </w:rPr>
      </w:pPr>
      <w:r w:rsidRPr="00CA27E3">
        <w:rPr>
          <w:rFonts w:ascii="Sylfaen" w:hAnsi="Sylfaen"/>
          <w:sz w:val="24"/>
          <w:szCs w:val="24"/>
        </w:rPr>
        <w:t>թմբուկային տիպի չորացնող մեքենաների էներգետիկ արդյունավետությանը ներկայացվող</w:t>
      </w:r>
    </w:p>
    <w:p w14:paraId="3C1645B6" w14:textId="77777777" w:rsidR="00CA27E3" w:rsidRPr="00CA27E3" w:rsidRDefault="00CA27E3" w:rsidP="00CA27E3">
      <w:pPr>
        <w:spacing w:after="160" w:line="360" w:lineRule="auto"/>
        <w:ind w:left="1701" w:right="1693"/>
        <w:rPr>
          <w:rFonts w:ascii="Sylfaen" w:hAnsi="Sylfaen"/>
        </w:rPr>
      </w:pPr>
    </w:p>
    <w:p w14:paraId="3D7D35C1"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I. Կիրառման ոլորտը</w:t>
      </w:r>
    </w:p>
    <w:p w14:paraId="0783F067"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w:t>
      </w:r>
      <w:r w:rsidR="00647F3B" w:rsidRPr="00647F3B">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(այսուհետ՝ Միություն) մաքսային տարածքում շրջանառության մեջ դրվող՝ տեքստիլ արտադրատեսակների համար՝ փոփոխական հոսանքի ցանցից սնվող թմբուկային տիպի կենցաղային չորացնող մեքենաների վրա (այսուհետ՝ չորացնող մեքենաներ), որոնք կարող են կիրառվել նա</w:t>
      </w:r>
      <w:r>
        <w:rPr>
          <w:rFonts w:ascii="Sylfaen" w:hAnsi="Sylfaen"/>
          <w:sz w:val="24"/>
          <w:szCs w:val="24"/>
        </w:rPr>
        <w:t>եւ</w:t>
      </w:r>
      <w:r w:rsidRPr="00CA27E3">
        <w:rPr>
          <w:rFonts w:ascii="Sylfaen" w:hAnsi="Sylfaen"/>
          <w:sz w:val="24"/>
          <w:szCs w:val="24"/>
        </w:rPr>
        <w:t xml:space="preserve"> առ</w:t>
      </w:r>
      <w:r>
        <w:rPr>
          <w:rFonts w:ascii="Sylfaen" w:hAnsi="Sylfaen"/>
          <w:sz w:val="24"/>
          <w:szCs w:val="24"/>
        </w:rPr>
        <w:t>եւ</w:t>
      </w:r>
      <w:r w:rsidRPr="00CA27E3">
        <w:rPr>
          <w:rFonts w:ascii="Sylfaen" w:hAnsi="Sylfaen"/>
          <w:sz w:val="24"/>
          <w:szCs w:val="24"/>
        </w:rPr>
        <w:t>տրային նպատակներով (արտադրությունում, առ</w:t>
      </w:r>
      <w:r>
        <w:rPr>
          <w:rFonts w:ascii="Sylfaen" w:hAnsi="Sylfaen"/>
          <w:sz w:val="24"/>
          <w:szCs w:val="24"/>
        </w:rPr>
        <w:t>եւ</w:t>
      </w:r>
      <w:r w:rsidRPr="00CA27E3">
        <w:rPr>
          <w:rFonts w:ascii="Sylfaen" w:hAnsi="Sylfaen"/>
          <w:sz w:val="24"/>
          <w:szCs w:val="24"/>
        </w:rPr>
        <w:t xml:space="preserve">տրում </w:t>
      </w:r>
      <w:r>
        <w:rPr>
          <w:rFonts w:ascii="Sylfaen" w:hAnsi="Sylfaen"/>
          <w:sz w:val="24"/>
          <w:szCs w:val="24"/>
        </w:rPr>
        <w:t>եւ</w:t>
      </w:r>
      <w:r w:rsidRPr="00CA27E3">
        <w:rPr>
          <w:rFonts w:ascii="Sylfaen" w:hAnsi="Sylfaen"/>
          <w:sz w:val="24"/>
          <w:szCs w:val="24"/>
        </w:rPr>
        <w:t xml:space="preserve"> ծառայությունների ոլորտում), օդի էլեկտրական կամ գազային տաքացման սարքվածքով, այդ թվում՝ թմբուկային տիպի ներկառուցվող չորացնող մեքենաների վրա՝ բացառությամբ ցենտրիֆուգների </w:t>
      </w:r>
      <w:r>
        <w:rPr>
          <w:rFonts w:ascii="Sylfaen" w:hAnsi="Sylfaen"/>
          <w:sz w:val="24"/>
          <w:szCs w:val="24"/>
        </w:rPr>
        <w:t>եւ</w:t>
      </w:r>
      <w:r w:rsidRPr="00CA27E3">
        <w:rPr>
          <w:rFonts w:ascii="Sylfaen" w:hAnsi="Sylfaen"/>
          <w:sz w:val="24"/>
          <w:szCs w:val="24"/>
        </w:rPr>
        <w:t xml:space="preserve"> չորանոցների հետ համակցված լվացքի մեքենա կազմի մեջ մտնող չորացնող մեքենաների:</w:t>
      </w:r>
    </w:p>
    <w:p w14:paraId="6BAA573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Եթե չորացնող մեքենաների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չորացնող մեքենաները պետք է համապատասխանեն Միության բոլոր այն տեխնիկական </w:t>
      </w:r>
      <w:r w:rsidRPr="00CA27E3">
        <w:rPr>
          <w:rFonts w:ascii="Sylfaen" w:hAnsi="Sylfaen"/>
          <w:sz w:val="24"/>
          <w:szCs w:val="24"/>
        </w:rPr>
        <w:lastRenderedPageBreak/>
        <w:t>կանոնակարգերի պահանջներին (Մաքսային միության տեխնիկական կանոնակարգերին), որոնց գործողությունը տարածվում է դրանց վրա։</w:t>
      </w:r>
    </w:p>
    <w:p w14:paraId="00E1A55E" w14:textId="77777777" w:rsidR="000809D3" w:rsidRPr="003D2C38" w:rsidRDefault="000809D3" w:rsidP="00CA27E3">
      <w:pPr>
        <w:pStyle w:val="Bodytext212"/>
        <w:shd w:val="clear" w:color="auto" w:fill="auto"/>
        <w:spacing w:after="160" w:line="360" w:lineRule="auto"/>
        <w:ind w:firstLine="0"/>
        <w:jc w:val="center"/>
        <w:rPr>
          <w:rFonts w:ascii="Sylfaen" w:hAnsi="Sylfaen"/>
          <w:sz w:val="24"/>
          <w:szCs w:val="24"/>
        </w:rPr>
      </w:pPr>
    </w:p>
    <w:p w14:paraId="6B91B155"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II. Հիմնական հասկացությունները</w:t>
      </w:r>
    </w:p>
    <w:p w14:paraId="4F4CEDD5"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2.</w:t>
      </w:r>
      <w:r w:rsidR="00647F3B" w:rsidRPr="00647F3B">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554CF59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թմբուկային տիպի ավտոմատ չորացնող մեքենա</w:t>
      </w:r>
      <w:r w:rsidRPr="00CA27E3">
        <w:rPr>
          <w:rFonts w:ascii="Sylfaen" w:hAnsi="Sylfaen"/>
          <w:sz w:val="24"/>
          <w:szCs w:val="24"/>
        </w:rPr>
        <w:t>՝ թմբուկային տիպի չորացնող մեքենա, որում չորացնելու գործընթացն անջատվում է ավտոմատ սարքվածքով՝ որոշակի խոնավության հասնելիս, օրինակ՝ հաղորդականության տվիչի կամ ջերմաստիճանի տվիչի օգնությամբ.</w:t>
      </w:r>
    </w:p>
    <w:p w14:paraId="0476B3A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չորանոցների հետ համակցված լվացքի մեքենա՝</w:t>
      </w:r>
      <w:r w:rsidRPr="00CA27E3">
        <w:rPr>
          <w:rFonts w:ascii="Sylfaen" w:hAnsi="Sylfaen"/>
          <w:sz w:val="24"/>
          <w:szCs w:val="24"/>
        </w:rPr>
        <w:t xml:space="preserve"> կենցաղային լվացքի մեքենա, որը համատեղում է ցենտրիֆուգում տեքստիլ արտադրատեսակների լվացքի </w:t>
      </w:r>
      <w:r>
        <w:rPr>
          <w:rFonts w:ascii="Sylfaen" w:hAnsi="Sylfaen"/>
          <w:sz w:val="24"/>
          <w:szCs w:val="24"/>
        </w:rPr>
        <w:t>եւ</w:t>
      </w:r>
      <w:r w:rsidRPr="00CA27E3">
        <w:rPr>
          <w:rFonts w:ascii="Sylfaen" w:hAnsi="Sylfaen"/>
          <w:sz w:val="24"/>
          <w:szCs w:val="24"/>
        </w:rPr>
        <w:t xml:space="preserve"> քամելու գործառույթը տաքացմամբ չորացնելու գործառույթի հետ.</w:t>
      </w:r>
    </w:p>
    <w:p w14:paraId="58D76CB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թմբուկային տիպի կենցաղային չորացնող մեքենա՝</w:t>
      </w:r>
      <w:r w:rsidRPr="00CA27E3">
        <w:rPr>
          <w:rFonts w:ascii="Sylfaen" w:hAnsi="Sylfaen"/>
          <w:sz w:val="24"/>
          <w:szCs w:val="24"/>
        </w:rPr>
        <w:t xml:space="preserve"> պտտվող թմբուկում տաքացված օդի թողանցումով տեքստիլ արտադրատեսակների չորացման համար նախատեսված սարքվածք, որը հիմնականում օգտագործվում է ոչ պրոֆեսիոնալ նպատակների համար.</w:t>
      </w:r>
    </w:p>
    <w:p w14:paraId="5B7311F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կենցաղային ցենտրիֆուգ՝</w:t>
      </w:r>
      <w:r w:rsidRPr="00CA27E3">
        <w:rPr>
          <w:rFonts w:ascii="Sylfaen" w:hAnsi="Sylfaen"/>
          <w:sz w:val="24"/>
          <w:szCs w:val="24"/>
        </w:rPr>
        <w:t xml:space="preserve"> սարքվածք, որում ջուրը հեռացվում է տեքստիլ արտադրատեսակներից պտտվող թմբուկում կենտրոնախույս ուժի ազդեցության տակ </w:t>
      </w:r>
      <w:r>
        <w:rPr>
          <w:rFonts w:ascii="Sylfaen" w:hAnsi="Sylfaen"/>
          <w:sz w:val="24"/>
          <w:szCs w:val="24"/>
        </w:rPr>
        <w:t>եւ</w:t>
      </w:r>
      <w:r w:rsidRPr="00CA27E3">
        <w:rPr>
          <w:rFonts w:ascii="Sylfaen" w:hAnsi="Sylfaen"/>
          <w:sz w:val="24"/>
          <w:szCs w:val="24"/>
        </w:rPr>
        <w:t xml:space="preserve"> հետո պոմպահանվում է ավտոմատ պոմպով, </w:t>
      </w:r>
      <w:r>
        <w:rPr>
          <w:rFonts w:ascii="Sylfaen" w:hAnsi="Sylfaen"/>
          <w:sz w:val="24"/>
          <w:szCs w:val="24"/>
        </w:rPr>
        <w:t>եւ</w:t>
      </w:r>
      <w:r w:rsidRPr="00CA27E3">
        <w:rPr>
          <w:rFonts w:ascii="Sylfaen" w:hAnsi="Sylfaen"/>
          <w:sz w:val="24"/>
          <w:szCs w:val="24"/>
        </w:rPr>
        <w:t xml:space="preserve"> որը հիմնականում նախատեսված է ոչ պրոֆեսիոնալ նպատակներով օգտագործման համար.</w:t>
      </w:r>
    </w:p>
    <w:p w14:paraId="6884BD8B" w14:textId="77777777" w:rsidR="000809D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թմբուկային տիպի ներկառուցվող կենցաղային չորացնող մեքենա՝</w:t>
      </w:r>
      <w:r w:rsidRPr="00CA27E3">
        <w:rPr>
          <w:rFonts w:ascii="Sylfaen" w:hAnsi="Sylfaen"/>
          <w:sz w:val="24"/>
          <w:szCs w:val="24"/>
        </w:rPr>
        <w:t xml:space="preserve"> թմբուկային տիպի կենցաղային չորացնող մեքենա, որը նախատեսված է պահարանի, այլ կահույքի, հատուկ խորշում կամ այլ նմանատիպ տեղում տեղադրվելու համար՝ դեկորատիվ ծածկույթի (էկրանի) կիրառմամբ.</w:t>
      </w:r>
    </w:p>
    <w:p w14:paraId="476859A8" w14:textId="77777777" w:rsidR="000809D3" w:rsidRDefault="000809D3">
      <w:pPr>
        <w:rPr>
          <w:rFonts w:ascii="Sylfaen" w:eastAsia="Times New Roman" w:hAnsi="Sylfaen" w:cs="Times New Roman"/>
        </w:rPr>
      </w:pPr>
      <w:r>
        <w:rPr>
          <w:rFonts w:ascii="Sylfaen" w:hAnsi="Sylfaen"/>
        </w:rPr>
        <w:br w:type="page"/>
      </w:r>
    </w:p>
    <w:p w14:paraId="09446BE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lastRenderedPageBreak/>
        <w:t>կոնդենսացիոն չորացնող մեքենա՝</w:t>
      </w:r>
      <w:r w:rsidRPr="00CA27E3">
        <w:rPr>
          <w:rFonts w:ascii="Sylfaen" w:hAnsi="Sylfaen"/>
          <w:sz w:val="24"/>
          <w:szCs w:val="24"/>
        </w:rPr>
        <w:t xml:space="preserve"> թմբուկային չորացնող մեքենա, որը պարունակում է օդի չորացման համար օգտագործվող խոնավության՝ այն կոնդենսացնելու եղանակով հեռացման սարքվածք.</w:t>
      </w:r>
    </w:p>
    <w:p w14:paraId="20EC700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թմբուկային տիպի չորացնող մեքենա օդափոխությամբ</w:t>
      </w:r>
      <w:r w:rsidRPr="00CA27E3">
        <w:rPr>
          <w:rFonts w:ascii="Sylfaen" w:hAnsi="Sylfaen"/>
          <w:sz w:val="24"/>
          <w:szCs w:val="24"/>
        </w:rPr>
        <w:t>՝ թմբուկային տիպի չորացնող մեքենա, որում շրջապատող տարածությունից մատուցվում է օդ, որն այնուհետ</w:t>
      </w:r>
      <w:r>
        <w:rPr>
          <w:rFonts w:ascii="Sylfaen" w:hAnsi="Sylfaen"/>
          <w:sz w:val="24"/>
          <w:szCs w:val="24"/>
        </w:rPr>
        <w:t>եւ</w:t>
      </w:r>
      <w:r w:rsidRPr="00CA27E3">
        <w:rPr>
          <w:rFonts w:ascii="Sylfaen" w:hAnsi="Sylfaen"/>
          <w:sz w:val="24"/>
          <w:szCs w:val="24"/>
        </w:rPr>
        <w:t xml:space="preserve"> անցնում է տեքստիլ արտադրատեսակի միջով </w:t>
      </w:r>
      <w:r>
        <w:rPr>
          <w:rFonts w:ascii="Sylfaen" w:hAnsi="Sylfaen"/>
          <w:sz w:val="24"/>
          <w:szCs w:val="24"/>
        </w:rPr>
        <w:t>եւ</w:t>
      </w:r>
      <w:r w:rsidRPr="00CA27E3">
        <w:rPr>
          <w:rFonts w:ascii="Sylfaen" w:hAnsi="Sylfaen"/>
          <w:sz w:val="24"/>
          <w:szCs w:val="24"/>
        </w:rPr>
        <w:t xml:space="preserve"> հեռացվում է դեպի տարածք կամ դեպի դուրս.</w:t>
      </w:r>
    </w:p>
    <w:p w14:paraId="2991D69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թմբուկային տիպի ոչ ավտոմատ չորացնող մեքենա</w:t>
      </w:r>
      <w:r w:rsidRPr="00CA27E3">
        <w:rPr>
          <w:rFonts w:ascii="Sylfaen" w:hAnsi="Sylfaen"/>
          <w:sz w:val="24"/>
          <w:szCs w:val="24"/>
        </w:rPr>
        <w:t>՝ թմբուկային տիպի չորացնող մեքենա, որում չորացման գործընթացն անջատվում է սովորաբար ժամանակակարգավորիչով վերահսկվող՝ նախապես որոշված ժամանակահատվածը լրանալուց հետո, բայց որը նա</w:t>
      </w:r>
      <w:r>
        <w:rPr>
          <w:rFonts w:ascii="Sylfaen" w:hAnsi="Sylfaen"/>
          <w:sz w:val="24"/>
          <w:szCs w:val="24"/>
        </w:rPr>
        <w:t>եւ</w:t>
      </w:r>
      <w:r w:rsidRPr="00CA27E3">
        <w:rPr>
          <w:rFonts w:ascii="Sylfaen" w:hAnsi="Sylfaen"/>
          <w:sz w:val="24"/>
          <w:szCs w:val="24"/>
        </w:rPr>
        <w:t xml:space="preserve"> կարող է ձեռքով անջատվել.</w:t>
      </w:r>
    </w:p>
    <w:p w14:paraId="5AE14A5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անվանական տարողություն</w:t>
      </w:r>
      <w:r w:rsidRPr="00CA27E3">
        <w:rPr>
          <w:rFonts w:ascii="Sylfaen" w:hAnsi="Sylfaen"/>
          <w:sz w:val="24"/>
          <w:szCs w:val="24"/>
        </w:rPr>
        <w:t xml:space="preserve">՝ որոշակի տիպի չոր տեքստիլ արտադրատեսակների՝ արտադրողի հրահանգում նշված՝ կիլոգրամներով արտահայտված առավելագույն զանգված՝ 0,5 կգ քայլով, որը կարող է ընտրված ծրագրի դեպքում բեռնվել կենցաղային չորացնող մեքենայում. </w:t>
      </w:r>
    </w:p>
    <w:p w14:paraId="0FEE11B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ծրագիր՝</w:t>
      </w:r>
      <w:r w:rsidRPr="00CA27E3">
        <w:rPr>
          <w:rFonts w:ascii="Sylfaen" w:hAnsi="Sylfaen"/>
          <w:sz w:val="24"/>
          <w:szCs w:val="24"/>
        </w:rPr>
        <w:t xml:space="preserve"> նախապես սահմանված </w:t>
      </w:r>
      <w:r>
        <w:rPr>
          <w:rFonts w:ascii="Sylfaen" w:hAnsi="Sylfaen"/>
          <w:sz w:val="24"/>
          <w:szCs w:val="24"/>
        </w:rPr>
        <w:t>եւ</w:t>
      </w:r>
      <w:r w:rsidRPr="00CA27E3">
        <w:rPr>
          <w:rFonts w:ascii="Sylfaen" w:hAnsi="Sylfaen"/>
          <w:sz w:val="24"/>
          <w:szCs w:val="24"/>
        </w:rPr>
        <w:t xml:space="preserve"> արտադրողի կողմից որպես որոշակի տեսակի տեքստիլ արտադրատեսակների չորացման համար հարմար գործառությունների համակցություն.</w:t>
      </w:r>
    </w:p>
    <w:p w14:paraId="3B2AB46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ծրագրի տեւողություն՝</w:t>
      </w:r>
      <w:r w:rsidRPr="00CA27E3">
        <w:rPr>
          <w:rFonts w:ascii="Sylfaen" w:hAnsi="Sylfaen"/>
          <w:sz w:val="24"/>
          <w:szCs w:val="24"/>
        </w:rPr>
        <w:t xml:space="preserve"> ծրագրի սկզբից մինչ</w:t>
      </w:r>
      <w:r>
        <w:rPr>
          <w:rFonts w:ascii="Sylfaen" w:hAnsi="Sylfaen"/>
          <w:sz w:val="24"/>
          <w:szCs w:val="24"/>
        </w:rPr>
        <w:t>եւ</w:t>
      </w:r>
      <w:r w:rsidRPr="00CA27E3">
        <w:rPr>
          <w:rFonts w:ascii="Sylfaen" w:hAnsi="Sylfaen"/>
          <w:sz w:val="24"/>
          <w:szCs w:val="24"/>
        </w:rPr>
        <w:t xml:space="preserve"> դրա ավարտն ընկած ժամանակի տիրույթի տ</w:t>
      </w:r>
      <w:r>
        <w:rPr>
          <w:rFonts w:ascii="Sylfaen" w:hAnsi="Sylfaen"/>
          <w:sz w:val="24"/>
          <w:szCs w:val="24"/>
        </w:rPr>
        <w:t>եւ</w:t>
      </w:r>
      <w:r w:rsidRPr="00CA27E3">
        <w:rPr>
          <w:rFonts w:ascii="Sylfaen" w:hAnsi="Sylfaen"/>
          <w:sz w:val="24"/>
          <w:szCs w:val="24"/>
        </w:rPr>
        <w:t>ողություն՝ բացառությամբ օգտագործողի կողմից ծրագրի աշխատանքում մտցված ցանկացած հապաղման.</w:t>
      </w:r>
    </w:p>
    <w:p w14:paraId="7058D21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անջատման ռեժիմ՝</w:t>
      </w:r>
      <w:r w:rsidRPr="00CA27E3">
        <w:rPr>
          <w:rFonts w:ascii="Sylfaen" w:hAnsi="Sylfaen"/>
          <w:sz w:val="24"/>
          <w:szCs w:val="24"/>
        </w:rPr>
        <w:t xml:space="preserve"> վիճակ, որի ժամանակ թմբուկային տիպի չորացնող մեքենան անջատվում է բնականոն շահագործման ժամանակ օգտագործողի համար մատչելի կառավարման սարքի կամ փոխարկիչի օգնությամբ՝ ցածր էներգասպառման հասնելու նպատակով, </w:t>
      </w:r>
      <w:r>
        <w:rPr>
          <w:rFonts w:ascii="Sylfaen" w:hAnsi="Sylfaen"/>
          <w:sz w:val="24"/>
          <w:szCs w:val="24"/>
        </w:rPr>
        <w:t>եւ</w:t>
      </w:r>
      <w:r w:rsidRPr="00CA27E3">
        <w:rPr>
          <w:rFonts w:ascii="Sylfaen" w:hAnsi="Sylfaen"/>
          <w:sz w:val="24"/>
          <w:szCs w:val="24"/>
        </w:rPr>
        <w:t xml:space="preserve"> որը կարող է երկար ժամանակ պահպանվել քանի դեռ թմբուկային տիպի կենցաղային չորացնող մեքենան </w:t>
      </w:r>
      <w:r w:rsidRPr="00CA27E3">
        <w:rPr>
          <w:rFonts w:ascii="Sylfaen" w:hAnsi="Sylfaen"/>
          <w:sz w:val="24"/>
          <w:szCs w:val="24"/>
        </w:rPr>
        <w:lastRenderedPageBreak/>
        <w:t xml:space="preserve">միացված է էլեկտրասնման աղբյուրին </w:t>
      </w:r>
      <w:r>
        <w:rPr>
          <w:rFonts w:ascii="Sylfaen" w:hAnsi="Sylfaen"/>
          <w:sz w:val="24"/>
          <w:szCs w:val="24"/>
        </w:rPr>
        <w:t>եւ</w:t>
      </w:r>
      <w:r w:rsidRPr="00CA27E3">
        <w:rPr>
          <w:rFonts w:ascii="Sylfaen" w:hAnsi="Sylfaen"/>
          <w:sz w:val="24"/>
          <w:szCs w:val="24"/>
        </w:rPr>
        <w:t xml:space="preserve"> օգտագործվում է արտադրողի հարահանգին համապատասխան (ընդ որում՝ բացակայում են օգտագործողի համար մատչելի կառավարման կամ փոխարկման միջոցները).</w:t>
      </w:r>
    </w:p>
    <w:p w14:paraId="1A80153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սպասման ռեժիմ՝</w:t>
      </w:r>
      <w:r w:rsidRPr="00CA27E3">
        <w:rPr>
          <w:rFonts w:ascii="Sylfaen" w:hAnsi="Sylfaen"/>
          <w:sz w:val="24"/>
          <w:szCs w:val="24"/>
        </w:rPr>
        <w:t xml:space="preserve"> նվազագույն էլեկտրաէներգիայի սպառմամբ ռեժիմ, որը կարող է ծրագրի ավարտից հետո անորոշ ժամանակ պահպանվել՝ առանց օգտագործողի միջամտության անհրաժեշտության՝ բացառությամբ չորացնող մեքենայից տեքստիլ արտադրատեսակների բեռնաթափման.</w:t>
      </w:r>
    </w:p>
    <w:p w14:paraId="3EBBCC8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0809D3">
        <w:rPr>
          <w:rFonts w:ascii="Sylfaen" w:hAnsi="Sylfaen"/>
          <w:b/>
          <w:sz w:val="24"/>
          <w:szCs w:val="24"/>
        </w:rPr>
        <w:t>«բամբակ» ստանդարտ ծրագիր</w:t>
      </w:r>
      <w:r w:rsidRPr="00CA27E3">
        <w:rPr>
          <w:rFonts w:ascii="Sylfaen" w:hAnsi="Sylfaen"/>
          <w:sz w:val="24"/>
          <w:szCs w:val="24"/>
        </w:rPr>
        <w:t>՝ բամբակից տեքստիլ արտադրատեսակների լվացքից հետո չորացման ցիկլ՝ արտադրատեսակում խոնավության 60% սկզբնական պարունակությամբ՝ մինչ</w:t>
      </w:r>
      <w:r>
        <w:rPr>
          <w:rFonts w:ascii="Sylfaen" w:hAnsi="Sylfaen"/>
          <w:sz w:val="24"/>
          <w:szCs w:val="24"/>
        </w:rPr>
        <w:t>եւ</w:t>
      </w:r>
      <w:r w:rsidRPr="00CA27E3">
        <w:rPr>
          <w:rFonts w:ascii="Sylfaen" w:hAnsi="Sylfaen"/>
          <w:sz w:val="24"/>
          <w:szCs w:val="24"/>
        </w:rPr>
        <w:t xml:space="preserve"> դրանցում խոնավության 0% վերջնական պարունակություն.</w:t>
      </w:r>
    </w:p>
    <w:p w14:paraId="45A3460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ցիկլ՝</w:t>
      </w:r>
      <w:r w:rsidRPr="00CA27E3">
        <w:rPr>
          <w:rFonts w:ascii="Sylfaen" w:hAnsi="Sylfaen"/>
          <w:sz w:val="24"/>
          <w:szCs w:val="24"/>
        </w:rPr>
        <w:t xml:space="preserve"> ընտրված ծրագրի համար դրված՝ չորացման գործընթացի գործառությունների ամբողջական հերթականություն.</w:t>
      </w:r>
    </w:p>
    <w:p w14:paraId="23C2E16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մասնակի բեռնում՝</w:t>
      </w:r>
      <w:r w:rsidRPr="00CA27E3">
        <w:rPr>
          <w:rFonts w:ascii="Sylfaen" w:hAnsi="Sylfaen"/>
          <w:sz w:val="24"/>
          <w:szCs w:val="24"/>
        </w:rPr>
        <w:t xml:space="preserve"> տրված ծրագրի դեպքում կենցաղային չորացնող մեքենայի անվանական բեռնման կես.</w:t>
      </w:r>
    </w:p>
    <w:p w14:paraId="064DD1E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կոնդենսացման արդյունավետություն՝</w:t>
      </w:r>
      <w:r>
        <w:rPr>
          <w:rFonts w:ascii="Sylfaen" w:hAnsi="Sylfaen"/>
          <w:sz w:val="24"/>
          <w:szCs w:val="24"/>
        </w:rPr>
        <w:t xml:space="preserve"> </w:t>
      </w:r>
      <w:r w:rsidRPr="00CA27E3">
        <w:rPr>
          <w:rFonts w:ascii="Sylfaen" w:hAnsi="Sylfaen"/>
          <w:sz w:val="24"/>
          <w:szCs w:val="24"/>
        </w:rPr>
        <w:t>թմբուկային տիպի չորացնող մեքենայի կոնդենսատորում կոնդենսացվող խոնավության զանգվածի հարաբերությունը ցիկլի ընթացքում հագուստից արտազատված խոնավությանը:</w:t>
      </w:r>
    </w:p>
    <w:p w14:paraId="72799E0B" w14:textId="77777777" w:rsidR="00CA27E3" w:rsidRPr="00CA27E3" w:rsidRDefault="00CA27E3" w:rsidP="00CA27E3">
      <w:pPr>
        <w:spacing w:after="160" w:line="360" w:lineRule="auto"/>
        <w:ind w:firstLine="567"/>
        <w:jc w:val="both"/>
        <w:rPr>
          <w:rFonts w:ascii="Sylfaen" w:hAnsi="Sylfaen"/>
        </w:rPr>
      </w:pPr>
    </w:p>
    <w:p w14:paraId="3EB10F1F" w14:textId="77777777" w:rsidR="00CA27E3" w:rsidRPr="00CA27E3" w:rsidRDefault="00CA27E3" w:rsidP="00647F3B">
      <w:pPr>
        <w:pStyle w:val="Bodytext212"/>
        <w:shd w:val="clear" w:color="auto" w:fill="auto"/>
        <w:spacing w:after="160" w:line="360" w:lineRule="auto"/>
        <w:ind w:left="567" w:right="566" w:firstLine="0"/>
        <w:jc w:val="center"/>
        <w:rPr>
          <w:rFonts w:ascii="Sylfaen" w:hAnsi="Sylfaen"/>
          <w:sz w:val="24"/>
          <w:szCs w:val="24"/>
        </w:rPr>
      </w:pPr>
      <w:r w:rsidRPr="00CA27E3">
        <w:rPr>
          <w:rFonts w:ascii="Sylfaen" w:hAnsi="Sylfaen"/>
          <w:sz w:val="24"/>
          <w:szCs w:val="24"/>
        </w:rPr>
        <w:t xml:space="preserve">III. Չորացնող մեքենաների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299DED4F" w14:textId="77777777" w:rsidR="00923537"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3.</w:t>
      </w:r>
      <w:r w:rsidR="00647F3B" w:rsidRPr="00647F3B">
        <w:rPr>
          <w:rFonts w:ascii="Sylfaen" w:hAnsi="Sylfaen"/>
          <w:sz w:val="24"/>
          <w:szCs w:val="24"/>
        </w:rPr>
        <w:tab/>
      </w:r>
      <w:r w:rsidRPr="00CA27E3">
        <w:rPr>
          <w:rFonts w:ascii="Sylfaen" w:hAnsi="Sylfaen"/>
          <w:sz w:val="24"/>
          <w:szCs w:val="24"/>
        </w:rPr>
        <w:t xml:space="preserve">Չորացնող մեքենայի համար պետք է անցկացվեն համապատասխան փորձարկումներ (չափումներ) </w:t>
      </w:r>
      <w:r>
        <w:rPr>
          <w:rFonts w:ascii="Sylfaen" w:hAnsi="Sylfaen"/>
          <w:sz w:val="24"/>
          <w:szCs w:val="24"/>
        </w:rPr>
        <w:t>եւ</w:t>
      </w:r>
      <w:r w:rsidRPr="00CA27E3">
        <w:rPr>
          <w:rFonts w:ascii="Sylfaen" w:hAnsi="Sylfaen"/>
          <w:sz w:val="24"/>
          <w:szCs w:val="24"/>
        </w:rPr>
        <w:t xml:space="preserve"> որոշվեն էներգետիկ արդյունավետության ինդեքսի (EEI) ու կոնդենսացման արդյունավետության արժեքները:</w:t>
      </w:r>
    </w:p>
    <w:p w14:paraId="2AA5A965" w14:textId="77777777" w:rsidR="00923537" w:rsidRDefault="00923537">
      <w:pPr>
        <w:rPr>
          <w:rFonts w:ascii="Sylfaen" w:eastAsia="Times New Roman" w:hAnsi="Sylfaen" w:cs="Times New Roman"/>
        </w:rPr>
      </w:pPr>
      <w:r>
        <w:rPr>
          <w:rFonts w:ascii="Sylfaen" w:hAnsi="Sylfaen"/>
        </w:rPr>
        <w:br w:type="page"/>
      </w:r>
    </w:p>
    <w:p w14:paraId="30605C4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 xml:space="preserve">Չորացնող մեքենաների էլեկտրաէներգիայի սպառման </w:t>
      </w:r>
      <w:r>
        <w:rPr>
          <w:rFonts w:ascii="Sylfaen" w:hAnsi="Sylfaen"/>
          <w:sz w:val="24"/>
          <w:szCs w:val="24"/>
        </w:rPr>
        <w:t>եւ</w:t>
      </w:r>
      <w:r w:rsidRPr="00CA27E3">
        <w:rPr>
          <w:rFonts w:ascii="Sylfaen" w:hAnsi="Sylfaen"/>
          <w:sz w:val="24"/>
          <w:szCs w:val="24"/>
        </w:rPr>
        <w:t xml:space="preserve"> այլ պարամետրերի հաշվարկման համար պետք է օգտագործվի «բամբակ» ստանդարտ ծրագիրը: Այս ծրագիրը պետք է նշված լինի չորացնող մեքենայի ծրագրի ընտրության սարքվածքում (սարքվածքներում), դրա ցուցասարքի վրա (առկայության դեպքում) կամ միաժամանակ երկու տեղերում՝ պայմանանշաններից մեկով կամ պայմանանշանների համակցությամբ, </w:t>
      </w:r>
      <w:r>
        <w:rPr>
          <w:rFonts w:ascii="Sylfaen" w:hAnsi="Sylfaen"/>
          <w:sz w:val="24"/>
          <w:szCs w:val="24"/>
        </w:rPr>
        <w:t>եւ</w:t>
      </w:r>
      <w:r w:rsidRPr="00CA27E3">
        <w:rPr>
          <w:rFonts w:ascii="Sylfaen" w:hAnsi="Sylfaen"/>
          <w:sz w:val="24"/>
          <w:szCs w:val="24"/>
        </w:rPr>
        <w:t xml:space="preserve"> պետք է սկզբնադրված լինի որպես ծրագրի ավտոմատ ընտրությամբ կամ չորացման ծրագրի ավտոմատ ընտրության կամ ծրագրի ընտրության պահպանման ցանկացած ֆունկցիայով հանդերձված չորացնող մեքենայի աշխատանքային ցիկլ: Եթե չորացնող մեքենան ավտոմատ է, ապա «բամբակ» ստանդարտ ծրագիրը նույնպես պետք է ավտոմատ լինի:</w:t>
      </w:r>
    </w:p>
    <w:p w14:paraId="7BC13921"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4.</w:t>
      </w:r>
      <w:r w:rsidR="00647F3B" w:rsidRPr="00647F3B">
        <w:rPr>
          <w:rFonts w:ascii="Sylfaen" w:hAnsi="Sylfaen"/>
          <w:sz w:val="24"/>
          <w:szCs w:val="24"/>
        </w:rPr>
        <w:tab/>
      </w:r>
      <w:r w:rsidRPr="00CA27E3">
        <w:rPr>
          <w:rFonts w:ascii="Sylfaen" w:hAnsi="Sylfaen"/>
          <w:sz w:val="24"/>
          <w:szCs w:val="24"/>
        </w:rPr>
        <w:t>Չորացնող մեքենայի էներգետիկ արդյունավետության ցուցիչը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1 տասնորդական նիշ կլորացմամբ)՝</w:t>
      </w:r>
    </w:p>
    <w:p w14:paraId="3EB9944F" w14:textId="77777777" w:rsidR="00CA27E3" w:rsidRPr="00CA27E3" w:rsidRDefault="00CA27E3" w:rsidP="00CA27E3">
      <w:pPr>
        <w:spacing w:after="160" w:line="360" w:lineRule="auto"/>
        <w:jc w:val="center"/>
        <w:rPr>
          <w:rFonts w:ascii="Sylfaen" w:hAnsi="Sylfaen"/>
        </w:rPr>
      </w:pPr>
      <m:oMathPara>
        <m:oMath>
          <m:r>
            <m:rPr>
              <m:sty m:val="p"/>
            </m:rPr>
            <w:rPr>
              <w:rFonts w:ascii="Cambria Math" w:hAnsi="Sylfaen"/>
            </w:rPr>
            <m:t>EEI=</m:t>
          </m:r>
          <m:f>
            <m:fPr>
              <m:ctrlPr>
                <w:rPr>
                  <w:rFonts w:ascii="Cambria Math" w:hAnsi="Sylfaen"/>
                  <w:i/>
                </w:rPr>
              </m:ctrlPr>
            </m:fPr>
            <m:num>
              <m:sSub>
                <m:sSubPr>
                  <m:ctrlPr>
                    <w:rPr>
                      <w:rFonts w:ascii="Cambria Math" w:hAnsi="Sylfaen"/>
                      <w:i/>
                    </w:rPr>
                  </m:ctrlPr>
                </m:sSubPr>
                <m:e>
                  <m:r>
                    <w:rPr>
                      <w:rFonts w:ascii="Cambria Math" w:hAnsi="Cambria Math"/>
                    </w:rPr>
                    <m:t>AE</m:t>
                  </m:r>
                </m:e>
                <m:sub>
                  <m:r>
                    <w:rPr>
                      <w:rFonts w:ascii="Cambria Math" w:hAnsi="Cambria Math"/>
                    </w:rPr>
                    <m:t>C</m:t>
                  </m:r>
                </m:sub>
              </m:sSub>
            </m:num>
            <m:den>
              <m:sSub>
                <m:sSubPr>
                  <m:ctrlPr>
                    <w:rPr>
                      <w:rFonts w:ascii="Cambria Math" w:hAnsi="Sylfaen"/>
                      <w:i/>
                    </w:rPr>
                  </m:ctrlPr>
                </m:sSubPr>
                <m:e>
                  <m:r>
                    <w:rPr>
                      <w:rFonts w:ascii="Cambria Math" w:hAnsi="Cambria Math"/>
                    </w:rPr>
                    <m:t>SAE</m:t>
                  </m:r>
                </m:e>
                <m:sub>
                  <m:r>
                    <w:rPr>
                      <w:rFonts w:ascii="Cambria Math" w:hAnsi="Cambria Math"/>
                    </w:rPr>
                    <m:t>C</m:t>
                  </m:r>
                </m:sub>
              </m:sSub>
            </m:den>
          </m:f>
          <m:r>
            <w:rPr>
              <w:rFonts w:ascii="Cambria Math" w:hAnsi="Sylfaen"/>
            </w:rPr>
            <m:t>×</m:t>
          </m:r>
          <m:r>
            <w:rPr>
              <w:rFonts w:ascii="Cambria Math" w:hAnsi="Sylfaen"/>
            </w:rPr>
            <m:t>100,</m:t>
          </m:r>
        </m:oMath>
      </m:oMathPara>
    </w:p>
    <w:p w14:paraId="707B7523" w14:textId="77777777" w:rsidR="00CA27E3" w:rsidRPr="00CA27E3" w:rsidRDefault="00CA27E3" w:rsidP="00923537">
      <w:pPr>
        <w:spacing w:after="160" w:line="341" w:lineRule="auto"/>
        <w:rPr>
          <w:rFonts w:ascii="Sylfaen" w:hAnsi="Sylfaen"/>
        </w:rPr>
      </w:pPr>
    </w:p>
    <w:p w14:paraId="4B49A2C5"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որտեղ՝</w:t>
      </w:r>
    </w:p>
    <w:p w14:paraId="62F63E80"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AE</w:t>
      </w:r>
      <w:r w:rsidRPr="00CA27E3">
        <w:rPr>
          <w:rFonts w:ascii="Sylfaen" w:hAnsi="Sylfaen"/>
          <w:sz w:val="24"/>
          <w:szCs w:val="24"/>
          <w:vertAlign w:val="subscript"/>
        </w:rPr>
        <w:t>C-</w:t>
      </w:r>
      <w:r w:rsidRPr="00CA27E3">
        <w:rPr>
          <w:rFonts w:ascii="Sylfaen" w:hAnsi="Sylfaen"/>
          <w:sz w:val="24"/>
          <w:szCs w:val="24"/>
        </w:rPr>
        <w:t>ը՝ չորացնող մեքենայով էլեկտրաէներգիայի տարեկան սպառումն է.</w:t>
      </w:r>
    </w:p>
    <w:p w14:paraId="1BC893A9"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ը՝ չորացնող մեքենայով էլեկտրաէներգիայի տարեկան ստանդարտ սպառումն է.</w:t>
      </w:r>
    </w:p>
    <w:p w14:paraId="78D58818"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-ն հաշվարկվում է (կՎտ·ժ/տարի-ով) հետ</w:t>
      </w:r>
      <w:r>
        <w:rPr>
          <w:rFonts w:ascii="Sylfaen" w:hAnsi="Sylfaen"/>
          <w:sz w:val="24"/>
          <w:szCs w:val="24"/>
        </w:rPr>
        <w:t>եւ</w:t>
      </w:r>
      <w:r w:rsidRPr="00CA27E3">
        <w:rPr>
          <w:rFonts w:ascii="Sylfaen" w:hAnsi="Sylfaen"/>
          <w:sz w:val="24"/>
          <w:szCs w:val="24"/>
        </w:rPr>
        <w:t>յալ կերպ (արդյունքը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32D2E86C"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SAE</w:t>
      </w:r>
      <w:r w:rsidRPr="00CA27E3">
        <w:rPr>
          <w:rFonts w:ascii="Sylfaen" w:hAnsi="Sylfaen"/>
          <w:sz w:val="24"/>
          <w:szCs w:val="24"/>
          <w:vertAlign w:val="subscript"/>
        </w:rPr>
        <w:t>C</w:t>
      </w:r>
      <w:r w:rsidRPr="00CA27E3">
        <w:rPr>
          <w:rFonts w:ascii="Sylfaen" w:hAnsi="Sylfaen"/>
          <w:sz w:val="24"/>
          <w:szCs w:val="24"/>
        </w:rPr>
        <w:t xml:space="preserve"> = 140 × c</w:t>
      </w:r>
      <w:r w:rsidRPr="00CA27E3">
        <w:rPr>
          <w:rFonts w:ascii="Sylfaen" w:hAnsi="Sylfaen"/>
          <w:sz w:val="24"/>
          <w:szCs w:val="24"/>
          <w:vertAlign w:val="superscript"/>
        </w:rPr>
        <w:t>0,8-</w:t>
      </w:r>
      <w:r w:rsidRPr="00CA27E3">
        <w:rPr>
          <w:rFonts w:ascii="Sylfaen" w:hAnsi="Sylfaen"/>
          <w:sz w:val="24"/>
          <w:szCs w:val="24"/>
        </w:rPr>
        <w:t>ը՝ առանց օդափոխության չորացնող մեքենաների համար.</w:t>
      </w:r>
    </w:p>
    <w:p w14:paraId="602B39B2" w14:textId="77777777" w:rsidR="00CA27E3" w:rsidRPr="00CA27E3" w:rsidRDefault="00000000" w:rsidP="00923537">
      <w:pPr>
        <w:pStyle w:val="Bodytext212"/>
        <w:shd w:val="clear" w:color="auto" w:fill="auto"/>
        <w:spacing w:after="160" w:line="341" w:lineRule="auto"/>
        <w:ind w:firstLine="567"/>
        <w:jc w:val="both"/>
        <w:rPr>
          <w:rFonts w:ascii="Sylfaen" w:hAnsi="Sylfaen"/>
          <w:sz w:val="24"/>
          <w:szCs w:val="24"/>
        </w:rPr>
      </w:pPr>
      <m:oMath>
        <m:sSub>
          <m:sSubPr>
            <m:ctrlPr>
              <w:rPr>
                <w:rFonts w:ascii="Cambria Math" w:hAnsi="Sylfaen"/>
                <w:i/>
                <w:sz w:val="24"/>
                <w:szCs w:val="24"/>
              </w:rPr>
            </m:ctrlPr>
          </m:sSubPr>
          <m:e>
            <m:r>
              <m:rPr>
                <m:sty m:val="p"/>
              </m:rPr>
              <w:rPr>
                <w:rFonts w:ascii="Cambria Math" w:hAnsi="Sylfaen"/>
                <w:sz w:val="24"/>
                <w:szCs w:val="24"/>
              </w:rPr>
              <m:t>SAE</m:t>
            </m:r>
          </m:e>
          <m:sub>
            <m:r>
              <m:rPr>
                <m:sty m:val="p"/>
              </m:rPr>
              <w:rPr>
                <w:rFonts w:ascii="Cambria Math" w:hAnsi="Sylfaen"/>
                <w:sz w:val="24"/>
                <w:szCs w:val="24"/>
              </w:rPr>
              <m:t>C</m:t>
            </m:r>
          </m:sub>
        </m:sSub>
        <m:r>
          <w:rPr>
            <w:rFonts w:ascii="Cambria Math" w:hAnsi="Sylfaen"/>
            <w:sz w:val="24"/>
            <w:szCs w:val="24"/>
          </w:rPr>
          <m:t>=140</m:t>
        </m:r>
        <m:r>
          <w:rPr>
            <w:rFonts w:ascii="Cambria Math" w:hAnsi="Sylfaen"/>
            <w:sz w:val="24"/>
            <w:szCs w:val="24"/>
          </w:rPr>
          <m:t>×</m:t>
        </m:r>
        <m:sSup>
          <m:sSupPr>
            <m:ctrlPr>
              <w:rPr>
                <w:rFonts w:ascii="Cambria Math" w:hAnsi="Sylfaen"/>
                <w:i/>
                <w:sz w:val="24"/>
                <w:szCs w:val="24"/>
              </w:rPr>
            </m:ctrlPr>
          </m:sSupPr>
          <m:e>
            <m:r>
              <m:rPr>
                <m:sty m:val="p"/>
              </m:rPr>
              <w:rPr>
                <w:rFonts w:ascii="Cambria Math" w:hAnsi="Sylfaen"/>
                <w:sz w:val="24"/>
                <w:szCs w:val="24"/>
              </w:rPr>
              <m:t>C</m:t>
            </m:r>
          </m:e>
          <m:sup>
            <m:r>
              <w:rPr>
                <w:rFonts w:ascii="Cambria Math" w:hAnsi="Sylfaen"/>
                <w:sz w:val="24"/>
                <w:szCs w:val="24"/>
              </w:rPr>
              <m:t>0,8</m:t>
            </m:r>
          </m:sup>
        </m:sSup>
        <m:r>
          <w:rPr>
            <w:rFonts w:ascii="Cambria Math" w:hAnsi="Sylfaen"/>
            <w:sz w:val="24"/>
            <w:szCs w:val="24"/>
          </w:rPr>
          <m:t>-</m:t>
        </m:r>
        <m:r>
          <w:rPr>
            <w:rFonts w:ascii="Cambria Math" w:hAnsi="Sylfaen"/>
            <w:sz w:val="24"/>
            <w:szCs w:val="24"/>
          </w:rPr>
          <m:t>(30</m:t>
        </m:r>
        <m:r>
          <w:rPr>
            <w:rFonts w:ascii="Cambria Math" w:hAnsi="Sylfaen"/>
            <w:sz w:val="24"/>
            <w:szCs w:val="24"/>
          </w:rPr>
          <m:t>×</m:t>
        </m:r>
        <m:f>
          <m:fPr>
            <m:ctrlPr>
              <w:rPr>
                <w:rFonts w:ascii="Cambria Math" w:hAnsi="Sylfaen"/>
                <w:i/>
                <w:sz w:val="24"/>
                <w:szCs w:val="24"/>
              </w:rPr>
            </m:ctrlPr>
          </m:fPr>
          <m:num>
            <m:sSub>
              <m:sSubPr>
                <m:ctrlPr>
                  <w:rPr>
                    <w:rFonts w:ascii="Cambria Math" w:hAnsi="Sylfaen"/>
                    <w:i/>
                    <w:sz w:val="24"/>
                    <w:szCs w:val="24"/>
                  </w:rPr>
                </m:ctrlPr>
              </m:sSubPr>
              <m:e>
                <m:r>
                  <w:rPr>
                    <w:rFonts w:ascii="Cambria Math" w:hAnsi="Cambria Math"/>
                    <w:sz w:val="24"/>
                    <w:szCs w:val="24"/>
                  </w:rPr>
                  <m:t>T</m:t>
                </m:r>
              </m:e>
              <m:sub>
                <m:r>
                  <w:rPr>
                    <w:rFonts w:ascii="Cambria Math" w:hAnsi="Cambria Math"/>
                    <w:sz w:val="24"/>
                    <w:szCs w:val="24"/>
                  </w:rPr>
                  <m:t>t</m:t>
                </m:r>
              </m:sub>
            </m:sSub>
          </m:num>
          <m:den>
            <m:r>
              <w:rPr>
                <w:rFonts w:ascii="Cambria Math" w:hAnsi="Sylfaen"/>
                <w:sz w:val="24"/>
                <w:szCs w:val="24"/>
              </w:rPr>
              <m:t>60</m:t>
            </m:r>
          </m:den>
        </m:f>
        <m:r>
          <w:rPr>
            <w:rFonts w:ascii="Cambria Math" w:hAnsi="Sylfaen"/>
            <w:sz w:val="24"/>
            <w:szCs w:val="24"/>
          </w:rPr>
          <m:t>)</m:t>
        </m:r>
      </m:oMath>
      <w:r w:rsidR="00CA27E3" w:rsidRPr="00CA27E3">
        <w:rPr>
          <w:rFonts w:ascii="Sylfaen" w:hAnsi="Sylfaen"/>
          <w:sz w:val="24"/>
          <w:szCs w:val="24"/>
        </w:rPr>
        <w:t>՝ օդափոխությամբ չորացնող մեքենաների համար.</w:t>
      </w:r>
    </w:p>
    <w:p w14:paraId="75513FEC"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որտեղ՝</w:t>
      </w:r>
    </w:p>
    <w:p w14:paraId="490E2DE8"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с-ն՝ «բամբակ» ստանդարտ ծրագրի համար չորացնող մեքենայի անվանական բեռվածքն է.</w:t>
      </w:r>
    </w:p>
    <w:p w14:paraId="4003E9C9" w14:textId="77777777" w:rsidR="00CA27E3" w:rsidRPr="00647F3B" w:rsidRDefault="00CA27E3" w:rsidP="00CA27E3">
      <w:pPr>
        <w:pStyle w:val="Bodytext212"/>
        <w:shd w:val="clear" w:color="auto" w:fill="auto"/>
        <w:spacing w:after="160" w:line="360" w:lineRule="auto"/>
        <w:ind w:firstLine="567"/>
        <w:jc w:val="both"/>
        <w:rPr>
          <w:rFonts w:ascii="Sylfaen" w:hAnsi="Sylfaen"/>
          <w:spacing w:val="-6"/>
          <w:sz w:val="24"/>
          <w:szCs w:val="24"/>
        </w:rPr>
      </w:pPr>
      <w:r w:rsidRPr="00647F3B">
        <w:rPr>
          <w:rFonts w:ascii="Sylfaen" w:hAnsi="Sylfaen"/>
          <w:spacing w:val="-6"/>
          <w:sz w:val="24"/>
          <w:szCs w:val="24"/>
        </w:rPr>
        <w:lastRenderedPageBreak/>
        <w:t>T</w:t>
      </w:r>
      <w:r w:rsidRPr="00647F3B">
        <w:rPr>
          <w:rFonts w:ascii="Sylfaen" w:hAnsi="Sylfaen"/>
          <w:spacing w:val="-6"/>
          <w:sz w:val="24"/>
          <w:szCs w:val="24"/>
          <w:vertAlign w:val="subscript"/>
        </w:rPr>
        <w:t>t</w:t>
      </w:r>
      <w:r w:rsidRPr="00647F3B">
        <w:rPr>
          <w:rFonts w:ascii="Sylfaen" w:hAnsi="Sylfaen"/>
          <w:spacing w:val="-6"/>
          <w:sz w:val="24"/>
          <w:szCs w:val="24"/>
        </w:rPr>
        <w:t>-ն ՝ «բամբակ» ստանդարտ ծրագրի համար ծրագրի կշռված տեւողությունն է:</w:t>
      </w:r>
    </w:p>
    <w:p w14:paraId="712C88F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Էլեկտրաէներգիայի տարեկան սպառումը (AE</w:t>
      </w:r>
      <w:r w:rsidRPr="00CA27E3">
        <w:rPr>
          <w:rFonts w:ascii="Sylfaen" w:hAnsi="Sylfaen"/>
          <w:sz w:val="24"/>
          <w:szCs w:val="24"/>
          <w:vertAlign w:val="subscript"/>
        </w:rPr>
        <w:t>C</w:t>
      </w:r>
      <w:r w:rsidRPr="00CA27E3">
        <w:rPr>
          <w:rFonts w:ascii="Sylfaen" w:hAnsi="Sylfaen"/>
          <w:sz w:val="24"/>
          <w:szCs w:val="24"/>
        </w:rPr>
        <w:t>) (կՎտ·ժ/տարի)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(արդյունքը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548ED6AD" w14:textId="77777777" w:rsidR="00CA27E3" w:rsidRPr="00CA27E3" w:rsidRDefault="00000000" w:rsidP="00CA27E3">
      <w:pPr>
        <w:pStyle w:val="Bodytext131"/>
        <w:shd w:val="clear" w:color="auto" w:fill="auto"/>
        <w:spacing w:before="0" w:after="160" w:line="360" w:lineRule="auto"/>
        <w:rPr>
          <w:rStyle w:val="Bodytext130"/>
          <w:rFonts w:ascii="Sylfaen" w:hAnsi="Sylfaen"/>
          <w:sz w:val="24"/>
          <w:szCs w:val="24"/>
        </w:rPr>
      </w:pPr>
      <m:oMathPara>
        <m:oMathParaPr>
          <m:jc m:val="center"/>
        </m:oMathParaPr>
        <m:oMath>
          <m:sSub>
            <m:sSubPr>
              <m:ctrlPr>
                <w:rPr>
                  <w:rStyle w:val="Bodytext130"/>
                  <w:rFonts w:ascii="Cambria Math" w:hAnsi="Sylfaen"/>
                  <w:i/>
                  <w:sz w:val="24"/>
                  <w:szCs w:val="24"/>
                </w:rPr>
              </m:ctrlPr>
            </m:sSubPr>
            <m:e>
              <m:r>
                <m:rPr>
                  <m:sty m:val="p"/>
                </m:rPr>
                <w:rPr>
                  <w:rStyle w:val="Bodytext130"/>
                  <w:rFonts w:ascii="Cambria Math" w:hAnsi="Sylfaen"/>
                  <w:sz w:val="24"/>
                  <w:szCs w:val="24"/>
                </w:rPr>
                <m:t>AE</m:t>
              </m:r>
            </m:e>
            <m:sub>
              <m:r>
                <m:rPr>
                  <m:sty m:val="p"/>
                </m:rPr>
                <w:rPr>
                  <w:rStyle w:val="Bodytext130"/>
                  <w:rFonts w:ascii="Cambria Math" w:hAnsi="Sylfaen"/>
                  <w:sz w:val="24"/>
                  <w:szCs w:val="24"/>
                </w:rPr>
                <m:t>C</m:t>
              </m:r>
            </m:sub>
          </m:sSub>
          <m:r>
            <w:rPr>
              <w:rStyle w:val="Bodytext130"/>
              <w:rFonts w:ascii="Cambria Math" w:hAnsi="Sylfaen"/>
              <w:sz w:val="24"/>
              <w:szCs w:val="24"/>
            </w:rPr>
            <m:t>=</m:t>
          </m:r>
          <m:sSub>
            <m:sSubPr>
              <m:ctrlPr>
                <w:rPr>
                  <w:rStyle w:val="Bodytext130"/>
                  <w:rFonts w:ascii="Cambria Math" w:hAnsi="Sylfaen"/>
                  <w:i/>
                  <w:sz w:val="24"/>
                  <w:szCs w:val="24"/>
                </w:rPr>
              </m:ctrlPr>
            </m:sSubPr>
            <m:e>
              <m:r>
                <m:rPr>
                  <m:sty m:val="p"/>
                </m:rPr>
                <w:rPr>
                  <w:rStyle w:val="Bodytext130"/>
                  <w:rFonts w:ascii="Cambria Math" w:hAnsi="Sylfaen"/>
                  <w:sz w:val="24"/>
                  <w:szCs w:val="24"/>
                </w:rPr>
                <m:t>E</m:t>
              </m:r>
            </m:e>
            <m:sub>
              <m:r>
                <m:rPr>
                  <m:sty m:val="p"/>
                </m:rPr>
                <w:rPr>
                  <w:rStyle w:val="Bodytext130"/>
                  <w:rFonts w:ascii="Cambria Math" w:hAnsi="Sylfaen"/>
                  <w:sz w:val="24"/>
                  <w:szCs w:val="24"/>
                </w:rPr>
                <m:t>t</m:t>
              </m:r>
            </m:sub>
          </m:sSub>
          <m:r>
            <w:rPr>
              <w:rStyle w:val="Bodytext130"/>
              <w:rFonts w:ascii="Cambria Math" w:hAnsi="Sylfaen"/>
              <w:sz w:val="24"/>
              <w:szCs w:val="24"/>
            </w:rPr>
            <m:t>×</m:t>
          </m:r>
          <m:r>
            <w:rPr>
              <w:rStyle w:val="Bodytext130"/>
              <w:rFonts w:ascii="Cambria Math" w:hAnsi="Sylfaen"/>
              <w:sz w:val="24"/>
              <w:szCs w:val="24"/>
            </w:rPr>
            <m:t>160+</m:t>
          </m:r>
          <m:f>
            <m:fPr>
              <m:ctrlPr>
                <w:rPr>
                  <w:rStyle w:val="Bodytext130"/>
                  <w:rFonts w:ascii="Cambria Math" w:hAnsi="Sylfaen"/>
                  <w:i/>
                  <w:sz w:val="24"/>
                  <w:szCs w:val="24"/>
                </w:rPr>
              </m:ctrlPr>
            </m:fPr>
            <m:num>
              <m:d>
                <m:dPr>
                  <m:begChr m:val="["/>
                  <m:endChr m:val="]"/>
                  <m:ctrlPr>
                    <w:rPr>
                      <w:rStyle w:val="Bodytext130"/>
                      <w:rFonts w:ascii="Cambria Math" w:hAnsi="Sylfaen"/>
                      <w:i/>
                      <w:sz w:val="24"/>
                      <w:szCs w:val="24"/>
                    </w:rPr>
                  </m:ctrlPr>
                </m:dPr>
                <m:e>
                  <m:sSub>
                    <m:sSubPr>
                      <m:ctrlPr>
                        <w:rPr>
                          <w:rStyle w:val="Bodytext130"/>
                          <w:rFonts w:ascii="Cambria Math" w:hAnsi="Sylfaen"/>
                          <w:i/>
                          <w:sz w:val="24"/>
                          <w:szCs w:val="24"/>
                        </w:rPr>
                      </m:ctrlPr>
                    </m:sSubPr>
                    <m:e>
                      <m:r>
                        <w:rPr>
                          <w:rStyle w:val="Bodytext130"/>
                          <w:rFonts w:ascii="Cambria Math" w:hAnsi="Cambria Math"/>
                          <w:sz w:val="24"/>
                          <w:szCs w:val="24"/>
                        </w:rPr>
                        <m:t>P</m:t>
                      </m:r>
                    </m:e>
                    <m:sub>
                      <m:r>
                        <w:rPr>
                          <w:rStyle w:val="Bodytext130"/>
                          <w:rFonts w:ascii="Cambria Math" w:hAnsi="Cambria Math"/>
                          <w:sz w:val="24"/>
                          <w:szCs w:val="24"/>
                        </w:rPr>
                        <m:t>O</m:t>
                      </m:r>
                    </m:sub>
                  </m:sSub>
                  <m:r>
                    <w:rPr>
                      <w:rStyle w:val="Bodytext130"/>
                      <w:rFonts w:ascii="Cambria Math" w:hAnsi="Sylfaen"/>
                      <w:sz w:val="24"/>
                      <w:szCs w:val="24"/>
                    </w:rPr>
                    <m:t>×</m:t>
                  </m:r>
                  <m:f>
                    <m:fPr>
                      <m:ctrlPr>
                        <w:rPr>
                          <w:rStyle w:val="Bodytext130"/>
                          <w:rFonts w:ascii="Cambria Math" w:hAnsi="Sylfaen"/>
                          <w:i/>
                          <w:sz w:val="24"/>
                          <w:szCs w:val="24"/>
                        </w:rPr>
                      </m:ctrlPr>
                    </m:fPr>
                    <m:num>
                      <m:r>
                        <w:rPr>
                          <w:rStyle w:val="Bodytext130"/>
                          <w:rFonts w:ascii="Cambria Math" w:hAnsi="Sylfaen"/>
                          <w:sz w:val="24"/>
                          <w:szCs w:val="24"/>
                        </w:rPr>
                        <m:t>525600</m:t>
                      </m:r>
                      <m:r>
                        <w:rPr>
                          <w:rStyle w:val="Bodytext130"/>
                          <w:rFonts w:ascii="Sylfaen" w:hAnsi="Sylfaen"/>
                          <w:sz w:val="24"/>
                          <w:szCs w:val="24"/>
                        </w:rPr>
                        <m:t>-</m:t>
                      </m:r>
                      <m:r>
                        <w:rPr>
                          <w:rStyle w:val="Bodytext130"/>
                          <w:rFonts w:ascii="Cambria Math" w:hAnsi="Sylfaen"/>
                          <w:sz w:val="24"/>
                          <w:szCs w:val="24"/>
                        </w:rPr>
                        <m:t>(</m:t>
                      </m:r>
                      <m:sSub>
                        <m:sSubPr>
                          <m:ctrlPr>
                            <w:rPr>
                              <w:rStyle w:val="Bodytext130"/>
                              <w:rFonts w:ascii="Cambria Math" w:hAnsi="Sylfaen"/>
                              <w:i/>
                              <w:sz w:val="24"/>
                              <w:szCs w:val="24"/>
                            </w:rPr>
                          </m:ctrlPr>
                        </m:sSubPr>
                        <m:e>
                          <m:r>
                            <w:rPr>
                              <w:rStyle w:val="Bodytext130"/>
                              <w:rFonts w:ascii="Cambria Math" w:hAnsi="Cambria Math"/>
                              <w:sz w:val="24"/>
                              <w:szCs w:val="24"/>
                            </w:rPr>
                            <m:t>T</m:t>
                          </m:r>
                        </m:e>
                        <m:sub>
                          <m:r>
                            <w:rPr>
                              <w:rStyle w:val="Bodytext130"/>
                              <w:rFonts w:ascii="Cambria Math" w:hAnsi="Cambria Math"/>
                              <w:sz w:val="24"/>
                              <w:szCs w:val="24"/>
                            </w:rPr>
                            <m:t>t</m:t>
                          </m:r>
                        </m:sub>
                      </m:sSub>
                      <m:r>
                        <w:rPr>
                          <w:rStyle w:val="Bodytext130"/>
                          <w:rFonts w:ascii="Cambria Math" w:hAnsi="Sylfaen"/>
                          <w:sz w:val="24"/>
                          <w:szCs w:val="24"/>
                        </w:rPr>
                        <m:t>×</m:t>
                      </m:r>
                      <m:r>
                        <w:rPr>
                          <w:rStyle w:val="Bodytext130"/>
                          <w:rFonts w:ascii="Cambria Math" w:hAnsi="Sylfaen"/>
                          <w:sz w:val="24"/>
                          <w:szCs w:val="24"/>
                        </w:rPr>
                        <m:t>160)</m:t>
                      </m:r>
                    </m:num>
                    <m:den>
                      <m:r>
                        <w:rPr>
                          <w:rStyle w:val="Bodytext130"/>
                          <w:rFonts w:ascii="Cambria Math" w:hAnsi="Sylfaen"/>
                          <w:sz w:val="24"/>
                          <w:szCs w:val="24"/>
                        </w:rPr>
                        <m:t>2</m:t>
                      </m:r>
                    </m:den>
                  </m:f>
                  <m:r>
                    <w:rPr>
                      <w:rStyle w:val="Bodytext130"/>
                      <w:rFonts w:ascii="Cambria Math" w:hAnsi="Sylfaen"/>
                      <w:sz w:val="24"/>
                      <w:szCs w:val="24"/>
                    </w:rPr>
                    <m:t>+</m:t>
                  </m:r>
                  <m:sSub>
                    <m:sSubPr>
                      <m:ctrlPr>
                        <w:rPr>
                          <w:rStyle w:val="Bodytext130"/>
                          <w:rFonts w:ascii="Cambria Math" w:hAnsi="Sylfaen"/>
                          <w:i/>
                          <w:sz w:val="24"/>
                          <w:szCs w:val="24"/>
                        </w:rPr>
                      </m:ctrlPr>
                    </m:sSubPr>
                    <m:e>
                      <m:r>
                        <w:rPr>
                          <w:rStyle w:val="Bodytext130"/>
                          <w:rFonts w:ascii="Cambria Math" w:hAnsi="Cambria Math"/>
                          <w:sz w:val="24"/>
                          <w:szCs w:val="24"/>
                        </w:rPr>
                        <m:t>P</m:t>
                      </m:r>
                    </m:e>
                    <m:sub>
                      <m:r>
                        <w:rPr>
                          <w:rStyle w:val="Bodytext130"/>
                          <w:rFonts w:ascii="Cambria Math" w:hAnsi="Cambria Math"/>
                          <w:sz w:val="24"/>
                          <w:szCs w:val="24"/>
                        </w:rPr>
                        <m:t>I</m:t>
                      </m:r>
                    </m:sub>
                  </m:sSub>
                  <m:r>
                    <w:rPr>
                      <w:rStyle w:val="Bodytext130"/>
                      <w:rFonts w:ascii="Cambria Math" w:hAnsi="Sylfaen"/>
                      <w:sz w:val="24"/>
                      <w:szCs w:val="24"/>
                    </w:rPr>
                    <m:t>×</m:t>
                  </m:r>
                  <m:f>
                    <m:fPr>
                      <m:ctrlPr>
                        <w:rPr>
                          <w:rStyle w:val="Bodytext130"/>
                          <w:rFonts w:ascii="Cambria Math" w:hAnsi="Sylfaen"/>
                          <w:i/>
                          <w:sz w:val="24"/>
                          <w:szCs w:val="24"/>
                        </w:rPr>
                      </m:ctrlPr>
                    </m:fPr>
                    <m:num>
                      <m:r>
                        <w:rPr>
                          <w:rStyle w:val="Bodytext130"/>
                          <w:rFonts w:ascii="Cambria Math" w:hAnsi="Sylfaen"/>
                          <w:sz w:val="24"/>
                          <w:szCs w:val="24"/>
                        </w:rPr>
                        <m:t>525600</m:t>
                      </m:r>
                      <m:r>
                        <w:rPr>
                          <w:rStyle w:val="Bodytext130"/>
                          <w:rFonts w:ascii="Sylfaen" w:hAnsi="Sylfaen"/>
                          <w:sz w:val="24"/>
                          <w:szCs w:val="24"/>
                        </w:rPr>
                        <m:t>-</m:t>
                      </m:r>
                      <m:r>
                        <w:rPr>
                          <w:rStyle w:val="Bodytext130"/>
                          <w:rFonts w:ascii="Cambria Math" w:hAnsi="Sylfaen"/>
                          <w:sz w:val="24"/>
                          <w:szCs w:val="24"/>
                        </w:rPr>
                        <m:t>(</m:t>
                      </m:r>
                      <m:sSub>
                        <m:sSubPr>
                          <m:ctrlPr>
                            <w:rPr>
                              <w:rStyle w:val="Bodytext130"/>
                              <w:rFonts w:ascii="Cambria Math" w:hAnsi="Sylfaen"/>
                              <w:i/>
                              <w:sz w:val="24"/>
                              <w:szCs w:val="24"/>
                            </w:rPr>
                          </m:ctrlPr>
                        </m:sSubPr>
                        <m:e>
                          <m:r>
                            <w:rPr>
                              <w:rStyle w:val="Bodytext130"/>
                              <w:rFonts w:ascii="Cambria Math" w:hAnsi="Cambria Math"/>
                              <w:sz w:val="24"/>
                              <w:szCs w:val="24"/>
                            </w:rPr>
                            <m:t>T</m:t>
                          </m:r>
                        </m:e>
                        <m:sub>
                          <m:r>
                            <w:rPr>
                              <w:rStyle w:val="Bodytext130"/>
                              <w:rFonts w:ascii="Cambria Math" w:hAnsi="Cambria Math"/>
                              <w:sz w:val="24"/>
                              <w:szCs w:val="24"/>
                            </w:rPr>
                            <m:t>t</m:t>
                          </m:r>
                        </m:sub>
                      </m:sSub>
                      <m:r>
                        <w:rPr>
                          <w:rStyle w:val="Bodytext130"/>
                          <w:rFonts w:ascii="Cambria Math" w:hAnsi="Sylfaen"/>
                          <w:sz w:val="24"/>
                          <w:szCs w:val="24"/>
                        </w:rPr>
                        <m:t>×</m:t>
                      </m:r>
                      <m:r>
                        <w:rPr>
                          <w:rStyle w:val="Bodytext130"/>
                          <w:rFonts w:ascii="Cambria Math" w:hAnsi="Sylfaen"/>
                          <w:sz w:val="24"/>
                          <w:szCs w:val="24"/>
                        </w:rPr>
                        <m:t>160)</m:t>
                      </m:r>
                    </m:num>
                    <m:den>
                      <m:r>
                        <w:rPr>
                          <w:rStyle w:val="Bodytext130"/>
                          <w:rFonts w:ascii="Cambria Math" w:hAnsi="Sylfaen"/>
                          <w:sz w:val="24"/>
                          <w:szCs w:val="24"/>
                        </w:rPr>
                        <m:t>2</m:t>
                      </m:r>
                    </m:den>
                  </m:f>
                </m:e>
              </m:d>
            </m:num>
            <m:den>
              <m:r>
                <w:rPr>
                  <w:rStyle w:val="Bodytext130"/>
                  <w:rFonts w:ascii="Cambria Math" w:hAnsi="Sylfaen"/>
                  <w:sz w:val="24"/>
                  <w:szCs w:val="24"/>
                </w:rPr>
                <m:t>60</m:t>
              </m:r>
              <m:r>
                <w:rPr>
                  <w:rStyle w:val="Bodytext130"/>
                  <w:rFonts w:ascii="Cambria Math" w:hAnsi="Sylfaen"/>
                  <w:sz w:val="24"/>
                  <w:szCs w:val="24"/>
                </w:rPr>
                <m:t>×</m:t>
              </m:r>
              <m:r>
                <w:rPr>
                  <w:rStyle w:val="Bodytext130"/>
                  <w:rFonts w:ascii="Cambria Math" w:hAnsi="Sylfaen"/>
                  <w:sz w:val="24"/>
                  <w:szCs w:val="24"/>
                </w:rPr>
                <m:t>1000</m:t>
              </m:r>
            </m:den>
          </m:f>
          <m:r>
            <w:rPr>
              <w:rStyle w:val="Bodytext130"/>
              <w:rFonts w:ascii="Cambria Math" w:hAnsi="Sylfaen"/>
              <w:sz w:val="24"/>
              <w:szCs w:val="24"/>
            </w:rPr>
            <m:t>,</m:t>
          </m:r>
        </m:oMath>
      </m:oMathPara>
    </w:p>
    <w:p w14:paraId="06CE8331" w14:textId="77777777" w:rsidR="00CA27E3" w:rsidRPr="00CA27E3" w:rsidRDefault="00CA27E3" w:rsidP="00CA27E3">
      <w:pPr>
        <w:pStyle w:val="Bodytext131"/>
        <w:shd w:val="clear" w:color="auto" w:fill="auto"/>
        <w:spacing w:before="0" w:after="160" w:line="360" w:lineRule="auto"/>
        <w:rPr>
          <w:rStyle w:val="Bodytext130"/>
          <w:rFonts w:ascii="Sylfaen" w:hAnsi="Sylfaen"/>
          <w:sz w:val="24"/>
          <w:szCs w:val="24"/>
        </w:rPr>
      </w:pPr>
    </w:p>
    <w:p w14:paraId="3B8BA83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77C0653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w:t>
      </w:r>
      <w:r w:rsidRPr="00CA27E3">
        <w:rPr>
          <w:rFonts w:ascii="Sylfaen" w:hAnsi="Sylfaen"/>
          <w:sz w:val="24"/>
          <w:szCs w:val="24"/>
        </w:rPr>
        <w:t>ն՝ էլեկտրաէներգիայի կշռված սպառումն է (կՎտ·ժ-ով) (մինչ</w:t>
      </w:r>
      <w:r>
        <w:rPr>
          <w:rFonts w:ascii="Sylfaen" w:hAnsi="Sylfaen"/>
          <w:sz w:val="24"/>
          <w:szCs w:val="24"/>
        </w:rPr>
        <w:t>եւ</w:t>
      </w:r>
      <w:r w:rsidRPr="00CA27E3">
        <w:rPr>
          <w:rFonts w:ascii="Sylfaen" w:hAnsi="Sylfaen"/>
          <w:sz w:val="24"/>
          <w:szCs w:val="24"/>
        </w:rPr>
        <w:t xml:space="preserve"> 2</w:t>
      </w:r>
      <w:r w:rsidR="00923537" w:rsidRPr="00923537">
        <w:rPr>
          <w:rFonts w:ascii="Sylfaen" w:hAnsi="Sylfaen"/>
          <w:sz w:val="24"/>
          <w:szCs w:val="24"/>
        </w:rPr>
        <w:t> </w:t>
      </w:r>
      <w:r w:rsidRPr="00CA27E3">
        <w:rPr>
          <w:rFonts w:ascii="Sylfaen" w:hAnsi="Sylfaen"/>
          <w:sz w:val="24"/>
          <w:szCs w:val="24"/>
        </w:rPr>
        <w:t>տասնորդական նիշ կլորացմամբ).</w:t>
      </w:r>
    </w:p>
    <w:p w14:paraId="2AF90EF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Р</w:t>
      </w:r>
      <w:r w:rsidRPr="00CA27E3">
        <w:rPr>
          <w:rFonts w:ascii="Sylfaen" w:hAnsi="Sylfaen"/>
          <w:sz w:val="24"/>
          <w:szCs w:val="24"/>
          <w:vertAlign w:val="subscript"/>
        </w:rPr>
        <w:t>0-</w:t>
      </w:r>
      <w:r w:rsidRPr="00CA27E3">
        <w:rPr>
          <w:rFonts w:ascii="Sylfaen" w:hAnsi="Sylfaen"/>
          <w:sz w:val="24"/>
          <w:szCs w:val="24"/>
        </w:rPr>
        <w:t>ն՝ լրիվ բեռնմամբ «բամբակ» ստանդարտ ծրագրի համար անջատման ռեժիմում հզորության արժեքն է (Վտ-ով)՝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2FC09F0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I-</w:t>
      </w:r>
      <w:r w:rsidRPr="00CA27E3">
        <w:rPr>
          <w:rFonts w:ascii="Sylfaen" w:hAnsi="Sylfaen"/>
          <w:sz w:val="24"/>
          <w:szCs w:val="24"/>
        </w:rPr>
        <w:t>ն՝</w:t>
      </w:r>
      <w:r>
        <w:rPr>
          <w:rFonts w:ascii="Sylfaen" w:hAnsi="Sylfaen"/>
          <w:sz w:val="24"/>
          <w:szCs w:val="24"/>
        </w:rPr>
        <w:t xml:space="preserve"> </w:t>
      </w:r>
      <w:r w:rsidRPr="00CA27E3">
        <w:rPr>
          <w:rFonts w:ascii="Sylfaen" w:hAnsi="Sylfaen"/>
          <w:sz w:val="24"/>
          <w:szCs w:val="24"/>
        </w:rPr>
        <w:t>լրիվ բեռնմամբ «բամբակ» ստանդարտ ծրագրի համար սպասման ռեժիմում սպառվող հզորության արժեքն է (Վտ-ով)՝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0BA0D1D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t-</w:t>
      </w:r>
      <w:r w:rsidRPr="00CA27E3">
        <w:rPr>
          <w:rFonts w:ascii="Sylfaen" w:hAnsi="Sylfaen"/>
          <w:sz w:val="24"/>
          <w:szCs w:val="24"/>
        </w:rPr>
        <w:t>ն՝ ծրագրի կշռված տ</w:t>
      </w:r>
      <w:r>
        <w:rPr>
          <w:rFonts w:ascii="Sylfaen" w:hAnsi="Sylfaen"/>
          <w:sz w:val="24"/>
          <w:szCs w:val="24"/>
        </w:rPr>
        <w:t>եւ</w:t>
      </w:r>
      <w:r w:rsidRPr="00CA27E3">
        <w:rPr>
          <w:rFonts w:ascii="Sylfaen" w:hAnsi="Sylfaen"/>
          <w:sz w:val="24"/>
          <w:szCs w:val="24"/>
        </w:rPr>
        <w:t>ողությունն է՝ րոպեներով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339DFA5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160-ը՝ տարվա ընթացքում ցիկլերի ընդհանուր քանակը:</w:t>
      </w:r>
    </w:p>
    <w:p w14:paraId="4E99DD6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Եթե չորացնող մեքենան հանդերձված է ծրագրի ավարտից հետո անջատման ռեժիմում չորացնող մեքենայի ավտոմատ վերադարձի ֆունկցիայով էլեկտրասնուցման կառավարման համակարգով, ապա էլեկտրաէներգիայի տարեկան կշռված սպառումը (AE</w:t>
      </w:r>
      <w:r w:rsidRPr="00CA27E3">
        <w:rPr>
          <w:rFonts w:ascii="Sylfaen" w:hAnsi="Sylfaen"/>
          <w:sz w:val="24"/>
          <w:szCs w:val="24"/>
          <w:vertAlign w:val="subscript"/>
        </w:rPr>
        <w:t>C</w:t>
      </w:r>
      <w:r w:rsidRPr="00CA27E3">
        <w:rPr>
          <w:rFonts w:ascii="Sylfaen" w:hAnsi="Sylfaen"/>
          <w:sz w:val="24"/>
          <w:szCs w:val="24"/>
        </w:rPr>
        <w:t>) հաշվարկվում է՝ հաշվի առնելով սպասման ռեժիմի արդյունավետ տ</w:t>
      </w:r>
      <w:r>
        <w:rPr>
          <w:rFonts w:ascii="Sylfaen" w:hAnsi="Sylfaen"/>
          <w:sz w:val="24"/>
          <w:szCs w:val="24"/>
        </w:rPr>
        <w:t>եւ</w:t>
      </w:r>
      <w:r w:rsidRPr="00CA27E3">
        <w:rPr>
          <w:rFonts w:ascii="Sylfaen" w:hAnsi="Sylfaen"/>
          <w:sz w:val="24"/>
          <w:szCs w:val="24"/>
        </w:rPr>
        <w:t>ողությունը,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7FCEC327" w14:textId="77777777" w:rsidR="00CA27E3" w:rsidRPr="00CA27E3" w:rsidRDefault="00000000" w:rsidP="00CA27E3">
      <w:pPr>
        <w:pStyle w:val="Bodytext131"/>
        <w:shd w:val="clear" w:color="auto" w:fill="auto"/>
        <w:spacing w:before="0" w:after="160" w:line="360" w:lineRule="auto"/>
        <w:rPr>
          <w:rStyle w:val="Bodytext130"/>
          <w:rFonts w:ascii="Sylfaen" w:hAnsi="Sylfaen"/>
          <w:sz w:val="24"/>
          <w:szCs w:val="24"/>
        </w:rPr>
      </w:pPr>
      <m:oMathPara>
        <m:oMath>
          <m:sSub>
            <m:sSubPr>
              <m:ctrlPr>
                <w:rPr>
                  <w:rStyle w:val="Bodytext130"/>
                  <w:rFonts w:ascii="Cambria Math" w:hAnsi="Sylfaen"/>
                  <w:i/>
                  <w:sz w:val="24"/>
                  <w:szCs w:val="24"/>
                </w:rPr>
              </m:ctrlPr>
            </m:sSubPr>
            <m:e>
              <m:r>
                <m:rPr>
                  <m:sty m:val="p"/>
                </m:rPr>
                <w:rPr>
                  <w:rStyle w:val="Bodytext130"/>
                  <w:rFonts w:ascii="Cambria Math" w:hAnsi="Sylfaen"/>
                  <w:sz w:val="24"/>
                  <w:szCs w:val="24"/>
                </w:rPr>
                <m:t>AE</m:t>
              </m:r>
            </m:e>
            <m:sub>
              <m:r>
                <m:rPr>
                  <m:sty m:val="p"/>
                </m:rPr>
                <w:rPr>
                  <w:rStyle w:val="Bodytext130"/>
                  <w:rFonts w:ascii="Cambria Math" w:hAnsi="Sylfaen"/>
                  <w:sz w:val="24"/>
                  <w:szCs w:val="24"/>
                </w:rPr>
                <m:t>C</m:t>
              </m:r>
            </m:sub>
          </m:sSub>
          <m:r>
            <w:rPr>
              <w:rStyle w:val="Bodytext130"/>
              <w:rFonts w:ascii="Cambria Math" w:hAnsi="Sylfaen"/>
              <w:sz w:val="24"/>
              <w:szCs w:val="24"/>
            </w:rPr>
            <m:t>=</m:t>
          </m:r>
          <m:sSub>
            <m:sSubPr>
              <m:ctrlPr>
                <w:rPr>
                  <w:rStyle w:val="Bodytext130"/>
                  <w:rFonts w:ascii="Cambria Math" w:hAnsi="Sylfaen"/>
                  <w:i/>
                  <w:sz w:val="24"/>
                  <w:szCs w:val="24"/>
                </w:rPr>
              </m:ctrlPr>
            </m:sSubPr>
            <m:e>
              <m:r>
                <m:rPr>
                  <m:sty m:val="p"/>
                </m:rPr>
                <w:rPr>
                  <w:rStyle w:val="Bodytext130"/>
                  <w:rFonts w:ascii="Cambria Math" w:hAnsi="Sylfaen"/>
                  <w:sz w:val="24"/>
                  <w:szCs w:val="24"/>
                </w:rPr>
                <m:t>E</m:t>
              </m:r>
            </m:e>
            <m:sub>
              <m:r>
                <m:rPr>
                  <m:sty m:val="p"/>
                </m:rPr>
                <w:rPr>
                  <w:rStyle w:val="Bodytext130"/>
                  <w:rFonts w:ascii="Cambria Math" w:hAnsi="Sylfaen"/>
                  <w:sz w:val="24"/>
                  <w:szCs w:val="24"/>
                </w:rPr>
                <m:t>t</m:t>
              </m:r>
            </m:sub>
          </m:sSub>
          <m:r>
            <w:rPr>
              <w:rStyle w:val="Bodytext130"/>
              <w:rFonts w:ascii="Cambria Math" w:hAnsi="Sylfaen"/>
              <w:sz w:val="24"/>
              <w:szCs w:val="24"/>
            </w:rPr>
            <m:t>×</m:t>
          </m:r>
          <m:r>
            <w:rPr>
              <w:rStyle w:val="Bodytext130"/>
              <w:rFonts w:ascii="Cambria Math" w:hAnsi="Sylfaen"/>
              <w:sz w:val="24"/>
              <w:szCs w:val="24"/>
            </w:rPr>
            <m:t>160+</m:t>
          </m:r>
          <m:f>
            <m:fPr>
              <m:ctrlPr>
                <w:rPr>
                  <w:rStyle w:val="Bodytext130"/>
                  <w:rFonts w:ascii="Cambria Math" w:hAnsi="Sylfaen"/>
                  <w:i/>
                  <w:sz w:val="24"/>
                  <w:szCs w:val="24"/>
                </w:rPr>
              </m:ctrlPr>
            </m:fPr>
            <m:num>
              <m:d>
                <m:dPr>
                  <m:begChr m:val="{"/>
                  <m:endChr m:val="}"/>
                  <m:ctrlPr>
                    <w:rPr>
                      <w:rStyle w:val="Bodytext130"/>
                      <w:rFonts w:ascii="Cambria Math" w:hAnsi="Sylfaen"/>
                      <w:i/>
                      <w:sz w:val="24"/>
                      <w:szCs w:val="24"/>
                    </w:rPr>
                  </m:ctrlPr>
                </m:dPr>
                <m:e>
                  <m:d>
                    <m:dPr>
                      <m:ctrlPr>
                        <w:rPr>
                          <w:rStyle w:val="Bodytext130"/>
                          <w:rFonts w:ascii="Cambria Math" w:hAnsi="Sylfaen"/>
                          <w:i/>
                          <w:sz w:val="24"/>
                          <w:szCs w:val="24"/>
                        </w:rPr>
                      </m:ctrlPr>
                    </m:dPr>
                    <m:e>
                      <m:sSub>
                        <m:sSubPr>
                          <m:ctrlPr>
                            <w:rPr>
                              <w:rStyle w:val="Bodytext130"/>
                              <w:rFonts w:ascii="Cambria Math" w:hAnsi="Sylfaen"/>
                              <w:i/>
                              <w:sz w:val="24"/>
                              <w:szCs w:val="24"/>
                            </w:rPr>
                          </m:ctrlPr>
                        </m:sSubPr>
                        <m:e>
                          <m:r>
                            <w:rPr>
                              <w:rStyle w:val="Bodytext130"/>
                              <w:rFonts w:ascii="Cambria Math" w:hAnsi="Sylfaen"/>
                              <w:sz w:val="24"/>
                              <w:szCs w:val="24"/>
                            </w:rPr>
                            <m:t>P</m:t>
                          </m:r>
                        </m:e>
                        <m:sub>
                          <m:r>
                            <w:rPr>
                              <w:rStyle w:val="Bodytext130"/>
                              <w:rFonts w:ascii="Cambria Math" w:hAnsi="Sylfaen"/>
                              <w:sz w:val="24"/>
                              <w:szCs w:val="24"/>
                            </w:rPr>
                            <m:t>l</m:t>
                          </m:r>
                        </m:sub>
                      </m:sSub>
                      <m:r>
                        <w:rPr>
                          <w:rStyle w:val="Bodytext130"/>
                          <w:rFonts w:ascii="Cambria Math" w:hAnsi="Sylfaen"/>
                          <w:sz w:val="24"/>
                          <w:szCs w:val="24"/>
                        </w:rPr>
                        <m:t>×</m:t>
                      </m:r>
                      <m:sSub>
                        <m:sSubPr>
                          <m:ctrlPr>
                            <w:rPr>
                              <w:rStyle w:val="Bodytext130"/>
                              <w:rFonts w:ascii="Cambria Math" w:hAnsi="Sylfaen"/>
                              <w:i/>
                              <w:sz w:val="24"/>
                              <w:szCs w:val="24"/>
                            </w:rPr>
                          </m:ctrlPr>
                        </m:sSubPr>
                        <m:e>
                          <m:r>
                            <w:rPr>
                              <w:rStyle w:val="Bodytext130"/>
                              <w:rFonts w:ascii="Cambria Math" w:hAnsi="Sylfaen"/>
                              <w:sz w:val="24"/>
                              <w:szCs w:val="24"/>
                            </w:rPr>
                            <m:t>T</m:t>
                          </m:r>
                        </m:e>
                        <m:sub>
                          <m:r>
                            <w:rPr>
                              <w:rStyle w:val="Bodytext130"/>
                              <w:rFonts w:ascii="Cambria Math" w:hAnsi="Sylfaen"/>
                              <w:sz w:val="24"/>
                              <w:szCs w:val="24"/>
                            </w:rPr>
                            <m:t>l</m:t>
                          </m:r>
                        </m:sub>
                      </m:sSub>
                      <m:r>
                        <w:rPr>
                          <w:rStyle w:val="Bodytext130"/>
                          <w:rFonts w:ascii="Cambria Math" w:hAnsi="Sylfaen"/>
                          <w:sz w:val="24"/>
                          <w:szCs w:val="24"/>
                        </w:rPr>
                        <m:t>×</m:t>
                      </m:r>
                      <m:r>
                        <w:rPr>
                          <w:rStyle w:val="Bodytext130"/>
                          <w:rFonts w:ascii="Cambria Math" w:hAnsi="Sylfaen"/>
                          <w:sz w:val="24"/>
                          <w:szCs w:val="24"/>
                        </w:rPr>
                        <m:t>160</m:t>
                      </m:r>
                    </m:e>
                  </m:d>
                  <m:r>
                    <w:rPr>
                      <w:rStyle w:val="Bodytext130"/>
                      <w:rFonts w:ascii="Cambria Math" w:hAnsi="Sylfaen"/>
                      <w:sz w:val="24"/>
                      <w:szCs w:val="24"/>
                    </w:rPr>
                    <m:t>+</m:t>
                  </m:r>
                  <m:sSub>
                    <m:sSubPr>
                      <m:ctrlPr>
                        <w:rPr>
                          <w:rStyle w:val="Bodytext130"/>
                          <w:rFonts w:ascii="Cambria Math" w:hAnsi="Sylfaen"/>
                          <w:i/>
                          <w:sz w:val="24"/>
                          <w:szCs w:val="24"/>
                        </w:rPr>
                      </m:ctrlPr>
                    </m:sSubPr>
                    <m:e>
                      <m:r>
                        <w:rPr>
                          <w:rStyle w:val="Bodytext130"/>
                          <w:rFonts w:ascii="Cambria Math" w:hAnsi="Sylfaen"/>
                          <w:sz w:val="24"/>
                          <w:szCs w:val="24"/>
                        </w:rPr>
                        <m:t>P</m:t>
                      </m:r>
                    </m:e>
                    <m:sub>
                      <m:r>
                        <w:rPr>
                          <w:rStyle w:val="Bodytext130"/>
                          <w:rFonts w:ascii="Cambria Math" w:hAnsi="Sylfaen"/>
                          <w:sz w:val="24"/>
                          <w:szCs w:val="24"/>
                        </w:rPr>
                        <m:t>O</m:t>
                      </m:r>
                    </m:sub>
                  </m:sSub>
                  <m:r>
                    <w:rPr>
                      <w:rStyle w:val="Bodytext130"/>
                      <w:rFonts w:ascii="Cambria Math" w:hAnsi="Sylfaen"/>
                      <w:sz w:val="24"/>
                      <w:szCs w:val="24"/>
                    </w:rPr>
                    <m:t>×</m:t>
                  </m:r>
                  <m:d>
                    <m:dPr>
                      <m:begChr m:val="["/>
                      <m:endChr m:val="]"/>
                      <m:ctrlPr>
                        <w:rPr>
                          <w:rStyle w:val="Bodytext130"/>
                          <w:rFonts w:ascii="Cambria Math" w:hAnsi="Sylfaen"/>
                          <w:i/>
                          <w:sz w:val="24"/>
                          <w:szCs w:val="24"/>
                        </w:rPr>
                      </m:ctrlPr>
                    </m:dPr>
                    <m:e>
                      <m:r>
                        <w:rPr>
                          <w:rStyle w:val="Bodytext130"/>
                          <w:rFonts w:ascii="Cambria Math" w:hAnsi="Sylfaen"/>
                          <w:sz w:val="24"/>
                          <w:szCs w:val="24"/>
                        </w:rPr>
                        <m:t>525600</m:t>
                      </m:r>
                      <m:r>
                        <w:rPr>
                          <w:rStyle w:val="Bodytext130"/>
                          <w:rFonts w:ascii="Cambria Math" w:hAnsi="Cambria Math"/>
                          <w:sz w:val="24"/>
                          <w:szCs w:val="24"/>
                        </w:rPr>
                        <m:t>-</m:t>
                      </m:r>
                      <m:d>
                        <m:dPr>
                          <m:ctrlPr>
                            <w:rPr>
                              <w:rStyle w:val="Bodytext130"/>
                              <w:rFonts w:ascii="Cambria Math" w:hAnsi="Sylfaen"/>
                              <w:i/>
                              <w:sz w:val="24"/>
                              <w:szCs w:val="24"/>
                            </w:rPr>
                          </m:ctrlPr>
                        </m:dPr>
                        <m:e>
                          <m:sSub>
                            <m:sSubPr>
                              <m:ctrlPr>
                                <w:rPr>
                                  <w:rStyle w:val="Bodytext130"/>
                                  <w:rFonts w:ascii="Cambria Math" w:hAnsi="Sylfaen"/>
                                  <w:i/>
                                  <w:sz w:val="24"/>
                                  <w:szCs w:val="24"/>
                                </w:rPr>
                              </m:ctrlPr>
                            </m:sSubPr>
                            <m:e>
                              <m:r>
                                <w:rPr>
                                  <w:rStyle w:val="Bodytext130"/>
                                  <w:rFonts w:ascii="Cambria Math" w:hAnsi="Sylfaen"/>
                                  <w:sz w:val="24"/>
                                  <w:szCs w:val="24"/>
                                </w:rPr>
                                <m:t>T</m:t>
                              </m:r>
                            </m:e>
                            <m:sub>
                              <m:r>
                                <w:rPr>
                                  <w:rStyle w:val="Bodytext130"/>
                                  <w:rFonts w:ascii="Cambria Math" w:hAnsi="Sylfaen"/>
                                  <w:sz w:val="24"/>
                                  <w:szCs w:val="24"/>
                                </w:rPr>
                                <m:t>t</m:t>
                              </m:r>
                            </m:sub>
                          </m:sSub>
                          <m:r>
                            <w:rPr>
                              <w:rStyle w:val="Bodytext130"/>
                              <w:rFonts w:ascii="Cambria Math" w:hAnsi="Sylfaen"/>
                              <w:sz w:val="24"/>
                              <w:szCs w:val="24"/>
                            </w:rPr>
                            <m:t>×</m:t>
                          </m:r>
                          <m:r>
                            <w:rPr>
                              <w:rStyle w:val="Bodytext130"/>
                              <w:rFonts w:ascii="Cambria Math" w:hAnsi="Sylfaen"/>
                              <w:sz w:val="24"/>
                              <w:szCs w:val="24"/>
                            </w:rPr>
                            <m:t>160</m:t>
                          </m:r>
                        </m:e>
                      </m:d>
                      <m:r>
                        <w:rPr>
                          <w:rStyle w:val="Bodytext130"/>
                          <w:rFonts w:ascii="Cambria Math" w:hAnsi="Cambria Math"/>
                          <w:sz w:val="24"/>
                          <w:szCs w:val="24"/>
                        </w:rPr>
                        <m:t>-</m:t>
                      </m:r>
                      <m:r>
                        <w:rPr>
                          <w:rStyle w:val="Bodytext130"/>
                          <w:rFonts w:ascii="Cambria Math" w:hAnsi="Sylfaen"/>
                          <w:sz w:val="24"/>
                          <w:szCs w:val="24"/>
                        </w:rPr>
                        <m:t>(</m:t>
                      </m:r>
                      <m:sSub>
                        <m:sSubPr>
                          <m:ctrlPr>
                            <w:rPr>
                              <w:rStyle w:val="Bodytext130"/>
                              <w:rFonts w:ascii="Cambria Math" w:hAnsi="Sylfaen"/>
                              <w:i/>
                              <w:sz w:val="24"/>
                              <w:szCs w:val="24"/>
                            </w:rPr>
                          </m:ctrlPr>
                        </m:sSubPr>
                        <m:e>
                          <m:r>
                            <w:rPr>
                              <w:rStyle w:val="Bodytext130"/>
                              <w:rFonts w:ascii="Cambria Math" w:hAnsi="Sylfaen"/>
                              <w:sz w:val="24"/>
                              <w:szCs w:val="24"/>
                            </w:rPr>
                            <m:t>T</m:t>
                          </m:r>
                        </m:e>
                        <m:sub>
                          <m:r>
                            <w:rPr>
                              <w:rStyle w:val="Bodytext130"/>
                              <w:rFonts w:ascii="Cambria Math" w:hAnsi="Sylfaen"/>
                              <w:sz w:val="24"/>
                              <w:szCs w:val="24"/>
                            </w:rPr>
                            <m:t>l</m:t>
                          </m:r>
                        </m:sub>
                      </m:sSub>
                      <m:r>
                        <w:rPr>
                          <w:rStyle w:val="Bodytext130"/>
                          <w:rFonts w:ascii="Cambria Math" w:hAnsi="Sylfaen"/>
                          <w:sz w:val="24"/>
                          <w:szCs w:val="24"/>
                        </w:rPr>
                        <m:t>×</m:t>
                      </m:r>
                      <m:r>
                        <w:rPr>
                          <w:rStyle w:val="Bodytext130"/>
                          <w:rFonts w:ascii="Cambria Math" w:hAnsi="Sylfaen"/>
                          <w:sz w:val="24"/>
                          <w:szCs w:val="24"/>
                        </w:rPr>
                        <m:t>160)</m:t>
                      </m:r>
                    </m:e>
                  </m:d>
                </m:e>
              </m:d>
            </m:num>
            <m:den>
              <m:r>
                <w:rPr>
                  <w:rStyle w:val="Bodytext130"/>
                  <w:rFonts w:ascii="Cambria Math" w:hAnsi="Sylfaen"/>
                  <w:sz w:val="24"/>
                  <w:szCs w:val="24"/>
                </w:rPr>
                <m:t>60</m:t>
              </m:r>
              <m:r>
                <w:rPr>
                  <w:rStyle w:val="Bodytext130"/>
                  <w:rFonts w:ascii="Cambria Math" w:hAnsi="Sylfaen"/>
                  <w:sz w:val="24"/>
                  <w:szCs w:val="24"/>
                </w:rPr>
                <m:t>×</m:t>
              </m:r>
              <m:r>
                <w:rPr>
                  <w:rStyle w:val="Bodytext130"/>
                  <w:rFonts w:ascii="Cambria Math" w:hAnsi="Sylfaen"/>
                  <w:sz w:val="24"/>
                  <w:szCs w:val="24"/>
                </w:rPr>
                <m:t>1000</m:t>
              </m:r>
            </m:den>
          </m:f>
          <m:r>
            <w:rPr>
              <w:rStyle w:val="Bodytext130"/>
              <w:rFonts w:ascii="Cambria Math" w:hAnsi="Sylfaen"/>
              <w:sz w:val="24"/>
              <w:szCs w:val="24"/>
            </w:rPr>
            <m:t>,</m:t>
          </m:r>
        </m:oMath>
      </m:oMathPara>
    </w:p>
    <w:p w14:paraId="3A21A51B" w14:textId="77777777" w:rsidR="00CA27E3" w:rsidRPr="00CA27E3" w:rsidRDefault="00CA27E3" w:rsidP="00CA27E3">
      <w:pPr>
        <w:pStyle w:val="Bodytext161"/>
        <w:shd w:val="clear" w:color="auto" w:fill="auto"/>
        <w:spacing w:before="0" w:after="160" w:line="360" w:lineRule="auto"/>
        <w:ind w:firstLine="0"/>
        <w:rPr>
          <w:rFonts w:ascii="Sylfaen" w:hAnsi="Sylfaen"/>
          <w:sz w:val="24"/>
          <w:szCs w:val="24"/>
        </w:rPr>
      </w:pPr>
    </w:p>
    <w:p w14:paraId="37C7D30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որտեղ T</w:t>
      </w:r>
      <w:r w:rsidRPr="00CA27E3">
        <w:rPr>
          <w:rFonts w:ascii="Sylfaen" w:hAnsi="Sylfaen"/>
          <w:sz w:val="24"/>
          <w:szCs w:val="24"/>
          <w:vertAlign w:val="subscript"/>
        </w:rPr>
        <w:t>l-</w:t>
      </w:r>
      <w:r w:rsidRPr="00CA27E3">
        <w:rPr>
          <w:rFonts w:ascii="Sylfaen" w:hAnsi="Sylfaen"/>
          <w:sz w:val="24"/>
          <w:szCs w:val="24"/>
        </w:rPr>
        <w:t>ը՝ լրիվ բեռնմամբ «բամբակ» ստանդարտ ծրագրի համար սպասման ռեժիմի տ</w:t>
      </w:r>
      <w:r>
        <w:rPr>
          <w:rFonts w:ascii="Sylfaen" w:hAnsi="Sylfaen"/>
          <w:sz w:val="24"/>
          <w:szCs w:val="24"/>
        </w:rPr>
        <w:t>եւ</w:t>
      </w:r>
      <w:r w:rsidRPr="00CA27E3">
        <w:rPr>
          <w:rFonts w:ascii="Sylfaen" w:hAnsi="Sylfaen"/>
          <w:sz w:val="24"/>
          <w:szCs w:val="24"/>
        </w:rPr>
        <w:t>ողությունն է՝ րոպեներով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07F8763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«Բամբակ» ստանդարտ ծրագրի համար</w:t>
      </w:r>
      <w:r>
        <w:rPr>
          <w:rFonts w:ascii="Sylfaen" w:hAnsi="Sylfaen"/>
          <w:sz w:val="24"/>
          <w:szCs w:val="24"/>
        </w:rPr>
        <w:t xml:space="preserve"> </w:t>
      </w:r>
      <w:r w:rsidRPr="00CA27E3">
        <w:rPr>
          <w:rFonts w:ascii="Sylfaen" w:hAnsi="Sylfaen"/>
          <w:sz w:val="24"/>
          <w:szCs w:val="24"/>
        </w:rPr>
        <w:t>T</w:t>
      </w:r>
      <w:r w:rsidRPr="00CA27E3">
        <w:rPr>
          <w:rFonts w:ascii="Sylfaen" w:hAnsi="Sylfaen"/>
          <w:sz w:val="24"/>
          <w:szCs w:val="24"/>
          <w:vertAlign w:val="subscript"/>
        </w:rPr>
        <w:t>t</w:t>
      </w:r>
      <w:r w:rsidRPr="00CA27E3">
        <w:rPr>
          <w:rFonts w:ascii="Sylfaen" w:hAnsi="Sylfaen"/>
          <w:sz w:val="24"/>
          <w:szCs w:val="24"/>
        </w:rPr>
        <w:t xml:space="preserve"> ծրագրի կշռված տ</w:t>
      </w:r>
      <w:r>
        <w:rPr>
          <w:rFonts w:ascii="Sylfaen" w:hAnsi="Sylfaen"/>
          <w:sz w:val="24"/>
          <w:szCs w:val="24"/>
        </w:rPr>
        <w:t>եւ</w:t>
      </w:r>
      <w:r w:rsidRPr="00CA27E3">
        <w:rPr>
          <w:rFonts w:ascii="Sylfaen" w:hAnsi="Sylfaen"/>
          <w:sz w:val="24"/>
          <w:szCs w:val="24"/>
        </w:rPr>
        <w:t>ողությունը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ամբողջ արժեք կլորացմամբ)՝</w:t>
      </w:r>
    </w:p>
    <w:p w14:paraId="61DAC875" w14:textId="77777777" w:rsidR="00CA27E3" w:rsidRPr="00CA27E3" w:rsidRDefault="00000000" w:rsidP="00CA27E3">
      <w:pPr>
        <w:pStyle w:val="Bodytext212"/>
        <w:shd w:val="clear" w:color="auto" w:fill="auto"/>
        <w:spacing w:after="160" w:line="360" w:lineRule="auto"/>
        <w:ind w:firstLine="567"/>
        <w:jc w:val="center"/>
        <w:rPr>
          <w:rFonts w:ascii="Sylfaen" w:hAnsi="Sylfaen"/>
          <w:sz w:val="24"/>
          <w:szCs w:val="24"/>
        </w:rPr>
      </w:pPr>
      <m:oMathPara>
        <m:oMath>
          <m:sSub>
            <m:sSubPr>
              <m:ctrlPr>
                <w:rPr>
                  <w:rFonts w:ascii="Cambria Math" w:hAnsi="Sylfaen"/>
                  <w:sz w:val="24"/>
                  <w:szCs w:val="24"/>
                </w:rPr>
              </m:ctrlPr>
            </m:sSubPr>
            <m:e>
              <m:r>
                <m:rPr>
                  <m:sty m:val="p"/>
                </m:rPr>
                <w:rPr>
                  <w:rFonts w:ascii="Cambria Math" w:hAnsi="Sylfaen"/>
                  <w:sz w:val="24"/>
                  <w:szCs w:val="24"/>
                </w:rPr>
                <m:t>T</m:t>
              </m:r>
            </m:e>
            <m:sub>
              <m:r>
                <m:rPr>
                  <m:sty m:val="p"/>
                </m:rPr>
                <w:rPr>
                  <w:rFonts w:ascii="Cambria Math" w:hAnsi="Sylfaen"/>
                  <w:sz w:val="24"/>
                  <w:szCs w:val="24"/>
                </w:rPr>
                <m:t>t</m:t>
              </m:r>
            </m:sub>
          </m:sSub>
          <m:r>
            <w:rPr>
              <w:rFonts w:ascii="Cambria Math" w:hAnsi="Sylfaen"/>
              <w:sz w:val="24"/>
              <w:szCs w:val="24"/>
            </w:rPr>
            <m:t>=(3</m:t>
          </m:r>
          <m:r>
            <w:rPr>
              <w:rFonts w:ascii="Cambria Math" w:hAnsi="Sylfaen"/>
              <w:sz w:val="24"/>
              <w:szCs w:val="24"/>
            </w:rPr>
            <m:t>×</m:t>
          </m:r>
          <m:sSub>
            <m:sSubPr>
              <m:ctrlPr>
                <w:rPr>
                  <w:rFonts w:ascii="Cambria Math" w:hAnsi="Sylfaen"/>
                  <w:i/>
                  <w:sz w:val="24"/>
                  <w:szCs w:val="24"/>
                </w:rPr>
              </m:ctrlPr>
            </m:sSubPr>
            <m:e>
              <m:r>
                <m:rPr>
                  <m:sty m:val="p"/>
                </m:rPr>
                <w:rPr>
                  <w:rFonts w:ascii="Cambria Math" w:hAnsi="Sylfaen"/>
                  <w:sz w:val="24"/>
                  <w:szCs w:val="24"/>
                </w:rPr>
                <m:t>T</m:t>
              </m:r>
            </m:e>
            <m:sub>
              <m:r>
                <m:rPr>
                  <m:sty m:val="p"/>
                </m:rPr>
                <w:rPr>
                  <w:rFonts w:ascii="Cambria Math" w:hAnsi="Sylfaen"/>
                  <w:sz w:val="24"/>
                  <w:szCs w:val="24"/>
                </w:rPr>
                <m:t>dry</m:t>
              </m:r>
            </m:sub>
          </m:sSub>
          <m:r>
            <w:rPr>
              <w:rFonts w:ascii="Cambria Math" w:hAnsi="Sylfaen"/>
              <w:sz w:val="24"/>
              <w:szCs w:val="24"/>
            </w:rPr>
            <m:t>+4</m:t>
          </m:r>
          <m:r>
            <w:rPr>
              <w:rFonts w:ascii="Cambria Math" w:hAnsi="Sylfaen"/>
              <w:sz w:val="24"/>
              <w:szCs w:val="24"/>
            </w:rPr>
            <m:t>×</m:t>
          </m:r>
          <m:sSub>
            <m:sSubPr>
              <m:ctrlPr>
                <w:rPr>
                  <w:rFonts w:ascii="Cambria Math" w:hAnsi="Sylfaen"/>
                  <w:i/>
                  <w:sz w:val="24"/>
                  <w:szCs w:val="24"/>
                </w:rPr>
              </m:ctrlPr>
            </m:sSubPr>
            <m:e>
              <m:r>
                <m:rPr>
                  <m:sty m:val="p"/>
                </m:rPr>
                <w:rPr>
                  <w:rFonts w:ascii="Cambria Math" w:hAnsi="Sylfaen"/>
                  <w:sz w:val="24"/>
                  <w:szCs w:val="24"/>
                </w:rPr>
                <m:t>T</m:t>
              </m:r>
            </m:e>
            <m:sub>
              <m:r>
                <m:rPr>
                  <m:sty m:val="p"/>
                </m:rPr>
                <w:rPr>
                  <w:rFonts w:ascii="Cambria Math" w:hAnsi="Sylfaen"/>
                  <w:sz w:val="24"/>
                  <w:szCs w:val="24"/>
                </w:rPr>
                <m:t>dry</m:t>
              </m:r>
              <m:r>
                <w:rPr>
                  <w:rFonts w:ascii="Cambria Math" w:hAnsi="Sylfaen"/>
                  <w:sz w:val="24"/>
                  <w:szCs w:val="24"/>
                </w:rPr>
                <m:t>1/2</m:t>
              </m:r>
            </m:sub>
          </m:sSub>
          <m:r>
            <w:rPr>
              <w:rFonts w:ascii="Cambria Math" w:hAnsi="Sylfaen"/>
              <w:sz w:val="24"/>
              <w:szCs w:val="24"/>
            </w:rPr>
            <m:t>)/7,</m:t>
          </m:r>
        </m:oMath>
      </m:oMathPara>
    </w:p>
    <w:p w14:paraId="2149131D" w14:textId="77777777" w:rsidR="00CA27E3" w:rsidRPr="00CA27E3" w:rsidRDefault="00CA27E3" w:rsidP="00CA27E3">
      <w:pPr>
        <w:pStyle w:val="Bodytext212"/>
        <w:shd w:val="clear" w:color="auto" w:fill="auto"/>
        <w:spacing w:after="160" w:line="360" w:lineRule="auto"/>
        <w:ind w:firstLine="567"/>
        <w:jc w:val="center"/>
        <w:rPr>
          <w:rFonts w:ascii="Sylfaen" w:hAnsi="Sylfaen"/>
          <w:sz w:val="24"/>
          <w:szCs w:val="24"/>
        </w:rPr>
      </w:pPr>
    </w:p>
    <w:p w14:paraId="0B6EF48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3AA7092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spacing w:val="-6"/>
          <w:sz w:val="24"/>
          <w:szCs w:val="24"/>
        </w:rPr>
        <w:t>T</w:t>
      </w:r>
      <w:r w:rsidRPr="00923537">
        <w:rPr>
          <w:rFonts w:ascii="Sylfaen" w:hAnsi="Sylfaen"/>
          <w:spacing w:val="-6"/>
          <w:sz w:val="24"/>
          <w:szCs w:val="24"/>
          <w:vertAlign w:val="subscript"/>
        </w:rPr>
        <w:t>dry-</w:t>
      </w:r>
      <w:r w:rsidRPr="00923537">
        <w:rPr>
          <w:rFonts w:ascii="Sylfaen" w:hAnsi="Sylfaen"/>
          <w:spacing w:val="-6"/>
          <w:sz w:val="24"/>
          <w:szCs w:val="24"/>
        </w:rPr>
        <w:t>ը՝ լրիվ բեռնմամբ «բամբակ» ստանդարտ ծրագրի կատարման ժամանակն է՝ րոպեներով</w:t>
      </w:r>
      <w:r w:rsidRPr="00CA27E3">
        <w:rPr>
          <w:rFonts w:ascii="Sylfaen" w:hAnsi="Sylfaen"/>
          <w:sz w:val="24"/>
          <w:szCs w:val="24"/>
        </w:rPr>
        <w:t xml:space="preserve"> (մինչ</w:t>
      </w:r>
      <w:r>
        <w:rPr>
          <w:rFonts w:ascii="Sylfaen" w:hAnsi="Sylfaen"/>
          <w:sz w:val="24"/>
          <w:szCs w:val="24"/>
        </w:rPr>
        <w:t>եւ</w:t>
      </w:r>
      <w:r w:rsidRPr="00CA27E3">
        <w:rPr>
          <w:rFonts w:ascii="Sylfaen" w:hAnsi="Sylfaen"/>
          <w:sz w:val="24"/>
          <w:szCs w:val="24"/>
        </w:rPr>
        <w:t xml:space="preserve"> ամբողջ արժեք կլորացմամբ).</w:t>
      </w:r>
    </w:p>
    <w:p w14:paraId="3517D70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T</w:t>
      </w:r>
      <w:r w:rsidRPr="00CA27E3">
        <w:rPr>
          <w:rFonts w:ascii="Sylfaen" w:hAnsi="Sylfaen"/>
          <w:sz w:val="24"/>
          <w:szCs w:val="24"/>
          <w:vertAlign w:val="subscript"/>
        </w:rPr>
        <w:t>dry1/2-</w:t>
      </w:r>
      <w:r w:rsidRPr="00CA27E3">
        <w:rPr>
          <w:rFonts w:ascii="Sylfaen" w:hAnsi="Sylfaen"/>
          <w:sz w:val="24"/>
          <w:szCs w:val="24"/>
        </w:rPr>
        <w:t>ը՝ մասնակի բեռնմամբ «բամբակ» ստանդարտ ծրագրի կատարման ժամանակն է՝ րոպեներով (մինչ</w:t>
      </w:r>
      <w:r>
        <w:rPr>
          <w:rFonts w:ascii="Sylfaen" w:hAnsi="Sylfaen"/>
          <w:sz w:val="24"/>
          <w:szCs w:val="24"/>
        </w:rPr>
        <w:t>եւ</w:t>
      </w:r>
      <w:r w:rsidRPr="00CA27E3">
        <w:rPr>
          <w:rFonts w:ascii="Sylfaen" w:hAnsi="Sylfaen"/>
          <w:sz w:val="24"/>
          <w:szCs w:val="24"/>
        </w:rPr>
        <w:t xml:space="preserve"> ամբողջ արժեք կլորացմամբ):</w:t>
      </w:r>
    </w:p>
    <w:p w14:paraId="6EA196B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Չորացնող մեքենաների համար էլեկտրաէներգիայի կշռված սպառումը (E</w:t>
      </w:r>
      <w:r w:rsidRPr="00CA27E3">
        <w:rPr>
          <w:rFonts w:ascii="Sylfaen" w:hAnsi="Sylfaen"/>
          <w:sz w:val="24"/>
          <w:szCs w:val="24"/>
          <w:vertAlign w:val="subscript"/>
        </w:rPr>
        <w:t>t</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(կՎտ·ժ-ով)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481FBC87" w14:textId="77777777" w:rsidR="00CA27E3" w:rsidRPr="00CA27E3" w:rsidRDefault="00000000" w:rsidP="00CA27E3">
      <w:pPr>
        <w:pStyle w:val="Bodytext212"/>
        <w:shd w:val="clear" w:color="auto" w:fill="auto"/>
        <w:spacing w:after="160" w:line="360" w:lineRule="auto"/>
        <w:ind w:firstLine="567"/>
        <w:jc w:val="center"/>
        <w:rPr>
          <w:rFonts w:ascii="Sylfaen" w:hAnsi="Sylfaen"/>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E</m:t>
              </m:r>
            </m:e>
            <m:sub>
              <m:r>
                <m:rPr>
                  <m:sty m:val="p"/>
                </m:rPr>
                <w:rPr>
                  <w:rFonts w:ascii="Cambria Math" w:hAnsi="Cambria Math"/>
                  <w:sz w:val="24"/>
                  <w:szCs w:val="24"/>
                </w:rPr>
                <m:t>t</m:t>
              </m:r>
            </m:sub>
          </m:sSub>
          <m:r>
            <w:rPr>
              <w:rFonts w:ascii="Cambria Math" w:hAnsi="Cambria Math"/>
              <w:sz w:val="24"/>
              <w:szCs w:val="24"/>
            </w:rPr>
            <m:t>=(3×</m:t>
          </m:r>
          <m:sSub>
            <m:sSubPr>
              <m:ctrlPr>
                <w:rPr>
                  <w:rFonts w:ascii="Cambria Math" w:hAnsi="Cambria Math"/>
                  <w:i/>
                  <w:sz w:val="24"/>
                  <w:szCs w:val="24"/>
                </w:rPr>
              </m:ctrlPr>
            </m:sSubPr>
            <m:e>
              <m:r>
                <m:rPr>
                  <m:sty m:val="p"/>
                </m:rPr>
                <w:rPr>
                  <w:rFonts w:ascii="Cambria Math" w:hAnsi="Cambria Math"/>
                  <w:sz w:val="24"/>
                  <w:szCs w:val="24"/>
                </w:rPr>
                <m:t>E</m:t>
              </m:r>
            </m:e>
            <m:sub>
              <m:r>
                <m:rPr>
                  <m:sty m:val="p"/>
                </m:rPr>
                <w:rPr>
                  <w:rFonts w:ascii="Cambria Math" w:hAnsi="Cambria Math"/>
                  <w:sz w:val="24"/>
                  <w:szCs w:val="24"/>
                </w:rPr>
                <m:t>dry</m:t>
              </m:r>
            </m:sub>
          </m:sSub>
          <m:r>
            <w:rPr>
              <w:rFonts w:ascii="Cambria Math" w:hAnsi="Cambria Math"/>
              <w:sz w:val="24"/>
              <w:szCs w:val="24"/>
            </w:rPr>
            <m:t>+4×</m:t>
          </m:r>
          <m:sSub>
            <m:sSubPr>
              <m:ctrlPr>
                <w:rPr>
                  <w:rFonts w:ascii="Cambria Math" w:hAnsi="Cambria Math"/>
                  <w:i/>
                  <w:sz w:val="24"/>
                  <w:szCs w:val="24"/>
                </w:rPr>
              </m:ctrlPr>
            </m:sSubPr>
            <m:e>
              <m:r>
                <m:rPr>
                  <m:sty m:val="p"/>
                </m:rPr>
                <w:rPr>
                  <w:rFonts w:ascii="Cambria Math" w:hAnsi="Cambria Math"/>
                  <w:sz w:val="24"/>
                  <w:szCs w:val="24"/>
                </w:rPr>
                <m:t>E</m:t>
              </m:r>
            </m:e>
            <m:sub>
              <m:r>
                <m:rPr>
                  <m:sty m:val="p"/>
                </m:rPr>
                <w:rPr>
                  <w:rFonts w:ascii="Cambria Math" w:hAnsi="Cambria Math"/>
                  <w:sz w:val="24"/>
                  <w:szCs w:val="24"/>
                </w:rPr>
                <m:t>dry</m:t>
              </m:r>
              <m:r>
                <w:rPr>
                  <w:rFonts w:ascii="Cambria Math" w:hAnsi="Cambria Math"/>
                  <w:sz w:val="24"/>
                  <w:szCs w:val="24"/>
                </w:rPr>
                <m:t>1/2</m:t>
              </m:r>
            </m:sub>
          </m:sSub>
          <m:r>
            <w:rPr>
              <w:rFonts w:ascii="Cambria Math" w:hAnsi="Cambria Math"/>
              <w:sz w:val="24"/>
              <w:szCs w:val="24"/>
            </w:rPr>
            <m:t>)/7,</m:t>
          </m:r>
        </m:oMath>
      </m:oMathPara>
    </w:p>
    <w:p w14:paraId="04905CFD" w14:textId="77777777" w:rsidR="00CA27E3" w:rsidRPr="00CA27E3" w:rsidRDefault="00CA27E3" w:rsidP="00CA27E3">
      <w:pPr>
        <w:pStyle w:val="Bodytext212"/>
        <w:shd w:val="clear" w:color="auto" w:fill="auto"/>
        <w:spacing w:after="160" w:line="360" w:lineRule="auto"/>
        <w:ind w:firstLine="0"/>
        <w:rPr>
          <w:rFonts w:ascii="Sylfaen" w:hAnsi="Sylfaen"/>
          <w:sz w:val="24"/>
          <w:szCs w:val="24"/>
        </w:rPr>
      </w:pPr>
    </w:p>
    <w:p w14:paraId="314C168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4F07F60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dry-</w:t>
      </w:r>
      <w:r w:rsidRPr="00CA27E3">
        <w:rPr>
          <w:rFonts w:ascii="Sylfaen" w:hAnsi="Sylfaen"/>
          <w:sz w:val="24"/>
          <w:szCs w:val="24"/>
        </w:rPr>
        <w:t>ը՝ լրիվ բեռնմամբ «բամբակ» ստանդարտ ծրագրի համար էներգասպառումն է (կՎտ·ժ-ով)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7F75657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dry1/2</w:t>
      </w:r>
      <w:r w:rsidRPr="00CA27E3">
        <w:rPr>
          <w:rFonts w:ascii="Sylfaen" w:hAnsi="Sylfaen"/>
          <w:sz w:val="24"/>
          <w:szCs w:val="24"/>
        </w:rPr>
        <w:t>՝</w:t>
      </w:r>
      <w:r w:rsidRPr="00CA27E3">
        <w:rPr>
          <w:rFonts w:ascii="Sylfaen" w:hAnsi="Sylfaen"/>
          <w:sz w:val="24"/>
          <w:szCs w:val="24"/>
          <w:vertAlign w:val="subscript"/>
        </w:rPr>
        <w:t>-</w:t>
      </w:r>
      <w:r w:rsidRPr="00CA27E3">
        <w:rPr>
          <w:rFonts w:ascii="Sylfaen" w:hAnsi="Sylfaen"/>
          <w:sz w:val="24"/>
          <w:szCs w:val="24"/>
        </w:rPr>
        <w:t>ը՝ մասնակի բեռնմամբ «բամբակ» ստանդարտ ծրագրի համար էներգասպառումն է (կՎտ·ժ-ով)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55C2960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Օդի տաքացման էլեկտրական սարքվածքով չորացնող մեքենաների համար E</w:t>
      </w:r>
      <w:r w:rsidRPr="00CA27E3">
        <w:rPr>
          <w:rFonts w:ascii="Sylfaen" w:hAnsi="Sylfaen"/>
          <w:sz w:val="24"/>
          <w:szCs w:val="24"/>
          <w:vertAlign w:val="subscript"/>
        </w:rPr>
        <w:t>dry</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E</w:t>
      </w:r>
      <w:r w:rsidRPr="00CA27E3">
        <w:rPr>
          <w:rFonts w:ascii="Sylfaen" w:hAnsi="Sylfaen"/>
          <w:sz w:val="24"/>
          <w:szCs w:val="24"/>
          <w:vertAlign w:val="subscript"/>
        </w:rPr>
        <w:t>dry1/2</w:t>
      </w:r>
      <w:r w:rsidRPr="00CA27E3">
        <w:rPr>
          <w:rFonts w:ascii="Sylfaen" w:hAnsi="Sylfaen"/>
          <w:sz w:val="24"/>
          <w:szCs w:val="24"/>
        </w:rPr>
        <w:t xml:space="preserve"> էներգասպառումը ուղղակիորեն չափվում է որպես սպառած էլեկտրական էներգիա: Գազակերպ վառելիքով աշխատող՝ օդի տաքացման սարքվածքով չորացնող մեքենաների համար E</w:t>
      </w:r>
      <w:r w:rsidRPr="00CA27E3">
        <w:rPr>
          <w:rFonts w:ascii="Sylfaen" w:hAnsi="Sylfaen"/>
          <w:sz w:val="24"/>
          <w:szCs w:val="24"/>
          <w:vertAlign w:val="subscript"/>
        </w:rPr>
        <w:t>dry</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E</w:t>
      </w:r>
      <w:r w:rsidRPr="00CA27E3">
        <w:rPr>
          <w:rFonts w:ascii="Sylfaen" w:hAnsi="Sylfaen"/>
          <w:sz w:val="24"/>
          <w:szCs w:val="24"/>
          <w:vertAlign w:val="subscript"/>
        </w:rPr>
        <w:t>dry1/2</w:t>
      </w:r>
      <w:r w:rsidRPr="00CA27E3">
        <w:rPr>
          <w:rFonts w:ascii="Sylfaen" w:hAnsi="Sylfaen"/>
          <w:sz w:val="24"/>
          <w:szCs w:val="24"/>
        </w:rPr>
        <w:t xml:space="preserve"> </w:t>
      </w:r>
      <w:r w:rsidRPr="00CA27E3">
        <w:rPr>
          <w:rStyle w:val="Bodytext29pt"/>
          <w:rFonts w:ascii="Sylfaen" w:hAnsi="Sylfaen"/>
          <w:sz w:val="24"/>
          <w:szCs w:val="24"/>
          <w:vertAlign w:val="subscript"/>
        </w:rPr>
        <w:t>/2</w:t>
      </w:r>
      <w:r w:rsidRPr="00CA27E3">
        <w:rPr>
          <w:rFonts w:ascii="Sylfaen" w:hAnsi="Sylfaen"/>
          <w:sz w:val="24"/>
          <w:szCs w:val="24"/>
        </w:rPr>
        <w:t xml:space="preserve"> էներգասպառումը </w:t>
      </w:r>
      <w:r w:rsidRPr="00CA27E3">
        <w:rPr>
          <w:rFonts w:ascii="Sylfaen" w:hAnsi="Sylfaen"/>
          <w:sz w:val="24"/>
          <w:szCs w:val="24"/>
        </w:rPr>
        <w:lastRenderedPageBreak/>
        <w:t>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(կՎտ·ժ-ով)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2502072C" w14:textId="77777777" w:rsidR="00CA27E3" w:rsidRPr="00CA27E3" w:rsidRDefault="00000000" w:rsidP="00CA27E3">
      <w:pPr>
        <w:pStyle w:val="Bodytext212"/>
        <w:shd w:val="clear" w:color="auto" w:fill="auto"/>
        <w:spacing w:after="160" w:line="360" w:lineRule="auto"/>
        <w:ind w:firstLine="0"/>
        <w:rPr>
          <w:rFonts w:ascii="Sylfaen" w:hAnsi="Sylfaen"/>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E</m:t>
              </m:r>
            </m:e>
            <m:sub>
              <m:r>
                <w:rPr>
                  <w:rFonts w:ascii="Cambria Math" w:hAnsi="Cambria Math"/>
                  <w:sz w:val="24"/>
                  <w:szCs w:val="24"/>
                </w:rPr>
                <m:t>dry</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sz w:val="24"/>
                      <w:szCs w:val="24"/>
                    </w:rPr>
                  </m:ctrlPr>
                </m:sSubPr>
                <m:e>
                  <m:r>
                    <m:rPr>
                      <m:sty m:val="p"/>
                    </m:rPr>
                    <w:rPr>
                      <w:rFonts w:ascii="Cambria Math" w:hAnsi="Cambria Math"/>
                      <w:sz w:val="24"/>
                      <w:szCs w:val="24"/>
                    </w:rPr>
                    <m:t>Eg</m:t>
                  </m:r>
                </m:e>
                <m:sub>
                  <m:r>
                    <m:rPr>
                      <m:sty m:val="p"/>
                    </m:rPr>
                    <w:rPr>
                      <w:rFonts w:ascii="Cambria Math" w:hAnsi="Cambria Math"/>
                      <w:sz w:val="24"/>
                      <w:szCs w:val="24"/>
                    </w:rPr>
                    <m:t>dry</m:t>
                  </m:r>
                </m:sub>
              </m:sSub>
            </m:num>
            <m:den>
              <m:sSub>
                <m:sSubPr>
                  <m:ctrlPr>
                    <w:rPr>
                      <w:rFonts w:ascii="Cambria Math" w:hAnsi="Cambria Math"/>
                      <w:i/>
                      <w:sz w:val="24"/>
                      <w:szCs w:val="24"/>
                    </w:rPr>
                  </m:ctrlPr>
                </m:sSubPr>
                <m:e>
                  <m:r>
                    <w:rPr>
                      <w:rFonts w:ascii="MS Mincho" w:eastAsia="MS Mincho" w:hAnsi="MS Mincho" w:cs="MS Mincho" w:hint="eastAsia"/>
                      <w:sz w:val="24"/>
                      <w:szCs w:val="24"/>
                    </w:rPr>
                    <m:t>ʄ</m:t>
                  </m:r>
                </m:e>
                <m:sub>
                  <m:r>
                    <m:rPr>
                      <m:sty m:val="p"/>
                    </m:rPr>
                    <w:rPr>
                      <w:rFonts w:ascii="Cambria Math" w:hAnsi="Cambria Math"/>
                      <w:sz w:val="24"/>
                      <w:szCs w:val="24"/>
                    </w:rPr>
                    <m:t>g</m:t>
                  </m:r>
                </m:sub>
              </m:sSub>
            </m:den>
          </m:f>
          <m:r>
            <w:rPr>
              <w:rFonts w:ascii="Cambria Math" w:hAnsi="Cambria Math"/>
              <w:sz w:val="24"/>
              <w:szCs w:val="24"/>
            </w:rPr>
            <m:t>+</m:t>
          </m:r>
          <m:sSub>
            <m:sSubPr>
              <m:ctrlPr>
                <w:rPr>
                  <w:rFonts w:ascii="Cambria Math" w:hAnsi="Cambria Math"/>
                  <w:i/>
                  <w:sz w:val="24"/>
                  <w:szCs w:val="24"/>
                </w:rPr>
              </m:ctrlPr>
            </m:sSubPr>
            <m:e>
              <m:r>
                <m:rPr>
                  <m:sty m:val="p"/>
                </m:rPr>
                <w:rPr>
                  <w:rFonts w:ascii="Cambria Math" w:hAnsi="Cambria Math"/>
                  <w:sz w:val="24"/>
                  <w:szCs w:val="24"/>
                </w:rPr>
                <m:t>Eg</m:t>
              </m:r>
            </m:e>
            <m:sub>
              <m:r>
                <w:rPr>
                  <w:rFonts w:ascii="Cambria Math" w:hAnsi="Cambria Math"/>
                  <w:sz w:val="24"/>
                  <w:szCs w:val="24"/>
                </w:rPr>
                <m:t>dry,a</m:t>
              </m:r>
            </m:sub>
          </m:sSub>
          <m:r>
            <w:rPr>
              <w:rFonts w:ascii="Cambria Math" w:hAnsi="Cambria Math"/>
              <w:sz w:val="24"/>
              <w:szCs w:val="24"/>
            </w:rPr>
            <m:t>.</m:t>
          </m:r>
        </m:oMath>
      </m:oMathPara>
    </w:p>
    <w:p w14:paraId="59D9F627" w14:textId="77777777" w:rsidR="00CA27E3" w:rsidRPr="00CA27E3" w:rsidRDefault="00CA27E3" w:rsidP="00CA27E3">
      <w:pPr>
        <w:pStyle w:val="Bodytext212"/>
        <w:shd w:val="clear" w:color="auto" w:fill="auto"/>
        <w:spacing w:after="160" w:line="360" w:lineRule="auto"/>
        <w:ind w:firstLine="0"/>
        <w:rPr>
          <w:rFonts w:ascii="Sylfaen" w:hAnsi="Sylfaen"/>
          <w:sz w:val="24"/>
          <w:szCs w:val="24"/>
        </w:rPr>
      </w:pPr>
    </w:p>
    <w:p w14:paraId="19C527D6" w14:textId="77777777" w:rsidR="00CA27E3" w:rsidRPr="00CA27E3" w:rsidRDefault="00000000" w:rsidP="00CA27E3">
      <w:pPr>
        <w:pStyle w:val="Bodytext212"/>
        <w:shd w:val="clear" w:color="auto" w:fill="auto"/>
        <w:spacing w:after="160" w:line="360" w:lineRule="auto"/>
        <w:ind w:firstLine="0"/>
        <w:rPr>
          <w:rFonts w:ascii="Sylfaen" w:hAnsi="Sylfaen"/>
          <w:sz w:val="24"/>
          <w:szCs w:val="24"/>
        </w:rPr>
      </w:pPr>
      <m:oMathPara>
        <m:oMath>
          <m:sSub>
            <m:sSubPr>
              <m:ctrlPr>
                <w:rPr>
                  <w:rFonts w:ascii="Cambria Math" w:hAnsi="Cambria Math"/>
                  <w:i/>
                  <w:sz w:val="24"/>
                  <w:szCs w:val="24"/>
                </w:rPr>
              </m:ctrlPr>
            </m:sSubPr>
            <m:e>
              <m:r>
                <m:rPr>
                  <m:sty m:val="p"/>
                </m:rPr>
                <w:rPr>
                  <w:rFonts w:ascii="Cambria Math" w:hAnsi="Cambria Math"/>
                  <w:sz w:val="24"/>
                  <w:szCs w:val="24"/>
                </w:rPr>
                <m:t>E</m:t>
              </m:r>
            </m:e>
            <m:sub>
              <m:r>
                <m:rPr>
                  <m:sty m:val="p"/>
                </m:rPr>
                <w:rPr>
                  <w:rFonts w:ascii="Cambria Math" w:hAnsi="Cambria Math"/>
                  <w:sz w:val="24"/>
                  <w:szCs w:val="24"/>
                </w:rPr>
                <m:t>dry</m:t>
              </m:r>
              <m:r>
                <w:rPr>
                  <w:rFonts w:ascii="Cambria Math" w:hAnsi="Cambria Math"/>
                  <w:sz w:val="24"/>
                  <w:szCs w:val="24"/>
                </w:rPr>
                <m:t>1/2</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m:rPr>
                      <m:sty m:val="p"/>
                    </m:rPr>
                    <w:rPr>
                      <w:rFonts w:ascii="Cambria Math" w:hAnsi="Cambria Math"/>
                      <w:sz w:val="24"/>
                      <w:szCs w:val="24"/>
                    </w:rPr>
                    <m:t>Eg</m:t>
                  </m:r>
                </m:e>
                <m:sub>
                  <m:r>
                    <m:rPr>
                      <m:sty m:val="p"/>
                    </m:rPr>
                    <w:rPr>
                      <w:rFonts w:ascii="Cambria Math" w:hAnsi="Cambria Math"/>
                      <w:sz w:val="24"/>
                      <w:szCs w:val="24"/>
                    </w:rPr>
                    <m:t>dry</m:t>
                  </m:r>
                  <m:r>
                    <w:rPr>
                      <w:rFonts w:ascii="Cambria Math" w:hAnsi="Cambria Math"/>
                      <w:sz w:val="24"/>
                      <w:szCs w:val="24"/>
                    </w:rPr>
                    <m:t>1/2</m:t>
                  </m:r>
                </m:sub>
              </m:sSub>
            </m:num>
            <m:den>
              <m:sSub>
                <m:sSubPr>
                  <m:ctrlPr>
                    <w:rPr>
                      <w:rFonts w:ascii="Cambria Math" w:hAnsi="Cambria Math"/>
                      <w:i/>
                      <w:sz w:val="24"/>
                      <w:szCs w:val="24"/>
                    </w:rPr>
                  </m:ctrlPr>
                </m:sSubPr>
                <m:e>
                  <m:r>
                    <w:rPr>
                      <w:rFonts w:ascii="MS Mincho" w:eastAsia="MS Mincho" w:hAnsi="MS Mincho" w:cs="MS Mincho" w:hint="eastAsia"/>
                      <w:sz w:val="24"/>
                      <w:szCs w:val="24"/>
                    </w:rPr>
                    <m:t>ʄ</m:t>
                  </m:r>
                </m:e>
                <m:sub>
                  <m:r>
                    <m:rPr>
                      <m:sty m:val="p"/>
                    </m:rPr>
                    <w:rPr>
                      <w:rFonts w:ascii="Cambria Math" w:hAnsi="Cambria Math"/>
                      <w:sz w:val="24"/>
                      <w:szCs w:val="24"/>
                    </w:rPr>
                    <m:t>g</m:t>
                  </m:r>
                </m:sub>
              </m:sSub>
            </m:den>
          </m:f>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r>
                <m:rPr>
                  <m:sty m:val="p"/>
                </m:rPr>
                <w:rPr>
                  <w:rFonts w:ascii="Cambria Math" w:hAnsi="Cambria Math"/>
                  <w:sz w:val="24"/>
                  <w:szCs w:val="24"/>
                </w:rPr>
                <m:t>g</m:t>
              </m:r>
            </m:e>
            <m:sub>
              <m:r>
                <w:rPr>
                  <w:rFonts w:ascii="Cambria Math" w:hAnsi="Cambria Math"/>
                  <w:sz w:val="24"/>
                  <w:szCs w:val="24"/>
                </w:rPr>
                <m:t>dry1/2,a</m:t>
              </m:r>
            </m:sub>
          </m:sSub>
          <m:r>
            <w:rPr>
              <w:rFonts w:ascii="Cambria Math" w:hAnsi="Cambria Math"/>
              <w:sz w:val="24"/>
              <w:szCs w:val="24"/>
            </w:rPr>
            <m:t>.</m:t>
          </m:r>
        </m:oMath>
      </m:oMathPara>
    </w:p>
    <w:p w14:paraId="3B960546" w14:textId="77777777" w:rsidR="00CA27E3" w:rsidRPr="00CA27E3" w:rsidRDefault="00CA27E3" w:rsidP="00CA27E3">
      <w:pPr>
        <w:pStyle w:val="Bodytext180"/>
        <w:shd w:val="clear" w:color="auto" w:fill="auto"/>
        <w:spacing w:after="160" w:line="360" w:lineRule="auto"/>
        <w:rPr>
          <w:rStyle w:val="Bodytext18Impact"/>
          <w:rFonts w:ascii="Sylfaen" w:hAnsi="Sylfaen"/>
          <w:sz w:val="24"/>
          <w:szCs w:val="24"/>
        </w:rPr>
      </w:pPr>
    </w:p>
    <w:p w14:paraId="055521A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2DF9BC1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Eg</w:t>
      </w:r>
      <w:r w:rsidRPr="00CA27E3">
        <w:rPr>
          <w:rFonts w:ascii="Sylfaen" w:hAnsi="Sylfaen"/>
          <w:sz w:val="24"/>
          <w:szCs w:val="24"/>
          <w:vertAlign w:val="subscript"/>
        </w:rPr>
        <w:t>dry-</w:t>
      </w:r>
      <w:r w:rsidRPr="00CA27E3">
        <w:rPr>
          <w:rFonts w:ascii="Sylfaen" w:hAnsi="Sylfaen"/>
          <w:sz w:val="24"/>
          <w:szCs w:val="24"/>
        </w:rPr>
        <w:t>ը` լրիվ բեռնմամբ «բամբակ» ստանդարտ ծրագրի համար գազի ջերմարար էներգիայի սպառումն է (կՎտ·ժ-ով)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60B2B5A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Eg</w:t>
      </w:r>
      <w:r w:rsidRPr="00CA27E3">
        <w:rPr>
          <w:rFonts w:ascii="Sylfaen" w:hAnsi="Sylfaen"/>
          <w:sz w:val="24"/>
          <w:szCs w:val="24"/>
          <w:vertAlign w:val="subscript"/>
        </w:rPr>
        <w:t>dry1/2-</w:t>
      </w:r>
      <w:r w:rsidR="00923537">
        <w:rPr>
          <w:rFonts w:ascii="Sylfaen" w:hAnsi="Sylfaen"/>
          <w:sz w:val="24"/>
          <w:szCs w:val="24"/>
        </w:rPr>
        <w:t>ը</w:t>
      </w:r>
      <w:r w:rsidRPr="00CA27E3">
        <w:rPr>
          <w:rFonts w:ascii="Sylfaen" w:hAnsi="Sylfaen"/>
          <w:sz w:val="24"/>
          <w:szCs w:val="24"/>
        </w:rPr>
        <w:t>` մասնակի բեռնմամբ «բամբակ» ստանդարտ ծրագրի համար գազի ջերմարար էներգիայի սպառումն է (կՎտ·ժ-ով)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42F05B1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Eg</w:t>
      </w:r>
      <w:r w:rsidRPr="00CA27E3">
        <w:rPr>
          <w:rFonts w:ascii="Sylfaen" w:hAnsi="Sylfaen"/>
          <w:sz w:val="24"/>
          <w:szCs w:val="24"/>
          <w:vertAlign w:val="subscript"/>
        </w:rPr>
        <w:t>dry,a-</w:t>
      </w:r>
      <w:r w:rsidRPr="00CA27E3">
        <w:rPr>
          <w:rFonts w:ascii="Sylfaen" w:hAnsi="Sylfaen"/>
          <w:sz w:val="24"/>
          <w:szCs w:val="24"/>
        </w:rPr>
        <w:t>ը`լրիվ բեռնմամբ «բամբակ» ստանդարտ ծրագրի համար էլեկտրաէներգիայի լրացուցիչ (օժանդակ) սպառումն է (կՎտ·ժ-ով) (մինչ</w:t>
      </w:r>
      <w:r>
        <w:rPr>
          <w:rFonts w:ascii="Sylfaen" w:hAnsi="Sylfaen"/>
          <w:sz w:val="24"/>
          <w:szCs w:val="24"/>
        </w:rPr>
        <w:t>եւ</w:t>
      </w:r>
      <w:r w:rsidRPr="00CA27E3">
        <w:rPr>
          <w:rFonts w:ascii="Sylfaen" w:hAnsi="Sylfaen"/>
          <w:sz w:val="24"/>
          <w:szCs w:val="24"/>
        </w:rPr>
        <w:t xml:space="preserve"> 2</w:t>
      </w:r>
      <w:r w:rsidR="00923537" w:rsidRPr="00923537">
        <w:rPr>
          <w:rFonts w:ascii="Sylfaen" w:hAnsi="Sylfaen"/>
          <w:sz w:val="24"/>
          <w:szCs w:val="24"/>
        </w:rPr>
        <w:t> </w:t>
      </w:r>
      <w:r w:rsidRPr="00CA27E3">
        <w:rPr>
          <w:rFonts w:ascii="Sylfaen" w:hAnsi="Sylfaen"/>
          <w:sz w:val="24"/>
          <w:szCs w:val="24"/>
        </w:rPr>
        <w:t>տասնորդական նիշ կլորացմամբ).</w:t>
      </w:r>
    </w:p>
    <w:p w14:paraId="19E3E99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Eg</w:t>
      </w:r>
      <w:r w:rsidRPr="00CA27E3">
        <w:rPr>
          <w:rFonts w:ascii="Sylfaen" w:hAnsi="Sylfaen"/>
          <w:sz w:val="24"/>
          <w:szCs w:val="24"/>
          <w:vertAlign w:val="subscript"/>
        </w:rPr>
        <w:t>dry,a-</w:t>
      </w:r>
      <w:r w:rsidRPr="00CA27E3">
        <w:rPr>
          <w:rFonts w:ascii="Sylfaen" w:hAnsi="Sylfaen"/>
          <w:sz w:val="24"/>
          <w:szCs w:val="24"/>
        </w:rPr>
        <w:t>ը`մասնակի բեռնմամբ «բամբակ» ստանդարտ ծրագրի համար էլեկտրաէներգիայի լրացուցիչ (օժանդակ) սպառումն է (կՎտ·ժ-ով) (մինչ</w:t>
      </w:r>
      <w:r>
        <w:rPr>
          <w:rFonts w:ascii="Sylfaen" w:hAnsi="Sylfaen"/>
          <w:sz w:val="24"/>
          <w:szCs w:val="24"/>
        </w:rPr>
        <w:t>եւ</w:t>
      </w:r>
      <w:r w:rsidRPr="00CA27E3">
        <w:rPr>
          <w:rFonts w:ascii="Sylfaen" w:hAnsi="Sylfaen"/>
          <w:sz w:val="24"/>
          <w:szCs w:val="24"/>
        </w:rPr>
        <w:t xml:space="preserve"> 2</w:t>
      </w:r>
      <w:r w:rsidR="00923537" w:rsidRPr="00923537">
        <w:rPr>
          <w:rFonts w:ascii="Sylfaen" w:hAnsi="Sylfaen"/>
          <w:sz w:val="24"/>
          <w:szCs w:val="24"/>
        </w:rPr>
        <w:t> </w:t>
      </w:r>
      <w:r w:rsidRPr="00CA27E3">
        <w:rPr>
          <w:rFonts w:ascii="Sylfaen" w:hAnsi="Sylfaen"/>
          <w:sz w:val="24"/>
          <w:szCs w:val="24"/>
        </w:rPr>
        <w:t>տասնորդական նիշ կլորացմամբ).</w:t>
      </w:r>
    </w:p>
    <w:p w14:paraId="5783E91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ƒ</w:t>
      </w:r>
      <w:r w:rsidRPr="00CA27E3">
        <w:rPr>
          <w:rFonts w:ascii="Sylfaen" w:hAnsi="Sylfaen"/>
          <w:sz w:val="24"/>
          <w:szCs w:val="24"/>
          <w:vertAlign w:val="subscript"/>
        </w:rPr>
        <w:t>g</w:t>
      </w:r>
      <w:r w:rsidRPr="00CA27E3">
        <w:rPr>
          <w:rFonts w:ascii="Sylfaen" w:hAnsi="Sylfaen"/>
          <w:sz w:val="24"/>
          <w:szCs w:val="24"/>
        </w:rPr>
        <w:t xml:space="preserve"> = 2,5:</w:t>
      </w:r>
    </w:p>
    <w:p w14:paraId="7A92F963"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5.</w:t>
      </w:r>
      <w:r w:rsidR="00647F3B" w:rsidRPr="00647F3B">
        <w:rPr>
          <w:rFonts w:ascii="Sylfaen" w:hAnsi="Sylfaen"/>
          <w:sz w:val="24"/>
          <w:szCs w:val="24"/>
        </w:rPr>
        <w:tab/>
      </w:r>
      <w:r w:rsidRPr="00CA27E3">
        <w:rPr>
          <w:rFonts w:ascii="Sylfaen" w:hAnsi="Sylfaen"/>
          <w:sz w:val="24"/>
          <w:szCs w:val="24"/>
        </w:rPr>
        <w:t xml:space="preserve">Կոնդենսացման արդյունավետությունը որոշվում է որպես չորացնող մեքենայի կոնդենսատորում կոնդենսացված խոնավության զանգվածի հարաբերություն տեքստիլ գործվածքից չորացման ծրագրի կատարման ընթացքում հեռացված խոնավության զանգվածի նկատմամբ, ընդ որում՝ վերջինս </w:t>
      </w:r>
      <w:r w:rsidRPr="00CA27E3">
        <w:rPr>
          <w:rFonts w:ascii="Sylfaen" w:hAnsi="Sylfaen"/>
          <w:sz w:val="24"/>
          <w:szCs w:val="24"/>
        </w:rPr>
        <w:lastRenderedPageBreak/>
        <w:t xml:space="preserve">հավասար է չորացնելուց առաջ՝ փորձարկվող խոնավ գործվածքի՝ զանգվածի </w:t>
      </w:r>
      <w:r>
        <w:rPr>
          <w:rFonts w:ascii="Sylfaen" w:hAnsi="Sylfaen"/>
          <w:sz w:val="24"/>
          <w:szCs w:val="24"/>
        </w:rPr>
        <w:t>եւ</w:t>
      </w:r>
      <w:r w:rsidRPr="00CA27E3">
        <w:rPr>
          <w:rFonts w:ascii="Sylfaen" w:hAnsi="Sylfaen"/>
          <w:sz w:val="24"/>
          <w:szCs w:val="24"/>
        </w:rPr>
        <w:t xml:space="preserve"> չորացնելուց հետո այդ նույն գործվածքի զանգվածի միջ</w:t>
      </w:r>
      <w:r>
        <w:rPr>
          <w:rFonts w:ascii="Sylfaen" w:hAnsi="Sylfaen"/>
          <w:sz w:val="24"/>
          <w:szCs w:val="24"/>
        </w:rPr>
        <w:t>եւ</w:t>
      </w:r>
      <w:r w:rsidRPr="00CA27E3">
        <w:rPr>
          <w:rFonts w:ascii="Sylfaen" w:hAnsi="Sylfaen"/>
          <w:sz w:val="24"/>
          <w:szCs w:val="24"/>
        </w:rPr>
        <w:t xml:space="preserve"> տարբերությանը:</w:t>
      </w:r>
    </w:p>
    <w:p w14:paraId="737654D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Կոնդենսացման կշռված արդյունավետության հաշվարկման համար որոշվում է լրիվ </w:t>
      </w:r>
      <w:r>
        <w:rPr>
          <w:rFonts w:ascii="Sylfaen" w:hAnsi="Sylfaen"/>
          <w:sz w:val="24"/>
          <w:szCs w:val="24"/>
        </w:rPr>
        <w:t>եւ</w:t>
      </w:r>
      <w:r w:rsidRPr="00CA27E3">
        <w:rPr>
          <w:rFonts w:ascii="Sylfaen" w:hAnsi="Sylfaen"/>
          <w:sz w:val="24"/>
          <w:szCs w:val="24"/>
        </w:rPr>
        <w:t xml:space="preserve"> մասնակի բեռնումներով «բամբակ» ստանդարտ ծրագրի համար կոնդենսացման միջին արդյունավետությունը:</w:t>
      </w:r>
    </w:p>
    <w:p w14:paraId="1DA1519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Կոնդենսացման կշռված արդյունավետությունը (C</w:t>
      </w:r>
      <w:r w:rsidRPr="00CA27E3">
        <w:rPr>
          <w:rFonts w:ascii="Sylfaen" w:hAnsi="Sylfaen"/>
          <w:sz w:val="24"/>
          <w:szCs w:val="24"/>
          <w:vertAlign w:val="subscript"/>
        </w:rPr>
        <w:t>t</w:t>
      </w:r>
      <w:r w:rsidRPr="00CA27E3">
        <w:rPr>
          <w:rFonts w:ascii="Sylfaen" w:hAnsi="Sylfaen"/>
          <w:sz w:val="24"/>
          <w:szCs w:val="24"/>
        </w:rPr>
        <w:t>) հաշվարկվում է տոկոսներով՝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ամբողջ արժեք կլորացմամբ)՝</w:t>
      </w:r>
      <w:r>
        <w:rPr>
          <w:rFonts w:ascii="Sylfaen" w:hAnsi="Sylfaen"/>
          <w:sz w:val="24"/>
          <w:szCs w:val="24"/>
        </w:rPr>
        <w:t xml:space="preserve"> </w:t>
      </w:r>
    </w:p>
    <w:p w14:paraId="50C4AC9B" w14:textId="77777777" w:rsidR="00CA27E3" w:rsidRPr="00CA27E3" w:rsidRDefault="00000000" w:rsidP="00CA27E3">
      <w:pPr>
        <w:pStyle w:val="Bodytext212"/>
        <w:shd w:val="clear" w:color="auto" w:fill="auto"/>
        <w:spacing w:after="160" w:line="360" w:lineRule="auto"/>
        <w:ind w:firstLine="567"/>
        <w:rPr>
          <w:rFonts w:ascii="Sylfaen" w:hAnsi="Sylfaen"/>
          <w:sz w:val="24"/>
          <w:szCs w:val="24"/>
        </w:rPr>
      </w:pPr>
      <m:oMathPara>
        <m:oMath>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t</m:t>
              </m:r>
            </m:sub>
          </m:sSub>
          <m:r>
            <m:rPr>
              <m:sty m:val="p"/>
            </m:rPr>
            <w:rPr>
              <w:rFonts w:ascii="Cambria Math" w:hAnsi="Cambria Math"/>
              <w:sz w:val="24"/>
              <w:szCs w:val="24"/>
            </w:rPr>
            <m:t>=(3×</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dry</m:t>
              </m:r>
            </m:sub>
          </m:sSub>
          <m:r>
            <m:rPr>
              <m:sty m:val="p"/>
            </m:rPr>
            <w:rPr>
              <w:rFonts w:ascii="Cambria Math" w:hAnsi="Cambria Math"/>
              <w:sz w:val="24"/>
              <w:szCs w:val="24"/>
            </w:rPr>
            <m:t>+4×</m:t>
          </m:r>
          <m:sSub>
            <m:sSubPr>
              <m:ctrlPr>
                <w:rPr>
                  <w:rFonts w:ascii="Cambria Math" w:hAnsi="Cambria Math"/>
                  <w:sz w:val="24"/>
                  <w:szCs w:val="24"/>
                </w:rPr>
              </m:ctrlPr>
            </m:sSubPr>
            <m:e>
              <m:r>
                <m:rPr>
                  <m:sty m:val="p"/>
                </m:rPr>
                <w:rPr>
                  <w:rFonts w:ascii="Cambria Math" w:hAnsi="Cambria Math"/>
                  <w:sz w:val="24"/>
                  <w:szCs w:val="24"/>
                </w:rPr>
                <m:t>C</m:t>
              </m:r>
            </m:e>
            <m:sub>
              <m:r>
                <m:rPr>
                  <m:sty m:val="p"/>
                </m:rPr>
                <w:rPr>
                  <w:rFonts w:ascii="Cambria Math" w:hAnsi="Cambria Math"/>
                  <w:sz w:val="24"/>
                  <w:szCs w:val="24"/>
                </w:rPr>
                <m:t>dry1/2</m:t>
              </m:r>
            </m:sub>
          </m:sSub>
          <m:r>
            <m:rPr>
              <m:sty m:val="p"/>
            </m:rPr>
            <w:rPr>
              <w:rFonts w:ascii="Cambria Math" w:hAnsi="Cambria Math"/>
              <w:sz w:val="24"/>
              <w:szCs w:val="24"/>
            </w:rPr>
            <m:t>)/7,</m:t>
          </m:r>
        </m:oMath>
      </m:oMathPara>
    </w:p>
    <w:p w14:paraId="241E9578" w14:textId="77777777" w:rsidR="00CA27E3" w:rsidRPr="00CA27E3" w:rsidRDefault="00CA27E3" w:rsidP="00923537">
      <w:pPr>
        <w:pStyle w:val="Bodytext212"/>
        <w:shd w:val="clear" w:color="auto" w:fill="auto"/>
        <w:spacing w:after="160" w:line="341" w:lineRule="auto"/>
        <w:ind w:firstLine="567"/>
        <w:rPr>
          <w:rFonts w:ascii="Sylfaen" w:hAnsi="Sylfaen"/>
          <w:sz w:val="24"/>
          <w:szCs w:val="24"/>
        </w:rPr>
      </w:pPr>
    </w:p>
    <w:p w14:paraId="4458EA4B"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որտեղ՝</w:t>
      </w:r>
    </w:p>
    <w:p w14:paraId="222126F3"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C</w:t>
      </w:r>
      <w:r w:rsidRPr="00CA27E3">
        <w:rPr>
          <w:rFonts w:ascii="Sylfaen" w:hAnsi="Sylfaen"/>
          <w:sz w:val="24"/>
          <w:szCs w:val="24"/>
          <w:vertAlign w:val="subscript"/>
        </w:rPr>
        <w:t>dry-ը</w:t>
      </w:r>
      <w:r w:rsidRPr="00CA27E3">
        <w:rPr>
          <w:rFonts w:ascii="Sylfaen" w:hAnsi="Sylfaen"/>
          <w:sz w:val="24"/>
          <w:szCs w:val="24"/>
        </w:rPr>
        <w:t>՝ լրիվ բեռնմամբ «բամբակ» ստանդարտ ծրագրի համար կոնդենսացման միջին արդյունավետությունն է.</w:t>
      </w:r>
    </w:p>
    <w:p w14:paraId="6CDFFABD"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C</w:t>
      </w:r>
      <w:r w:rsidRPr="00CA27E3">
        <w:rPr>
          <w:rFonts w:ascii="Sylfaen" w:hAnsi="Sylfaen"/>
          <w:sz w:val="24"/>
          <w:szCs w:val="24"/>
          <w:vertAlign w:val="subscript"/>
        </w:rPr>
        <w:t>dry1/2-</w:t>
      </w:r>
      <w:r w:rsidRPr="00CA27E3">
        <w:rPr>
          <w:rFonts w:ascii="Sylfaen" w:hAnsi="Sylfaen"/>
          <w:sz w:val="24"/>
          <w:szCs w:val="24"/>
        </w:rPr>
        <w:t>ը՝ մասնակի բեռնմամբ «բամբակ» ստանդարտ ծրագրի համար կոնդենսացման միջին արդյունավետությունն է:</w:t>
      </w:r>
    </w:p>
    <w:p w14:paraId="67A302EB"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 xml:space="preserve">Կոնդենսացման միջին արդյունավետությունը (C) հաշվարկվում է ըստ փորձարկման ցիկլերում կոնդենսացման արդյունավետության որոշման արդյունքների </w:t>
      </w:r>
      <w:r>
        <w:rPr>
          <w:rFonts w:ascii="Sylfaen" w:hAnsi="Sylfaen"/>
          <w:sz w:val="24"/>
          <w:szCs w:val="24"/>
        </w:rPr>
        <w:t>եւ</w:t>
      </w:r>
      <w:r w:rsidRPr="00CA27E3">
        <w:rPr>
          <w:rFonts w:ascii="Sylfaen" w:hAnsi="Sylfaen"/>
          <w:sz w:val="24"/>
          <w:szCs w:val="24"/>
        </w:rPr>
        <w:t xml:space="preserve"> արտահայտվում է տոկոսներով՝</w:t>
      </w:r>
    </w:p>
    <w:p w14:paraId="73B3DEB0" w14:textId="77777777" w:rsidR="00CA27E3" w:rsidRPr="00923537" w:rsidRDefault="00923537" w:rsidP="00CA27E3">
      <w:pPr>
        <w:pStyle w:val="Heading21"/>
        <w:shd w:val="clear" w:color="auto" w:fill="auto"/>
        <w:spacing w:before="0" w:after="160" w:line="360" w:lineRule="auto"/>
        <w:ind w:firstLine="567"/>
        <w:outlineLvl w:val="9"/>
        <w:rPr>
          <w:rFonts w:ascii="Sylfaen" w:hAnsi="Sylfaen"/>
          <w:b w:val="0"/>
          <w:i/>
          <w:sz w:val="24"/>
          <w:szCs w:val="24"/>
        </w:rPr>
      </w:pPr>
      <m:oMathPara>
        <m:oMath>
          <m:r>
            <m:rPr>
              <m:sty m:val="bi"/>
            </m:rPr>
            <w:rPr>
              <w:rFonts w:ascii="Cambria Math" w:hAnsi="Cambria Math"/>
              <w:sz w:val="24"/>
              <w:szCs w:val="24"/>
            </w:rPr>
            <m:t>C=</m:t>
          </m:r>
          <m:f>
            <m:fPr>
              <m:ctrlPr>
                <w:rPr>
                  <w:rFonts w:ascii="Cambria Math" w:hAnsi="Cambria Math"/>
                  <w:b w:val="0"/>
                  <w:i/>
                  <w:sz w:val="24"/>
                  <w:szCs w:val="24"/>
                </w:rPr>
              </m:ctrlPr>
            </m:fPr>
            <m:num>
              <m:r>
                <m:rPr>
                  <m:sty m:val="bi"/>
                </m:rPr>
                <w:rPr>
                  <w:rFonts w:ascii="Cambria Math" w:hAnsi="Cambria Math"/>
                  <w:sz w:val="24"/>
                  <w:szCs w:val="24"/>
                </w:rPr>
                <m:t>1</m:t>
              </m:r>
            </m:num>
            <m:den>
              <m:r>
                <m:rPr>
                  <m:sty m:val="bi"/>
                </m:rPr>
                <w:rPr>
                  <w:rFonts w:ascii="Cambria Math" w:hAnsi="Cambria Math"/>
                  <w:sz w:val="24"/>
                  <w:szCs w:val="24"/>
                </w:rPr>
                <m:t>(n-1)</m:t>
              </m:r>
            </m:den>
          </m:f>
          <m:nary>
            <m:naryPr>
              <m:chr m:val="∑"/>
              <m:limLoc m:val="subSup"/>
              <m:ctrlPr>
                <w:rPr>
                  <w:rFonts w:ascii="Cambria Math" w:hAnsi="Cambria Math"/>
                  <w:b w:val="0"/>
                  <w:i/>
                  <w:sz w:val="24"/>
                  <w:szCs w:val="24"/>
                </w:rPr>
              </m:ctrlPr>
            </m:naryPr>
            <m:sub>
              <m:r>
                <m:rPr>
                  <m:sty m:val="bi"/>
                </m:rPr>
                <w:rPr>
                  <w:rFonts w:ascii="Cambria Math" w:hAnsi="Cambria Math"/>
                  <w:sz w:val="24"/>
                  <w:szCs w:val="24"/>
                </w:rPr>
                <m:t>j=2</m:t>
              </m:r>
            </m:sub>
            <m:sup>
              <m:r>
                <m:rPr>
                  <m:sty m:val="bi"/>
                </m:rPr>
                <w:rPr>
                  <w:rFonts w:ascii="Cambria Math" w:hAnsi="Cambria Math"/>
                  <w:sz w:val="24"/>
                  <w:szCs w:val="24"/>
                </w:rPr>
                <m:t>n</m:t>
              </m:r>
            </m:sup>
            <m:e>
              <m:d>
                <m:dPr>
                  <m:ctrlPr>
                    <w:rPr>
                      <w:rFonts w:ascii="Cambria Math" w:hAnsi="Cambria Math"/>
                      <w:b w:val="0"/>
                      <w:i/>
                      <w:sz w:val="24"/>
                      <w:szCs w:val="24"/>
                    </w:rPr>
                  </m:ctrlPr>
                </m:dPr>
                <m:e>
                  <m:f>
                    <m:fPr>
                      <m:ctrlPr>
                        <w:rPr>
                          <w:rFonts w:ascii="Cambria Math" w:hAnsi="Cambria Math"/>
                          <w:b w:val="0"/>
                          <w:i/>
                          <w:sz w:val="24"/>
                          <w:szCs w:val="24"/>
                        </w:rPr>
                      </m:ctrlPr>
                    </m:fPr>
                    <m:num>
                      <m:sSub>
                        <m:sSubPr>
                          <m:ctrlPr>
                            <w:rPr>
                              <w:rFonts w:ascii="Cambria Math" w:hAnsi="Cambria Math"/>
                              <w:b w:val="0"/>
                              <w:i/>
                              <w:sz w:val="24"/>
                              <w:szCs w:val="24"/>
                            </w:rPr>
                          </m:ctrlPr>
                        </m:sSubPr>
                        <m:e>
                          <m:r>
                            <m:rPr>
                              <m:sty m:val="bi"/>
                            </m:rPr>
                            <w:rPr>
                              <w:rFonts w:ascii="Cambria Math" w:hAnsi="Cambria Math"/>
                              <w:sz w:val="24"/>
                              <w:szCs w:val="24"/>
                            </w:rPr>
                            <m:t>W</m:t>
                          </m:r>
                        </m:e>
                        <m:sub>
                          <m:r>
                            <m:rPr>
                              <m:sty m:val="bi"/>
                            </m:rPr>
                            <w:rPr>
                              <w:rFonts w:ascii="Cambria Math" w:hAnsi="Cambria Math"/>
                              <w:sz w:val="24"/>
                              <w:szCs w:val="24"/>
                            </w:rPr>
                            <m:t>WJ</m:t>
                          </m:r>
                        </m:sub>
                      </m:sSub>
                    </m:num>
                    <m:den>
                      <m:sSub>
                        <m:sSubPr>
                          <m:ctrlPr>
                            <w:rPr>
                              <w:rFonts w:ascii="Cambria Math" w:hAnsi="Cambria Math"/>
                              <w:b w:val="0"/>
                              <w:i/>
                              <w:sz w:val="24"/>
                              <w:szCs w:val="24"/>
                            </w:rPr>
                          </m:ctrlPr>
                        </m:sSubPr>
                        <m:e>
                          <m:r>
                            <m:rPr>
                              <m:sty m:val="bi"/>
                            </m:rPr>
                            <w:rPr>
                              <w:rFonts w:ascii="Cambria Math" w:hAnsi="Cambria Math"/>
                              <w:sz w:val="24"/>
                              <w:szCs w:val="24"/>
                            </w:rPr>
                            <m:t>W</m:t>
                          </m:r>
                        </m:e>
                        <m:sub>
                          <m:r>
                            <m:rPr>
                              <m:sty m:val="bi"/>
                            </m:rPr>
                            <w:rPr>
                              <w:rFonts w:ascii="Cambria Math" w:hAnsi="Cambria Math"/>
                              <w:sz w:val="24"/>
                              <w:szCs w:val="24"/>
                            </w:rPr>
                            <m:t>i</m:t>
                          </m:r>
                        </m:sub>
                      </m:sSub>
                      <m:r>
                        <m:rPr>
                          <m:sty m:val="bi"/>
                        </m:rPr>
                        <w:rPr>
                          <w:rFonts w:ascii="Cambria Math" w:hAnsi="Cambria Math"/>
                          <w:sz w:val="24"/>
                          <w:szCs w:val="24"/>
                        </w:rPr>
                        <m:t>-</m:t>
                      </m:r>
                      <m:sSub>
                        <m:sSubPr>
                          <m:ctrlPr>
                            <w:rPr>
                              <w:rFonts w:ascii="Cambria Math" w:hAnsi="Cambria Math"/>
                              <w:b w:val="0"/>
                              <w:i/>
                              <w:sz w:val="24"/>
                              <w:szCs w:val="24"/>
                            </w:rPr>
                          </m:ctrlPr>
                        </m:sSubPr>
                        <m:e>
                          <m:r>
                            <m:rPr>
                              <m:sty m:val="bi"/>
                            </m:rPr>
                            <w:rPr>
                              <w:rFonts w:ascii="Cambria Math" w:hAnsi="Cambria Math"/>
                              <w:sz w:val="24"/>
                              <w:szCs w:val="24"/>
                            </w:rPr>
                            <m:t>W</m:t>
                          </m:r>
                        </m:e>
                        <m:sub>
                          <m:r>
                            <m:rPr>
                              <m:sty m:val="bi"/>
                            </m:rPr>
                            <w:rPr>
                              <w:rFonts w:ascii="Cambria Math" w:hAnsi="Cambria Math"/>
                              <w:sz w:val="24"/>
                              <w:szCs w:val="24"/>
                            </w:rPr>
                            <m:t>f</m:t>
                          </m:r>
                        </m:sub>
                      </m:sSub>
                    </m:den>
                  </m:f>
                  <m:r>
                    <m:rPr>
                      <m:sty m:val="bi"/>
                    </m:rPr>
                    <w:rPr>
                      <w:rFonts w:ascii="Cambria Math" w:hAnsi="Cambria Math"/>
                      <w:sz w:val="24"/>
                      <w:szCs w:val="24"/>
                    </w:rPr>
                    <m:t>×100</m:t>
                  </m:r>
                </m:e>
              </m:d>
              <m:r>
                <m:rPr>
                  <m:sty m:val="bi"/>
                </m:rPr>
                <w:rPr>
                  <w:rFonts w:ascii="Cambria Math" w:hAnsi="Cambria Math"/>
                  <w:sz w:val="24"/>
                  <w:szCs w:val="24"/>
                </w:rPr>
                <m:t>,</m:t>
              </m:r>
            </m:e>
          </m:nary>
        </m:oMath>
      </m:oMathPara>
    </w:p>
    <w:p w14:paraId="567306AA" w14:textId="77777777" w:rsidR="00CA27E3" w:rsidRPr="00CA27E3" w:rsidRDefault="00CA27E3" w:rsidP="00923537">
      <w:pPr>
        <w:pStyle w:val="Heading21"/>
        <w:shd w:val="clear" w:color="auto" w:fill="auto"/>
        <w:spacing w:before="0" w:after="160" w:line="341" w:lineRule="auto"/>
        <w:ind w:firstLine="567"/>
        <w:outlineLvl w:val="9"/>
        <w:rPr>
          <w:rFonts w:ascii="Sylfaen" w:hAnsi="Sylfaen"/>
          <w:b w:val="0"/>
          <w:sz w:val="24"/>
          <w:szCs w:val="24"/>
        </w:rPr>
      </w:pPr>
    </w:p>
    <w:p w14:paraId="15D383FF"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որտեղ՝</w:t>
      </w:r>
    </w:p>
    <w:p w14:paraId="6E7B981D"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 xml:space="preserve">n-ը՝ փորձարկման ցիկլերի քանակն է, որն առնվազն ներառում է ընտրված ծրագրի համար 4 իրական փորձարկման ցիկլ. </w:t>
      </w:r>
    </w:p>
    <w:p w14:paraId="16877F82"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j-ն՝փորձարկումների ցիկլի համար է.</w:t>
      </w:r>
    </w:p>
    <w:p w14:paraId="67335226" w14:textId="77777777" w:rsidR="00CA27E3" w:rsidRPr="00CA27E3" w:rsidRDefault="00CA27E3" w:rsidP="0092353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wj</w:t>
      </w:r>
      <w:r w:rsidRPr="00CA27E3">
        <w:rPr>
          <w:rFonts w:ascii="Sylfaen" w:hAnsi="Sylfaen"/>
          <w:sz w:val="24"/>
          <w:szCs w:val="24"/>
        </w:rPr>
        <w:t>j-ը՝ փորձարկման ժամանակ կոնդենսատորում կոնդենսացված ջրի զանգվածն է.</w:t>
      </w:r>
    </w:p>
    <w:p w14:paraId="36E3774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W</w:t>
      </w:r>
      <w:r w:rsidRPr="00CA27E3">
        <w:rPr>
          <w:rFonts w:ascii="Sylfaen" w:hAnsi="Sylfaen"/>
          <w:sz w:val="24"/>
          <w:szCs w:val="24"/>
          <w:vertAlign w:val="subscript"/>
        </w:rPr>
        <w:t>i</w:t>
      </w:r>
      <w:r w:rsidRPr="00CA27E3">
        <w:rPr>
          <w:rFonts w:ascii="Sylfaen" w:hAnsi="Sylfaen"/>
          <w:sz w:val="24"/>
          <w:szCs w:val="24"/>
        </w:rPr>
        <w:t>-ը ՝ չորացնելուց առաջ խոնավ փորձարկման բեռնման զանգվածն է.</w:t>
      </w:r>
    </w:p>
    <w:p w14:paraId="4F64128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W</w:t>
      </w:r>
      <w:r w:rsidRPr="00CA27E3">
        <w:rPr>
          <w:rFonts w:ascii="Sylfaen" w:hAnsi="Sylfaen"/>
          <w:sz w:val="24"/>
          <w:szCs w:val="24"/>
          <w:vertAlign w:val="subscript"/>
        </w:rPr>
        <w:t>f</w:t>
      </w:r>
      <w:r w:rsidRPr="00CA27E3">
        <w:rPr>
          <w:rFonts w:ascii="Sylfaen" w:hAnsi="Sylfaen"/>
          <w:sz w:val="24"/>
          <w:szCs w:val="24"/>
        </w:rPr>
        <w:t>-ը՝չորացնելուց հետո փորձարկման բեռնման զանգվածն է:</w:t>
      </w:r>
    </w:p>
    <w:p w14:paraId="4D285555"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6.</w:t>
      </w:r>
      <w:r w:rsidR="00647F3B" w:rsidRPr="00647F3B">
        <w:rPr>
          <w:rFonts w:ascii="Sylfaen" w:hAnsi="Sylfaen"/>
          <w:sz w:val="24"/>
          <w:szCs w:val="24"/>
        </w:rPr>
        <w:tab/>
      </w:r>
      <w:r w:rsidRPr="00CA27E3">
        <w:rPr>
          <w:rFonts w:ascii="Sylfaen" w:hAnsi="Sylfaen"/>
          <w:sz w:val="24"/>
          <w:szCs w:val="24"/>
        </w:rPr>
        <w:t>Չորացնող մեքենաները պետք է համապատասխանեն հետ</w:t>
      </w:r>
      <w:r>
        <w:rPr>
          <w:rFonts w:ascii="Sylfaen" w:hAnsi="Sylfaen"/>
          <w:sz w:val="24"/>
          <w:szCs w:val="24"/>
        </w:rPr>
        <w:t>եւ</w:t>
      </w:r>
      <w:r w:rsidRPr="00CA27E3">
        <w:rPr>
          <w:rFonts w:ascii="Sylfaen" w:hAnsi="Sylfaen"/>
          <w:sz w:val="24"/>
          <w:szCs w:val="24"/>
        </w:rPr>
        <w:t>յալ պահանջներին՝</w:t>
      </w:r>
    </w:p>
    <w:p w14:paraId="1F5E7ADE"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647F3B" w:rsidRPr="00BF7FB9">
        <w:rPr>
          <w:rFonts w:ascii="Sylfaen" w:hAnsi="Sylfaen"/>
          <w:sz w:val="24"/>
          <w:szCs w:val="24"/>
        </w:rPr>
        <w:tab/>
      </w:r>
      <w:r w:rsidRPr="00CA27E3">
        <w:rPr>
          <w:rFonts w:ascii="Sylfaen" w:hAnsi="Sylfaen"/>
          <w:sz w:val="24"/>
          <w:szCs w:val="24"/>
        </w:rPr>
        <w:t>2020 թվականի սեպտեմբերի 1-ից՝</w:t>
      </w:r>
    </w:p>
    <w:p w14:paraId="069C5A1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սույն պահանջների 4-րդ կետին համապատասխան հաշվարկված՝ չորացնող մեքենաների էներգետիկ արդյունավետության ցուցիչը (EEI) պետք է լինի 85-ից պակաս. </w:t>
      </w:r>
    </w:p>
    <w:p w14:paraId="3738C3C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սույն պահանջների 5-րդ կետին համապատասխան որոշված՝ կոնդենսացիոն չորացնող մեքենաների կշռված էներգետիկ արդյունավետությունը պետք է լինի 60%-ից ոչ պակաս.</w:t>
      </w:r>
    </w:p>
    <w:p w14:paraId="17BA7AB6"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647F3B" w:rsidRPr="00647F3B">
        <w:rPr>
          <w:rFonts w:ascii="Sylfaen" w:hAnsi="Sylfaen"/>
          <w:sz w:val="24"/>
          <w:szCs w:val="24"/>
        </w:rPr>
        <w:tab/>
      </w:r>
      <w:r w:rsidRPr="00CA27E3">
        <w:rPr>
          <w:rFonts w:ascii="Sylfaen" w:hAnsi="Sylfaen"/>
          <w:sz w:val="24"/>
          <w:szCs w:val="24"/>
        </w:rPr>
        <w:t>2021 թվականի սեպտեմբերի 1-ից կոնդենսացիոն չորացնող մեքենաների համար՝</w:t>
      </w:r>
    </w:p>
    <w:p w14:paraId="6802696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սույն փաստաթղթի 4-րդ կետին համապատասխան հաշվարկված էներգետիկ արդյունավետության ցուցիչը (EEI) պետք է լինի 76-ից ոչ պակաս.</w:t>
      </w:r>
    </w:p>
    <w:p w14:paraId="3F92E46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սույն փաստաթղթի 5-րդ կետին համապատասխան որոշված՝ կոնդենսացման կշռված արդյունավետությունը պետք է լինի 70%-ից ոչ պակաս:</w:t>
      </w:r>
    </w:p>
    <w:p w14:paraId="0151BFB5" w14:textId="77777777" w:rsidR="00CA27E3" w:rsidRPr="00CA27E3" w:rsidRDefault="00CA27E3" w:rsidP="00923537">
      <w:pPr>
        <w:pStyle w:val="Bodytext212"/>
        <w:shd w:val="clear" w:color="auto" w:fill="auto"/>
        <w:tabs>
          <w:tab w:val="left" w:pos="1134"/>
          <w:tab w:val="left" w:pos="7797"/>
        </w:tabs>
        <w:spacing w:after="160" w:line="360" w:lineRule="auto"/>
        <w:ind w:firstLine="567"/>
        <w:jc w:val="both"/>
        <w:rPr>
          <w:rFonts w:ascii="Sylfaen" w:hAnsi="Sylfaen"/>
          <w:sz w:val="24"/>
          <w:szCs w:val="24"/>
        </w:rPr>
      </w:pPr>
      <w:r w:rsidRPr="00923537">
        <w:rPr>
          <w:rFonts w:ascii="Sylfaen" w:hAnsi="Sylfaen"/>
          <w:spacing w:val="-6"/>
          <w:sz w:val="24"/>
          <w:szCs w:val="24"/>
        </w:rPr>
        <w:t>7.</w:t>
      </w:r>
      <w:r w:rsidR="00647F3B" w:rsidRPr="00923537">
        <w:rPr>
          <w:rFonts w:ascii="Sylfaen" w:hAnsi="Sylfaen"/>
          <w:spacing w:val="-6"/>
          <w:sz w:val="24"/>
          <w:szCs w:val="24"/>
        </w:rPr>
        <w:tab/>
      </w:r>
      <w:r w:rsidRPr="00923537">
        <w:rPr>
          <w:rFonts w:ascii="Sylfaen" w:hAnsi="Sylfaen"/>
          <w:spacing w:val="-6"/>
          <w:sz w:val="24"/>
          <w:szCs w:val="24"/>
        </w:rPr>
        <w:t xml:space="preserve">Չորացնող մեքենաներին կցվող՝ «Էներգասպառող սարքվածքների էներգետիկ արդյունավետությանը ներկայացվող պահանջների մասին» Եվրասիական տնտեսական միության տեխնիկական կանոնակարգի (ԵԱՏՄ ՏԿ </w:t>
      </w:r>
      <w:r w:rsidR="00647F3B" w:rsidRPr="00923537">
        <w:rPr>
          <w:rFonts w:ascii="Sylfaen" w:hAnsi="Sylfaen"/>
          <w:spacing w:val="-6"/>
          <w:sz w:val="24"/>
          <w:szCs w:val="24"/>
        </w:rPr>
        <w:tab/>
      </w:r>
      <w:r w:rsidRPr="00923537">
        <w:rPr>
          <w:rFonts w:ascii="Sylfaen" w:hAnsi="Sylfaen"/>
          <w:spacing w:val="-6"/>
          <w:sz w:val="24"/>
          <w:szCs w:val="24"/>
        </w:rPr>
        <w:t>/20</w:t>
      </w:r>
      <w:r w:rsidR="00647F3B" w:rsidRPr="00923537">
        <w:rPr>
          <w:rFonts w:ascii="Sylfaen" w:hAnsi="Sylfaen"/>
          <w:spacing w:val="-6"/>
          <w:sz w:val="24"/>
          <w:szCs w:val="24"/>
        </w:rPr>
        <w:tab/>
      </w:r>
      <w:r w:rsidRPr="00923537">
        <w:rPr>
          <w:rFonts w:ascii="Sylfaen" w:hAnsi="Sylfaen"/>
          <w:spacing w:val="-6"/>
          <w:sz w:val="24"/>
          <w:szCs w:val="24"/>
        </w:rPr>
        <w:t>) (այսուհետ՝ տեխնիկական կանոնակարգ) 13-րդ կետով նախատեսված</w:t>
      </w:r>
      <w:r w:rsidRPr="00CA27E3">
        <w:rPr>
          <w:rFonts w:ascii="Sylfaen" w:hAnsi="Sylfaen"/>
          <w:sz w:val="24"/>
          <w:szCs w:val="24"/>
        </w:rPr>
        <w:t xml:space="preserve"> շահագործման փաստաթղթերը պետք է պարունակեն դրանց բնութագրերի </w:t>
      </w:r>
      <w:r>
        <w:rPr>
          <w:rFonts w:ascii="Sylfaen" w:hAnsi="Sylfaen"/>
          <w:sz w:val="24"/>
          <w:szCs w:val="24"/>
        </w:rPr>
        <w:t>եւ</w:t>
      </w:r>
      <w:r w:rsidRPr="00CA27E3">
        <w:rPr>
          <w:rFonts w:ascii="Sylfaen" w:hAnsi="Sylfaen"/>
          <w:sz w:val="24"/>
          <w:szCs w:val="24"/>
        </w:rPr>
        <w:t xml:space="preserve"> պարամետրերի մասին հետ</w:t>
      </w:r>
      <w:r>
        <w:rPr>
          <w:rFonts w:ascii="Sylfaen" w:hAnsi="Sylfaen"/>
          <w:sz w:val="24"/>
          <w:szCs w:val="24"/>
        </w:rPr>
        <w:t>եւ</w:t>
      </w:r>
      <w:r w:rsidRPr="00CA27E3">
        <w:rPr>
          <w:rFonts w:ascii="Sylfaen" w:hAnsi="Sylfaen"/>
          <w:sz w:val="24"/>
          <w:szCs w:val="24"/>
        </w:rPr>
        <w:t>յալ տեղեկությունները՝</w:t>
      </w:r>
    </w:p>
    <w:p w14:paraId="3834264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էներգետիկ արդյունավետության ցուցիչի (EEI) արժեքը.</w:t>
      </w:r>
    </w:p>
    <w:p w14:paraId="43AD02A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կոնդենսացիոն չորացնող մեքենաների համար կոնդենսացման կշռված արդյունավետության արժեքը.</w:t>
      </w:r>
    </w:p>
    <w:p w14:paraId="5F4BA0F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 xml:space="preserve">«բամբակ» ստանդարտ ծրագրի մասին տեղեկատվությունը </w:t>
      </w:r>
      <w:r>
        <w:rPr>
          <w:rFonts w:ascii="Sylfaen" w:hAnsi="Sylfaen"/>
          <w:sz w:val="24"/>
          <w:szCs w:val="24"/>
        </w:rPr>
        <w:t>եւ</w:t>
      </w:r>
      <w:r w:rsidRPr="00CA27E3">
        <w:rPr>
          <w:rFonts w:ascii="Sylfaen" w:hAnsi="Sylfaen"/>
          <w:sz w:val="24"/>
          <w:szCs w:val="24"/>
        </w:rPr>
        <w:t xml:space="preserve"> այն նշումը, որ այն հարմար է ստանդարտ խոնավություն ունեցող բամբակյա տեքստիլ արտադրատեսակները լվացքից հետո չորացնելու համար </w:t>
      </w:r>
      <w:r>
        <w:rPr>
          <w:rFonts w:ascii="Sylfaen" w:hAnsi="Sylfaen"/>
          <w:sz w:val="24"/>
          <w:szCs w:val="24"/>
        </w:rPr>
        <w:t>եւ</w:t>
      </w:r>
      <w:r w:rsidRPr="00CA27E3">
        <w:rPr>
          <w:rFonts w:ascii="Sylfaen" w:hAnsi="Sylfaen"/>
          <w:sz w:val="24"/>
          <w:szCs w:val="24"/>
        </w:rPr>
        <w:t xml:space="preserve"> ամենաարդյունավետ ծրագիրն է էներգիայի սպառման առումով.</w:t>
      </w:r>
    </w:p>
    <w:p w14:paraId="736A73C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անջատման </w:t>
      </w:r>
      <w:r>
        <w:rPr>
          <w:rFonts w:ascii="Sylfaen" w:hAnsi="Sylfaen"/>
          <w:sz w:val="24"/>
          <w:szCs w:val="24"/>
        </w:rPr>
        <w:t>եւ</w:t>
      </w:r>
      <w:r w:rsidRPr="00CA27E3">
        <w:rPr>
          <w:rFonts w:ascii="Sylfaen" w:hAnsi="Sylfaen"/>
          <w:sz w:val="24"/>
          <w:szCs w:val="24"/>
        </w:rPr>
        <w:t xml:space="preserve"> սպասման ռեժիմներում էլեկտրաէներգիայի սպառման մասին տեղեկությունները.</w:t>
      </w:r>
    </w:p>
    <w:p w14:paraId="55E8698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լրիվ, ինչպես նա</w:t>
      </w:r>
      <w:r>
        <w:rPr>
          <w:rFonts w:ascii="Sylfaen" w:hAnsi="Sylfaen"/>
          <w:sz w:val="24"/>
          <w:szCs w:val="24"/>
        </w:rPr>
        <w:t>եւ</w:t>
      </w:r>
      <w:r w:rsidRPr="00CA27E3">
        <w:rPr>
          <w:rFonts w:ascii="Sylfaen" w:hAnsi="Sylfaen"/>
          <w:sz w:val="24"/>
          <w:szCs w:val="24"/>
        </w:rPr>
        <w:t xml:space="preserve"> մասնակի բեռնման ժամանակ ծրագրի կողմնորոշիչ տ</w:t>
      </w:r>
      <w:r>
        <w:rPr>
          <w:rFonts w:ascii="Sylfaen" w:hAnsi="Sylfaen"/>
          <w:sz w:val="24"/>
          <w:szCs w:val="24"/>
        </w:rPr>
        <w:t>եւ</w:t>
      </w:r>
      <w:r w:rsidRPr="00CA27E3">
        <w:rPr>
          <w:rFonts w:ascii="Sylfaen" w:hAnsi="Sylfaen"/>
          <w:sz w:val="24"/>
          <w:szCs w:val="24"/>
        </w:rPr>
        <w:t xml:space="preserve">ողության </w:t>
      </w:r>
      <w:r>
        <w:rPr>
          <w:rFonts w:ascii="Sylfaen" w:hAnsi="Sylfaen"/>
          <w:sz w:val="24"/>
          <w:szCs w:val="24"/>
        </w:rPr>
        <w:t>եւ</w:t>
      </w:r>
      <w:r w:rsidRPr="00CA27E3">
        <w:rPr>
          <w:rFonts w:ascii="Sylfaen" w:hAnsi="Sylfaen"/>
          <w:sz w:val="24"/>
          <w:szCs w:val="24"/>
        </w:rPr>
        <w:t xml:space="preserve"> չորացման հիմնական ծրագրերի համար էներգիայի ծախսերի մասին տեղեկությունները:</w:t>
      </w:r>
    </w:p>
    <w:p w14:paraId="5025C1A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p>
    <w:p w14:paraId="5382FA6F" w14:textId="77777777" w:rsidR="00CA27E3" w:rsidRPr="00CA27E3" w:rsidRDefault="00CA27E3" w:rsidP="00647F3B">
      <w:pPr>
        <w:pStyle w:val="Bodytext212"/>
        <w:shd w:val="clear" w:color="auto" w:fill="auto"/>
        <w:spacing w:after="160" w:line="360" w:lineRule="auto"/>
        <w:ind w:left="567" w:right="566" w:firstLine="0"/>
        <w:jc w:val="center"/>
        <w:rPr>
          <w:rFonts w:ascii="Sylfaen" w:hAnsi="Sylfaen"/>
          <w:sz w:val="24"/>
          <w:szCs w:val="24"/>
        </w:rPr>
      </w:pPr>
      <w:r w:rsidRPr="00CA27E3">
        <w:rPr>
          <w:rFonts w:ascii="Sylfaen" w:hAnsi="Sylfaen"/>
          <w:sz w:val="24"/>
          <w:szCs w:val="24"/>
        </w:rPr>
        <w:t>VI. Չորացնող մեքենաների էներգետիկ արդյունավետության պարամետրերի թույլատրելի շեղումները՝ դրանց շրջանառության մեջ դրվելուց հետո փորձարկումներ (չափումներ) անցկացնելիս</w:t>
      </w:r>
    </w:p>
    <w:p w14:paraId="62CE5B33"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8.</w:t>
      </w:r>
      <w:r w:rsidR="00647F3B" w:rsidRPr="00647F3B">
        <w:rPr>
          <w:rFonts w:ascii="Sylfaen" w:hAnsi="Sylfaen"/>
          <w:sz w:val="24"/>
          <w:szCs w:val="24"/>
        </w:rPr>
        <w:tab/>
      </w:r>
      <w:r w:rsidRPr="00CA27E3">
        <w:rPr>
          <w:rFonts w:ascii="Sylfaen" w:hAnsi="Sylfaen"/>
          <w:sz w:val="24"/>
          <w:szCs w:val="24"/>
        </w:rPr>
        <w:t xml:space="preserve">Չորացնող մեքենաները շրջանառության մեջ դնելուց հետո դրանց փորձարկումները (չափումները) անցկացնելիս պետք է փորձարկվի չորացնող մեքենայի յուրաքանչյուր մոդելի 1 տիպային նմուշ (օրինակ)։ Չորացնող մեքենայի մոդելը համարվում է սույն պահանջներին համապատասխանող, եթե չորացնող մեքենայի տիպային նմուշի (օրինակի) պարամետրերի </w:t>
      </w:r>
      <w:r>
        <w:rPr>
          <w:rFonts w:ascii="Sylfaen" w:hAnsi="Sylfaen"/>
          <w:sz w:val="24"/>
          <w:szCs w:val="24"/>
        </w:rPr>
        <w:t>եւ</w:t>
      </w:r>
      <w:r w:rsidRPr="00CA27E3">
        <w:rPr>
          <w:rFonts w:ascii="Sylfaen" w:hAnsi="Sylfaen"/>
          <w:sz w:val="24"/>
          <w:szCs w:val="24"/>
        </w:rPr>
        <w:t xml:space="preserve"> բնութագրերի չափված արժեքները համապատասխանում են սույն պահանջների III բաժնի պահանջներին </w:t>
      </w:r>
      <w:r>
        <w:rPr>
          <w:rFonts w:ascii="Sylfaen" w:hAnsi="Sylfaen"/>
          <w:sz w:val="24"/>
          <w:szCs w:val="24"/>
        </w:rPr>
        <w:t>եւ</w:t>
      </w:r>
      <w:r w:rsidRPr="00CA27E3">
        <w:rPr>
          <w:rFonts w:ascii="Sylfaen" w:hAnsi="Sylfaen"/>
          <w:sz w:val="24"/>
          <w:szCs w:val="24"/>
        </w:rPr>
        <w:t xml:space="preserve"> աղյուսակում նշված թույլատրելի շեղումների սահմաններում՝ արտադրողի հայտարարած անվանական արժեքներին:</w:t>
      </w:r>
    </w:p>
    <w:p w14:paraId="218D9C6E" w14:textId="77777777" w:rsidR="00923537" w:rsidRDefault="00923537">
      <w:pPr>
        <w:rPr>
          <w:rFonts w:ascii="Sylfaen" w:eastAsia="Times New Roman" w:hAnsi="Sylfaen" w:cs="Times New Roman"/>
        </w:rPr>
      </w:pPr>
      <w:r>
        <w:rPr>
          <w:rFonts w:ascii="Sylfaen" w:hAnsi="Sylfaen"/>
        </w:rPr>
        <w:br w:type="page"/>
      </w:r>
    </w:p>
    <w:p w14:paraId="50B6E6D3" w14:textId="77777777" w:rsidR="00CA27E3" w:rsidRPr="00CA27E3" w:rsidRDefault="00CA27E3" w:rsidP="00CA27E3">
      <w:pPr>
        <w:pStyle w:val="Bodytext212"/>
        <w:shd w:val="clear" w:color="auto" w:fill="auto"/>
        <w:spacing w:after="160" w:line="360" w:lineRule="auto"/>
        <w:ind w:firstLine="0"/>
        <w:jc w:val="right"/>
        <w:rPr>
          <w:rFonts w:ascii="Sylfaen" w:hAnsi="Sylfaen"/>
          <w:sz w:val="24"/>
          <w:szCs w:val="24"/>
        </w:rPr>
      </w:pPr>
      <w:r w:rsidRPr="00CA27E3">
        <w:rPr>
          <w:rFonts w:ascii="Sylfaen" w:hAnsi="Sylfaen"/>
          <w:sz w:val="24"/>
          <w:szCs w:val="24"/>
        </w:rPr>
        <w:lastRenderedPageBreak/>
        <w:t>Աղյուսակ</w:t>
      </w:r>
    </w:p>
    <w:p w14:paraId="13C215B4"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Թույլատրելի շեղումները</w:t>
      </w:r>
    </w:p>
    <w:tbl>
      <w:tblPr>
        <w:tblOverlap w:val="never"/>
        <w:tblW w:w="9841" w:type="dxa"/>
        <w:jc w:val="center"/>
        <w:tblLayout w:type="fixed"/>
        <w:tblCellMar>
          <w:left w:w="10" w:type="dxa"/>
          <w:right w:w="10" w:type="dxa"/>
        </w:tblCellMar>
        <w:tblLook w:val="04A0" w:firstRow="1" w:lastRow="0" w:firstColumn="1" w:lastColumn="0" w:noHBand="0" w:noVBand="1"/>
      </w:tblPr>
      <w:tblGrid>
        <w:gridCol w:w="2885"/>
        <w:gridCol w:w="6956"/>
      </w:tblGrid>
      <w:tr w:rsidR="00CA27E3" w:rsidRPr="00D83000" w14:paraId="2D676539" w14:textId="77777777" w:rsidTr="004D5828">
        <w:trPr>
          <w:tblHeader/>
          <w:jc w:val="center"/>
        </w:trPr>
        <w:tc>
          <w:tcPr>
            <w:tcW w:w="2885" w:type="dxa"/>
            <w:tcBorders>
              <w:top w:val="single" w:sz="4" w:space="0" w:color="auto"/>
              <w:left w:val="single" w:sz="4" w:space="0" w:color="auto"/>
            </w:tcBorders>
            <w:shd w:val="clear" w:color="auto" w:fill="FFFFFF"/>
          </w:tcPr>
          <w:p w14:paraId="17C76732" w14:textId="77777777" w:rsidR="00CA27E3" w:rsidRPr="00D83000" w:rsidRDefault="00CA27E3" w:rsidP="00D83000">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Չափվող պարամետր</w:t>
            </w:r>
          </w:p>
        </w:tc>
        <w:tc>
          <w:tcPr>
            <w:tcW w:w="6956" w:type="dxa"/>
            <w:tcBorders>
              <w:top w:val="single" w:sz="4" w:space="0" w:color="auto"/>
              <w:left w:val="single" w:sz="4" w:space="0" w:color="auto"/>
              <w:right w:val="single" w:sz="4" w:space="0" w:color="auto"/>
            </w:tcBorders>
            <w:shd w:val="clear" w:color="auto" w:fill="FFFFFF"/>
          </w:tcPr>
          <w:p w14:paraId="57CEA39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Թույլատրելի շեղումներ*</w:t>
            </w:r>
          </w:p>
        </w:tc>
      </w:tr>
      <w:tr w:rsidR="00CA27E3" w:rsidRPr="00D83000" w14:paraId="1FF669FB" w14:textId="77777777" w:rsidTr="004D5828">
        <w:trPr>
          <w:jc w:val="center"/>
        </w:trPr>
        <w:tc>
          <w:tcPr>
            <w:tcW w:w="2885" w:type="dxa"/>
            <w:tcBorders>
              <w:top w:val="single" w:sz="4" w:space="0" w:color="auto"/>
              <w:left w:val="single" w:sz="4" w:space="0" w:color="auto"/>
            </w:tcBorders>
            <w:shd w:val="clear" w:color="auto" w:fill="FFFFFF"/>
            <w:vAlign w:val="center"/>
          </w:tcPr>
          <w:p w14:paraId="72A31578" w14:textId="77777777" w:rsidR="00CA27E3" w:rsidRPr="00D83000" w:rsidRDefault="00CA27E3" w:rsidP="00923537">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Էներգիայի կշռված տարեկան սպառում</w:t>
            </w:r>
          </w:p>
        </w:tc>
        <w:tc>
          <w:tcPr>
            <w:tcW w:w="6956" w:type="dxa"/>
            <w:tcBorders>
              <w:top w:val="single" w:sz="4" w:space="0" w:color="auto"/>
              <w:left w:val="single" w:sz="4" w:space="0" w:color="auto"/>
              <w:right w:val="single" w:sz="4" w:space="0" w:color="auto"/>
            </w:tcBorders>
            <w:shd w:val="clear" w:color="auto" w:fill="FFFFFF"/>
            <w:vAlign w:val="center"/>
          </w:tcPr>
          <w:p w14:paraId="757B8DA8" w14:textId="77777777" w:rsidR="00CA27E3" w:rsidRPr="00D83000" w:rsidRDefault="00CA27E3" w:rsidP="00923537">
            <w:pPr>
              <w:pStyle w:val="Bodytext212"/>
              <w:shd w:val="clear" w:color="auto" w:fill="auto"/>
              <w:spacing w:after="120" w:line="240" w:lineRule="auto"/>
              <w:ind w:right="49" w:firstLine="567"/>
              <w:jc w:val="center"/>
              <w:rPr>
                <w:rFonts w:ascii="Sylfaen" w:hAnsi="Sylfaen"/>
                <w:sz w:val="20"/>
                <w:szCs w:val="20"/>
              </w:rPr>
            </w:pPr>
            <w:r w:rsidRPr="00D83000">
              <w:rPr>
                <w:rFonts w:ascii="Sylfaen" w:hAnsi="Sylfaen"/>
                <w:sz w:val="20"/>
                <w:szCs w:val="20"/>
              </w:rPr>
              <w:t>չափված արժեքը չպետք է գերազանցի AEc-ի համար անվանական արժեքն ավելի քան 6 տոկոսով</w:t>
            </w:r>
          </w:p>
        </w:tc>
      </w:tr>
      <w:tr w:rsidR="00CA27E3" w:rsidRPr="00D83000" w14:paraId="1C7E2ECE" w14:textId="77777777" w:rsidTr="004D5828">
        <w:trPr>
          <w:jc w:val="center"/>
        </w:trPr>
        <w:tc>
          <w:tcPr>
            <w:tcW w:w="2885" w:type="dxa"/>
            <w:tcBorders>
              <w:top w:val="single" w:sz="4" w:space="0" w:color="auto"/>
              <w:left w:val="single" w:sz="4" w:space="0" w:color="auto"/>
            </w:tcBorders>
            <w:shd w:val="clear" w:color="auto" w:fill="FFFFFF"/>
            <w:vAlign w:val="center"/>
          </w:tcPr>
          <w:p w14:paraId="4B4C9714" w14:textId="77777777" w:rsidR="00CA27E3" w:rsidRPr="00D83000" w:rsidRDefault="00CA27E3" w:rsidP="00923537">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Կշռված էներգասպառում</w:t>
            </w:r>
          </w:p>
        </w:tc>
        <w:tc>
          <w:tcPr>
            <w:tcW w:w="6956" w:type="dxa"/>
            <w:tcBorders>
              <w:top w:val="single" w:sz="4" w:space="0" w:color="auto"/>
              <w:left w:val="single" w:sz="4" w:space="0" w:color="auto"/>
              <w:right w:val="single" w:sz="4" w:space="0" w:color="auto"/>
            </w:tcBorders>
            <w:shd w:val="clear" w:color="auto" w:fill="FFFFFF"/>
            <w:vAlign w:val="center"/>
          </w:tcPr>
          <w:p w14:paraId="544CAC63" w14:textId="77777777" w:rsidR="00CA27E3" w:rsidRPr="00D83000" w:rsidRDefault="00CA27E3" w:rsidP="00923537">
            <w:pPr>
              <w:pStyle w:val="Bodytext212"/>
              <w:shd w:val="clear" w:color="auto" w:fill="auto"/>
              <w:spacing w:after="120" w:line="240" w:lineRule="auto"/>
              <w:ind w:right="49" w:firstLine="0"/>
              <w:jc w:val="center"/>
              <w:rPr>
                <w:rFonts w:ascii="Sylfaen" w:hAnsi="Sylfaen"/>
                <w:sz w:val="20"/>
                <w:szCs w:val="20"/>
              </w:rPr>
            </w:pPr>
            <w:r w:rsidRPr="00D83000">
              <w:rPr>
                <w:rFonts w:ascii="Sylfaen" w:hAnsi="Sylfaen"/>
                <w:sz w:val="20"/>
                <w:szCs w:val="20"/>
              </w:rPr>
              <w:t>չափված արժեքը չպետք է գերազանցի E</w:t>
            </w:r>
            <w:r w:rsidRPr="00D83000">
              <w:rPr>
                <w:rStyle w:val="Bodytext211pt5"/>
                <w:rFonts w:ascii="Sylfaen" w:eastAsia="Arian AMU" w:hAnsi="Sylfaen"/>
                <w:sz w:val="20"/>
                <w:szCs w:val="20"/>
                <w:vertAlign w:val="subscript"/>
              </w:rPr>
              <w:t>t</w:t>
            </w:r>
            <w:r w:rsidRPr="00D83000">
              <w:rPr>
                <w:rFonts w:ascii="Sylfaen" w:hAnsi="Sylfaen"/>
                <w:sz w:val="20"/>
                <w:szCs w:val="20"/>
              </w:rPr>
              <w:t>-ի համար անվանական արժեքն ավելի քան 6 տոկոսով</w:t>
            </w:r>
          </w:p>
        </w:tc>
      </w:tr>
      <w:tr w:rsidR="00CA27E3" w:rsidRPr="00D83000" w14:paraId="3D938EBC" w14:textId="77777777" w:rsidTr="004D5828">
        <w:trPr>
          <w:jc w:val="center"/>
        </w:trPr>
        <w:tc>
          <w:tcPr>
            <w:tcW w:w="2885" w:type="dxa"/>
            <w:tcBorders>
              <w:top w:val="single" w:sz="4" w:space="0" w:color="auto"/>
              <w:left w:val="single" w:sz="4" w:space="0" w:color="auto"/>
            </w:tcBorders>
            <w:shd w:val="clear" w:color="auto" w:fill="FFFFFF"/>
            <w:vAlign w:val="center"/>
          </w:tcPr>
          <w:p w14:paraId="2FD64A56" w14:textId="77777777" w:rsidR="00CA27E3" w:rsidRPr="00D83000" w:rsidRDefault="00CA27E3" w:rsidP="00923537">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Կոնդենսացման կշռված արդյունավետություն</w:t>
            </w:r>
          </w:p>
        </w:tc>
        <w:tc>
          <w:tcPr>
            <w:tcW w:w="6956" w:type="dxa"/>
            <w:tcBorders>
              <w:top w:val="single" w:sz="4" w:space="0" w:color="auto"/>
              <w:left w:val="single" w:sz="4" w:space="0" w:color="auto"/>
              <w:right w:val="single" w:sz="4" w:space="0" w:color="auto"/>
            </w:tcBorders>
            <w:shd w:val="clear" w:color="auto" w:fill="FFFFFF"/>
            <w:vAlign w:val="center"/>
          </w:tcPr>
          <w:p w14:paraId="4AEE933E" w14:textId="77777777" w:rsidR="00CA27E3" w:rsidRPr="00D83000" w:rsidRDefault="00CA27E3" w:rsidP="00923537">
            <w:pPr>
              <w:pStyle w:val="Bodytext212"/>
              <w:shd w:val="clear" w:color="auto" w:fill="auto"/>
              <w:spacing w:after="120" w:line="240" w:lineRule="auto"/>
              <w:ind w:right="49" w:firstLine="0"/>
              <w:jc w:val="center"/>
              <w:rPr>
                <w:rFonts w:ascii="Sylfaen" w:hAnsi="Sylfaen"/>
                <w:sz w:val="20"/>
                <w:szCs w:val="20"/>
              </w:rPr>
            </w:pPr>
            <w:r w:rsidRPr="00D83000">
              <w:rPr>
                <w:rStyle w:val="Bodytext211pt"/>
                <w:rFonts w:ascii="Sylfaen" w:hAnsi="Sylfaen"/>
                <w:sz w:val="20"/>
                <w:szCs w:val="20"/>
              </w:rPr>
              <w:t xml:space="preserve">չափված արժեքը չպետք է պակաս լինի </w:t>
            </w:r>
            <w:r w:rsidRPr="00D83000">
              <w:rPr>
                <w:rStyle w:val="Bodytext211pt"/>
                <w:rFonts w:ascii="Sylfaen" w:hAnsi="Sylfaen"/>
                <w:i/>
                <w:sz w:val="20"/>
                <w:szCs w:val="20"/>
              </w:rPr>
              <w:t>C</w:t>
            </w:r>
            <w:r w:rsidRPr="00D83000">
              <w:rPr>
                <w:rStyle w:val="Bodytext211pt"/>
                <w:rFonts w:ascii="Sylfaen" w:hAnsi="Sylfaen"/>
                <w:sz w:val="20"/>
                <w:szCs w:val="20"/>
                <w:vertAlign w:val="subscript"/>
              </w:rPr>
              <w:t>t</w:t>
            </w:r>
            <w:r w:rsidRPr="00D83000">
              <w:rPr>
                <w:rStyle w:val="Bodytext211pt"/>
                <w:rFonts w:ascii="Sylfaen" w:hAnsi="Sylfaen"/>
                <w:sz w:val="20"/>
                <w:szCs w:val="20"/>
              </w:rPr>
              <w:t xml:space="preserve"> -ի համար անվանական արժեքից ավելի քան 6 տոկոսով</w:t>
            </w:r>
          </w:p>
        </w:tc>
      </w:tr>
      <w:tr w:rsidR="00CA27E3" w:rsidRPr="00D83000" w14:paraId="1D00B58B" w14:textId="77777777" w:rsidTr="004D5828">
        <w:trPr>
          <w:jc w:val="center"/>
        </w:trPr>
        <w:tc>
          <w:tcPr>
            <w:tcW w:w="2885" w:type="dxa"/>
            <w:tcBorders>
              <w:top w:val="single" w:sz="4" w:space="0" w:color="auto"/>
              <w:left w:val="single" w:sz="4" w:space="0" w:color="auto"/>
              <w:bottom w:val="single" w:sz="4" w:space="0" w:color="auto"/>
            </w:tcBorders>
            <w:shd w:val="clear" w:color="auto" w:fill="FFFFFF"/>
            <w:vAlign w:val="center"/>
          </w:tcPr>
          <w:p w14:paraId="60D79AA3" w14:textId="77777777" w:rsidR="00CA27E3" w:rsidRPr="00D83000" w:rsidRDefault="00CA27E3" w:rsidP="00923537">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Ծրագրի կշռված տեւողություն</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center"/>
          </w:tcPr>
          <w:p w14:paraId="4A543EF9" w14:textId="77777777" w:rsidR="00CA27E3" w:rsidRPr="00D83000" w:rsidRDefault="00CA27E3" w:rsidP="00923537">
            <w:pPr>
              <w:pStyle w:val="Bodytext212"/>
              <w:shd w:val="clear" w:color="auto" w:fill="auto"/>
              <w:spacing w:after="120" w:line="240" w:lineRule="auto"/>
              <w:ind w:right="49" w:firstLine="0"/>
              <w:jc w:val="center"/>
              <w:rPr>
                <w:rFonts w:ascii="Sylfaen" w:hAnsi="Sylfaen"/>
                <w:sz w:val="20"/>
                <w:szCs w:val="20"/>
              </w:rPr>
            </w:pPr>
            <w:r w:rsidRPr="00D83000">
              <w:rPr>
                <w:rFonts w:ascii="Sylfaen" w:hAnsi="Sylfaen"/>
                <w:sz w:val="20"/>
                <w:szCs w:val="20"/>
              </w:rPr>
              <w:t>չափված արժեքը չպետք է գերազանցի T</w:t>
            </w:r>
            <w:r w:rsidRPr="00D83000">
              <w:rPr>
                <w:rStyle w:val="Bodytext211pt5"/>
                <w:rFonts w:ascii="Sylfaen" w:eastAsia="Arian AMU" w:hAnsi="Sylfaen"/>
                <w:sz w:val="20"/>
                <w:szCs w:val="20"/>
                <w:vertAlign w:val="subscript"/>
              </w:rPr>
              <w:t>t</w:t>
            </w:r>
            <w:r w:rsidRPr="00D83000">
              <w:rPr>
                <w:rFonts w:ascii="Sylfaen" w:hAnsi="Sylfaen"/>
                <w:i/>
                <w:sz w:val="20"/>
                <w:szCs w:val="20"/>
              </w:rPr>
              <w:t xml:space="preserve"> </w:t>
            </w:r>
            <w:r w:rsidRPr="00D83000">
              <w:rPr>
                <w:rFonts w:ascii="Sylfaen" w:hAnsi="Sylfaen"/>
                <w:sz w:val="20"/>
                <w:szCs w:val="20"/>
              </w:rPr>
              <w:t>–ի համար անվանական արժեքն ավելի քան 6 տոկոսով</w:t>
            </w:r>
          </w:p>
        </w:tc>
      </w:tr>
      <w:tr w:rsidR="00CA27E3" w:rsidRPr="00D83000" w14:paraId="366DFB47" w14:textId="77777777" w:rsidTr="004D5828">
        <w:trPr>
          <w:jc w:val="center"/>
        </w:trPr>
        <w:tc>
          <w:tcPr>
            <w:tcW w:w="2885" w:type="dxa"/>
            <w:tcBorders>
              <w:top w:val="single" w:sz="4" w:space="0" w:color="auto"/>
              <w:left w:val="single" w:sz="4" w:space="0" w:color="auto"/>
              <w:bottom w:val="single" w:sz="4" w:space="0" w:color="auto"/>
            </w:tcBorders>
            <w:shd w:val="clear" w:color="auto" w:fill="FFFFFF"/>
            <w:vAlign w:val="center"/>
          </w:tcPr>
          <w:p w14:paraId="3F415C3B" w14:textId="77777777" w:rsidR="00CA27E3" w:rsidRPr="00D83000" w:rsidRDefault="00CA27E3" w:rsidP="00923537">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Անջատման եւ սպասման ռեժիմներում սպառվող հզորություն</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center"/>
          </w:tcPr>
          <w:p w14:paraId="497C08E4" w14:textId="77777777" w:rsidR="00CA27E3" w:rsidRPr="00D83000" w:rsidRDefault="00CA27E3" w:rsidP="00923537">
            <w:pPr>
              <w:pStyle w:val="Bodytext212"/>
              <w:shd w:val="clear" w:color="auto" w:fill="auto"/>
              <w:spacing w:after="120" w:line="240" w:lineRule="auto"/>
              <w:ind w:right="49" w:firstLine="0"/>
              <w:jc w:val="center"/>
              <w:rPr>
                <w:rFonts w:ascii="Sylfaen" w:hAnsi="Sylfaen"/>
                <w:sz w:val="20"/>
                <w:szCs w:val="20"/>
              </w:rPr>
            </w:pPr>
            <w:r w:rsidRPr="00D83000">
              <w:rPr>
                <w:rFonts w:ascii="Sylfaen" w:hAnsi="Sylfaen"/>
                <w:sz w:val="20"/>
                <w:szCs w:val="20"/>
              </w:rPr>
              <w:t>P</w:t>
            </w:r>
            <w:r w:rsidRPr="00D83000">
              <w:rPr>
                <w:rStyle w:val="Bodytext211pt5"/>
                <w:rFonts w:ascii="Sylfaen" w:eastAsia="Arian AMU" w:hAnsi="Sylfaen"/>
                <w:sz w:val="20"/>
                <w:szCs w:val="20"/>
                <w:vertAlign w:val="subscript"/>
              </w:rPr>
              <w:t>o</w:t>
            </w:r>
            <w:r w:rsidRPr="00D83000">
              <w:rPr>
                <w:rFonts w:ascii="Sylfaen" w:hAnsi="Sylfaen"/>
                <w:sz w:val="20"/>
                <w:szCs w:val="20"/>
              </w:rPr>
              <w:t xml:space="preserve"> եւ P</w:t>
            </w:r>
            <w:r w:rsidRPr="00D83000">
              <w:rPr>
                <w:rStyle w:val="Bodytext211pt5"/>
                <w:rFonts w:ascii="Sylfaen" w:eastAsia="Arian AMU" w:hAnsi="Sylfaen"/>
                <w:sz w:val="20"/>
                <w:szCs w:val="20"/>
                <w:vertAlign w:val="subscript"/>
              </w:rPr>
              <w:t xml:space="preserve">1 </w:t>
            </w:r>
            <w:r w:rsidRPr="00D83000">
              <w:rPr>
                <w:rFonts w:ascii="Sylfaen" w:hAnsi="Sylfaen"/>
                <w:sz w:val="20"/>
                <w:szCs w:val="20"/>
              </w:rPr>
              <w:t xml:space="preserve">սպառվող հզորության չափված արժեքը չպետք է գերազանցի </w:t>
            </w:r>
            <w:r w:rsidRPr="00923537">
              <w:rPr>
                <w:rFonts w:ascii="Sylfaen" w:hAnsi="Sylfaen"/>
                <w:spacing w:val="-6"/>
                <w:sz w:val="20"/>
                <w:szCs w:val="20"/>
              </w:rPr>
              <w:t>անվանական արժեքներն ավելի քան 6 տոկոսով կամ 0,10 Վտ-ով սպառվող հզորության վերահսկման համար, որի մեծությունը համապատասխանաբար գերազանցում կամ չի գերազանցում 1,00 Վտ-ը</w:t>
            </w:r>
          </w:p>
        </w:tc>
      </w:tr>
      <w:tr w:rsidR="00CA27E3" w:rsidRPr="00D83000" w14:paraId="5F4A8A7A" w14:textId="77777777" w:rsidTr="004D5828">
        <w:trPr>
          <w:jc w:val="center"/>
        </w:trPr>
        <w:tc>
          <w:tcPr>
            <w:tcW w:w="2885" w:type="dxa"/>
            <w:tcBorders>
              <w:top w:val="single" w:sz="4" w:space="0" w:color="auto"/>
              <w:left w:val="single" w:sz="4" w:space="0" w:color="auto"/>
              <w:bottom w:val="single" w:sz="4" w:space="0" w:color="auto"/>
            </w:tcBorders>
            <w:shd w:val="clear" w:color="auto" w:fill="FFFFFF"/>
            <w:vAlign w:val="center"/>
          </w:tcPr>
          <w:p w14:paraId="344DB493" w14:textId="77777777" w:rsidR="00CA27E3" w:rsidRPr="00D83000" w:rsidRDefault="00CA27E3" w:rsidP="00923537">
            <w:pPr>
              <w:pStyle w:val="Bodytext212"/>
              <w:shd w:val="clear" w:color="auto" w:fill="auto"/>
              <w:spacing w:after="120" w:line="240" w:lineRule="auto"/>
              <w:ind w:firstLine="0"/>
              <w:rPr>
                <w:rFonts w:ascii="Sylfaen" w:hAnsi="Sylfaen"/>
                <w:sz w:val="20"/>
                <w:szCs w:val="20"/>
              </w:rPr>
            </w:pPr>
            <w:r w:rsidRPr="00D83000">
              <w:rPr>
                <w:rStyle w:val="Bodytext211pt"/>
                <w:rFonts w:ascii="Sylfaen" w:hAnsi="Sylfaen"/>
                <w:sz w:val="20"/>
                <w:szCs w:val="20"/>
              </w:rPr>
              <w:t>«Անջատված թողնված» վիճակի տեւողություն</w:t>
            </w:r>
          </w:p>
        </w:tc>
        <w:tc>
          <w:tcPr>
            <w:tcW w:w="6956" w:type="dxa"/>
            <w:tcBorders>
              <w:top w:val="single" w:sz="4" w:space="0" w:color="auto"/>
              <w:left w:val="single" w:sz="4" w:space="0" w:color="auto"/>
              <w:bottom w:val="single" w:sz="4" w:space="0" w:color="auto"/>
              <w:right w:val="single" w:sz="4" w:space="0" w:color="auto"/>
            </w:tcBorders>
            <w:shd w:val="clear" w:color="auto" w:fill="FFFFFF"/>
            <w:vAlign w:val="center"/>
          </w:tcPr>
          <w:p w14:paraId="241546D1" w14:textId="77777777" w:rsidR="00CA27E3" w:rsidRPr="00D83000" w:rsidRDefault="00CA27E3" w:rsidP="00923537">
            <w:pPr>
              <w:pStyle w:val="Bodytext212"/>
              <w:shd w:val="clear" w:color="auto" w:fill="auto"/>
              <w:spacing w:after="120" w:line="240" w:lineRule="auto"/>
              <w:ind w:right="49" w:firstLine="0"/>
              <w:jc w:val="center"/>
              <w:rPr>
                <w:rFonts w:ascii="Sylfaen" w:hAnsi="Sylfaen"/>
                <w:sz w:val="20"/>
                <w:szCs w:val="20"/>
              </w:rPr>
            </w:pPr>
            <w:r w:rsidRPr="00D83000">
              <w:rPr>
                <w:rFonts w:ascii="Sylfaen" w:hAnsi="Sylfaen"/>
                <w:sz w:val="20"/>
                <w:szCs w:val="20"/>
              </w:rPr>
              <w:t>չափված արժեքը չպետք է գերազանցի Т</w:t>
            </w:r>
            <w:r w:rsidRPr="00D83000">
              <w:rPr>
                <w:rStyle w:val="Bodytext211pt1"/>
                <w:rFonts w:ascii="Sylfaen" w:eastAsia="Arian AMU" w:hAnsi="Sylfaen"/>
                <w:spacing w:val="0"/>
                <w:sz w:val="20"/>
                <w:szCs w:val="20"/>
                <w:vertAlign w:val="subscript"/>
              </w:rPr>
              <w:t>1</w:t>
            </w:r>
            <w:r w:rsidRPr="00D83000">
              <w:rPr>
                <w:rFonts w:ascii="Sylfaen" w:hAnsi="Sylfaen"/>
                <w:sz w:val="20"/>
                <w:szCs w:val="20"/>
              </w:rPr>
              <w:t>-ի համար անվանական արժեքն ավելի քան 6 տոկոսով</w:t>
            </w:r>
          </w:p>
        </w:tc>
      </w:tr>
    </w:tbl>
    <w:p w14:paraId="49AF6042" w14:textId="77777777" w:rsidR="00CA27E3" w:rsidRPr="00647F3B" w:rsidRDefault="00CA27E3" w:rsidP="00923537">
      <w:pPr>
        <w:pStyle w:val="Bodytext100"/>
        <w:shd w:val="clear" w:color="auto" w:fill="auto"/>
        <w:spacing w:before="0" w:after="160" w:line="360" w:lineRule="auto"/>
        <w:rPr>
          <w:rFonts w:ascii="Sylfaen" w:hAnsi="Sylfaen"/>
          <w:sz w:val="20"/>
          <w:szCs w:val="20"/>
        </w:rPr>
      </w:pPr>
      <w:r w:rsidRPr="00647F3B">
        <w:rPr>
          <w:rFonts w:ascii="Sylfaen" w:hAnsi="Sylfaen"/>
          <w:sz w:val="20"/>
          <w:szCs w:val="20"/>
        </w:rPr>
        <w:t>(*) Անվանական արժեքի տակ հասկանում ենք արտադրողի կողմից հայտարարված արժեքը:</w:t>
      </w:r>
    </w:p>
    <w:p w14:paraId="680C9A11" w14:textId="77777777" w:rsidR="00CA27E3" w:rsidRPr="00CA27E3" w:rsidRDefault="00CA27E3" w:rsidP="00CA27E3">
      <w:pPr>
        <w:pStyle w:val="Bodytext212"/>
        <w:shd w:val="clear" w:color="auto" w:fill="auto"/>
        <w:spacing w:after="160" w:line="360" w:lineRule="auto"/>
        <w:ind w:firstLine="0"/>
        <w:jc w:val="both"/>
        <w:rPr>
          <w:rFonts w:ascii="Sylfaen" w:hAnsi="Sylfaen"/>
          <w:sz w:val="24"/>
          <w:szCs w:val="24"/>
        </w:rPr>
      </w:pPr>
    </w:p>
    <w:p w14:paraId="467F731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Այլ դեպքերում չափումները հարկ է անցկացվեն չորացնող մեքենայի յուրաքանչյուր մոդելի 3 լրացուցիչ օրինակների վրա: Չորացնող մեքենայի մոդելը համարվում է սույն պահանջներին համապատասխանող, եթե չորացնող մեքենաների այդ 3 լրացուցիչ օրինակների չափումների արդյունքների միջին արժեքները համապատասխանում են սույն պահանջների III բաժնում նշված պահանջներին:</w:t>
      </w:r>
      <w:r>
        <w:rPr>
          <w:rFonts w:ascii="Sylfaen" w:hAnsi="Sylfaen"/>
          <w:sz w:val="24"/>
          <w:szCs w:val="24"/>
        </w:rPr>
        <w:t xml:space="preserve"> </w:t>
      </w:r>
    </w:p>
    <w:p w14:paraId="226E1471" w14:textId="77777777" w:rsidR="00D83000" w:rsidRPr="003D2C38"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Այլ դեպքերում չորացնող մեքենայի տվյալ մոդելը հարկ է դիտարկել որպես տեխնիկական կանոնակարգի պահանջներին չհամապատասխանող։</w:t>
      </w:r>
    </w:p>
    <w:p w14:paraId="7412EE8A" w14:textId="77777777" w:rsidR="00923537" w:rsidRPr="003D2C38" w:rsidRDefault="00923537" w:rsidP="00923537">
      <w:pPr>
        <w:pStyle w:val="Bodytext212"/>
        <w:shd w:val="clear" w:color="auto" w:fill="auto"/>
        <w:spacing w:after="160" w:line="360" w:lineRule="auto"/>
        <w:ind w:firstLine="0"/>
        <w:jc w:val="center"/>
        <w:rPr>
          <w:rFonts w:ascii="Sylfaen" w:hAnsi="Sylfaen"/>
          <w:sz w:val="24"/>
          <w:szCs w:val="24"/>
        </w:rPr>
      </w:pPr>
      <w:r w:rsidRPr="003D2C38">
        <w:rPr>
          <w:rFonts w:ascii="Sylfaen" w:hAnsi="Sylfaen"/>
          <w:sz w:val="24"/>
          <w:szCs w:val="24"/>
        </w:rPr>
        <w:t>___________</w:t>
      </w:r>
    </w:p>
    <w:p w14:paraId="15562CE1" w14:textId="77777777" w:rsidR="00D83000" w:rsidRDefault="00D83000" w:rsidP="00CA27E3">
      <w:pPr>
        <w:pStyle w:val="Bodytext212"/>
        <w:shd w:val="clear" w:color="auto" w:fill="auto"/>
        <w:spacing w:after="160" w:line="360" w:lineRule="auto"/>
        <w:ind w:firstLine="567"/>
        <w:jc w:val="both"/>
        <w:rPr>
          <w:rFonts w:ascii="Sylfaen" w:hAnsi="Sylfaen"/>
          <w:sz w:val="24"/>
          <w:szCs w:val="24"/>
        </w:rPr>
      </w:pPr>
    </w:p>
    <w:p w14:paraId="26047A3F" w14:textId="77777777" w:rsidR="00D83000" w:rsidRDefault="00D83000" w:rsidP="00CA27E3">
      <w:pPr>
        <w:pStyle w:val="Bodytext212"/>
        <w:shd w:val="clear" w:color="auto" w:fill="auto"/>
        <w:spacing w:after="160" w:line="360" w:lineRule="auto"/>
        <w:ind w:firstLine="567"/>
        <w:jc w:val="both"/>
        <w:rPr>
          <w:rFonts w:ascii="Sylfaen" w:hAnsi="Sylfaen"/>
          <w:sz w:val="24"/>
          <w:szCs w:val="24"/>
        </w:rPr>
        <w:sectPr w:rsidR="00D83000" w:rsidSect="003C5DE2">
          <w:pgSz w:w="11907" w:h="16840" w:code="9"/>
          <w:pgMar w:top="1418" w:right="1418" w:bottom="1418" w:left="1418" w:header="0" w:footer="397" w:gutter="0"/>
          <w:pgNumType w:start="1"/>
          <w:cols w:space="720"/>
          <w:noEndnote/>
          <w:titlePg/>
          <w:docGrid w:linePitch="360"/>
        </w:sectPr>
      </w:pPr>
    </w:p>
    <w:p w14:paraId="14D299CE" w14:textId="77777777" w:rsidR="00CA27E3" w:rsidRPr="00CA27E3" w:rsidRDefault="00CA27E3" w:rsidP="00647F3B">
      <w:pPr>
        <w:pStyle w:val="Bodytext212"/>
        <w:shd w:val="clear" w:color="auto" w:fill="auto"/>
        <w:spacing w:after="160" w:line="360" w:lineRule="auto"/>
        <w:ind w:left="3969" w:firstLine="0"/>
        <w:jc w:val="center"/>
        <w:rPr>
          <w:rFonts w:ascii="Sylfaen" w:hAnsi="Sylfaen"/>
          <w:sz w:val="24"/>
          <w:szCs w:val="24"/>
        </w:rPr>
      </w:pPr>
      <w:r w:rsidRPr="00CA27E3">
        <w:rPr>
          <w:rFonts w:ascii="Sylfaen" w:hAnsi="Sylfaen"/>
          <w:sz w:val="24"/>
          <w:szCs w:val="24"/>
        </w:rPr>
        <w:lastRenderedPageBreak/>
        <w:t>ՀԱՎԵԼՎԱԾ ԹԻՎ 16</w:t>
      </w:r>
    </w:p>
    <w:p w14:paraId="6E634249" w14:textId="77777777" w:rsidR="00CA27E3" w:rsidRPr="00CA27E3" w:rsidRDefault="00CA27E3" w:rsidP="00647F3B">
      <w:pPr>
        <w:pStyle w:val="Bodytext212"/>
        <w:shd w:val="clear" w:color="auto" w:fill="auto"/>
        <w:spacing w:after="160" w:line="360" w:lineRule="auto"/>
        <w:ind w:left="3969" w:firstLine="0"/>
        <w:jc w:val="center"/>
        <w:rPr>
          <w:rFonts w:ascii="Sylfaen" w:hAnsi="Sylfaen"/>
          <w:sz w:val="24"/>
          <w:szCs w:val="24"/>
        </w:rPr>
      </w:pPr>
      <w:r w:rsidRPr="00CA27E3">
        <w:rPr>
          <w:rFonts w:ascii="Sylfaen" w:hAnsi="Sylfaen"/>
          <w:sz w:val="24"/>
          <w:szCs w:val="24"/>
        </w:rPr>
        <w:t xml:space="preserve">«Էներգասպառող սարքվածքների </w:t>
      </w:r>
      <w:r w:rsidR="00923537" w:rsidRPr="00923537">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923537" w:rsidRPr="00923537">
        <w:rPr>
          <w:rFonts w:ascii="Sylfaen" w:hAnsi="Sylfaen"/>
          <w:sz w:val="24"/>
          <w:szCs w:val="24"/>
        </w:rPr>
        <w:br/>
      </w:r>
      <w:r w:rsidRPr="00CA27E3">
        <w:rPr>
          <w:rFonts w:ascii="Sylfaen" w:hAnsi="Sylfaen"/>
          <w:sz w:val="24"/>
          <w:szCs w:val="24"/>
        </w:rPr>
        <w:t>(ԵԱՏՄ ՏԿ</w:t>
      </w:r>
      <w:r w:rsidR="00647F3B" w:rsidRPr="00647F3B">
        <w:rPr>
          <w:rFonts w:ascii="Sylfaen" w:hAnsi="Sylfaen"/>
          <w:sz w:val="24"/>
          <w:szCs w:val="24"/>
        </w:rPr>
        <w:tab/>
      </w:r>
      <w:r w:rsidRPr="00CA27E3">
        <w:rPr>
          <w:rFonts w:ascii="Sylfaen" w:hAnsi="Sylfaen"/>
          <w:sz w:val="24"/>
          <w:szCs w:val="24"/>
        </w:rPr>
        <w:t>/20</w:t>
      </w:r>
      <w:r w:rsidR="00647F3B" w:rsidRPr="00647F3B">
        <w:rPr>
          <w:rFonts w:ascii="Sylfaen" w:hAnsi="Sylfaen"/>
          <w:sz w:val="24"/>
          <w:szCs w:val="24"/>
        </w:rPr>
        <w:tab/>
      </w:r>
      <w:r w:rsidRPr="00CA27E3">
        <w:rPr>
          <w:rFonts w:ascii="Sylfaen" w:hAnsi="Sylfaen"/>
          <w:sz w:val="24"/>
          <w:szCs w:val="24"/>
        </w:rPr>
        <w:t>)</w:t>
      </w:r>
    </w:p>
    <w:p w14:paraId="70F2CB2D" w14:textId="77777777" w:rsidR="00CA27E3" w:rsidRPr="00CA27E3" w:rsidRDefault="00CA27E3" w:rsidP="00CA27E3">
      <w:pPr>
        <w:pStyle w:val="Bodytext31"/>
        <w:shd w:val="clear" w:color="auto" w:fill="auto"/>
        <w:spacing w:before="0" w:after="160" w:line="360" w:lineRule="auto"/>
        <w:rPr>
          <w:rStyle w:val="Bodytext3Spacing2pt"/>
          <w:rFonts w:ascii="Sylfaen" w:hAnsi="Sylfaen"/>
          <w:b/>
          <w:bCs/>
          <w:spacing w:val="0"/>
          <w:sz w:val="24"/>
          <w:szCs w:val="24"/>
        </w:rPr>
      </w:pPr>
    </w:p>
    <w:p w14:paraId="2D69637A" w14:textId="77777777" w:rsidR="00CA27E3" w:rsidRPr="00647F3B" w:rsidRDefault="00CA27E3" w:rsidP="00CA27E3">
      <w:pPr>
        <w:pStyle w:val="Bodytext31"/>
        <w:shd w:val="clear" w:color="auto" w:fill="auto"/>
        <w:spacing w:before="0" w:after="160" w:line="360" w:lineRule="auto"/>
        <w:rPr>
          <w:rFonts w:ascii="Sylfaen" w:hAnsi="Sylfaen"/>
          <w:b w:val="0"/>
          <w:sz w:val="24"/>
          <w:szCs w:val="24"/>
        </w:rPr>
      </w:pPr>
      <w:r w:rsidRPr="00647F3B">
        <w:rPr>
          <w:rStyle w:val="Bodytext3Spacing2pt"/>
          <w:rFonts w:ascii="Sylfaen" w:hAnsi="Sylfaen"/>
          <w:b/>
          <w:spacing w:val="0"/>
          <w:sz w:val="24"/>
          <w:szCs w:val="24"/>
        </w:rPr>
        <w:t>ՊԱՀԱՆՋՆԵՐ</w:t>
      </w:r>
    </w:p>
    <w:p w14:paraId="3F1A08FA" w14:textId="77777777" w:rsidR="00CA27E3" w:rsidRPr="00CA27E3" w:rsidRDefault="00CA27E3" w:rsidP="00CA27E3">
      <w:pPr>
        <w:pStyle w:val="Bodytext31"/>
        <w:shd w:val="clear" w:color="auto" w:fill="auto"/>
        <w:spacing w:before="0" w:after="160" w:line="360" w:lineRule="auto"/>
        <w:rPr>
          <w:rFonts w:ascii="Sylfaen" w:hAnsi="Sylfaen"/>
          <w:sz w:val="24"/>
          <w:szCs w:val="24"/>
        </w:rPr>
      </w:pPr>
      <w:r w:rsidRPr="00CA27E3">
        <w:rPr>
          <w:rFonts w:ascii="Sylfaen" w:hAnsi="Sylfaen"/>
          <w:sz w:val="24"/>
          <w:szCs w:val="24"/>
        </w:rPr>
        <w:t>փոշեկուլների էներգետիկ արդյունավետությանը ներկայացվող</w:t>
      </w:r>
    </w:p>
    <w:p w14:paraId="64D72780"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p>
    <w:p w14:paraId="2D133AAF"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I. Կիրառման ոլորտը</w:t>
      </w:r>
    </w:p>
    <w:p w14:paraId="55BF159A"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w:t>
      </w:r>
      <w:r w:rsidR="00647F3B" w:rsidRPr="00647F3B">
        <w:rPr>
          <w:rFonts w:ascii="Sylfaen" w:hAnsi="Sylfaen"/>
          <w:sz w:val="24"/>
          <w:szCs w:val="24"/>
        </w:rPr>
        <w:tab/>
      </w:r>
      <w:r w:rsidRPr="00CA27E3">
        <w:rPr>
          <w:rFonts w:ascii="Sylfaen" w:hAnsi="Sylfaen"/>
          <w:sz w:val="24"/>
          <w:szCs w:val="24"/>
        </w:rPr>
        <w:t>Սույն պահանջները տարածվում են Եվրասիական տնտեսական միության (այսուհետ՝ Միություն) մաքսային տարածքում շրջանառության մեջ դրվող կենցաղային ՝ մինչ</w:t>
      </w:r>
      <w:r>
        <w:rPr>
          <w:rFonts w:ascii="Sylfaen" w:hAnsi="Sylfaen"/>
          <w:sz w:val="24"/>
          <w:szCs w:val="24"/>
        </w:rPr>
        <w:t>եւ</w:t>
      </w:r>
      <w:r w:rsidRPr="00CA27E3">
        <w:rPr>
          <w:rFonts w:ascii="Sylfaen" w:hAnsi="Sylfaen"/>
          <w:sz w:val="24"/>
          <w:szCs w:val="24"/>
        </w:rPr>
        <w:t xml:space="preserve"> 250 Վ անվանական լարմամբ (ներառյալ) փոփոխական հոսանքի ցանցից սնվող կենցաղային նշանակության փոշեկուլների վրա (այսուհետ՝ փոշեկուլներ), որոնք կարող են օգտագործվել առ</w:t>
      </w:r>
      <w:r>
        <w:rPr>
          <w:rFonts w:ascii="Sylfaen" w:hAnsi="Sylfaen"/>
          <w:sz w:val="24"/>
          <w:szCs w:val="24"/>
        </w:rPr>
        <w:t>եւ</w:t>
      </w:r>
      <w:r w:rsidRPr="00CA27E3">
        <w:rPr>
          <w:rFonts w:ascii="Sylfaen" w:hAnsi="Sylfaen"/>
          <w:sz w:val="24"/>
          <w:szCs w:val="24"/>
        </w:rPr>
        <w:t>տրային նպատակներով (արտադրությունում, առ</w:t>
      </w:r>
      <w:r>
        <w:rPr>
          <w:rFonts w:ascii="Sylfaen" w:hAnsi="Sylfaen"/>
          <w:sz w:val="24"/>
          <w:szCs w:val="24"/>
        </w:rPr>
        <w:t>եւ</w:t>
      </w:r>
      <w:r w:rsidRPr="00CA27E3">
        <w:rPr>
          <w:rFonts w:ascii="Sylfaen" w:hAnsi="Sylfaen"/>
          <w:sz w:val="24"/>
          <w:szCs w:val="24"/>
        </w:rPr>
        <w:t xml:space="preserve">տրում </w:t>
      </w:r>
      <w:r>
        <w:rPr>
          <w:rFonts w:ascii="Sylfaen" w:hAnsi="Sylfaen"/>
          <w:sz w:val="24"/>
          <w:szCs w:val="24"/>
        </w:rPr>
        <w:t>եւ</w:t>
      </w:r>
      <w:r w:rsidRPr="00CA27E3">
        <w:rPr>
          <w:rFonts w:ascii="Sylfaen" w:hAnsi="Sylfaen"/>
          <w:sz w:val="24"/>
          <w:szCs w:val="24"/>
        </w:rPr>
        <w:t xml:space="preserve"> ծառայությունների ոլորտում), կամ հիբրիդային փոշեկուլների վրա՝ բացառությամբ</w:t>
      </w:r>
    </w:p>
    <w:p w14:paraId="1EACA078"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647F3B" w:rsidRPr="00647F3B">
        <w:rPr>
          <w:rFonts w:ascii="Sylfaen" w:hAnsi="Sylfaen"/>
          <w:sz w:val="24"/>
          <w:szCs w:val="24"/>
        </w:rPr>
        <w:tab/>
      </w:r>
      <w:r w:rsidRPr="00CA27E3">
        <w:rPr>
          <w:rFonts w:ascii="Sylfaen" w:hAnsi="Sylfaen"/>
          <w:sz w:val="24"/>
          <w:szCs w:val="24"/>
        </w:rPr>
        <w:t>խոնավ մաքրման համար փոշեկուլների.</w:t>
      </w:r>
    </w:p>
    <w:p w14:paraId="5F94E82B"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647F3B" w:rsidRPr="00647F3B">
        <w:rPr>
          <w:rFonts w:ascii="Sylfaen" w:hAnsi="Sylfaen"/>
          <w:sz w:val="24"/>
          <w:szCs w:val="24"/>
        </w:rPr>
        <w:tab/>
      </w:r>
      <w:r w:rsidRPr="00CA27E3">
        <w:rPr>
          <w:rFonts w:ascii="Sylfaen" w:hAnsi="Sylfaen"/>
          <w:sz w:val="24"/>
          <w:szCs w:val="24"/>
        </w:rPr>
        <w:t xml:space="preserve">խոնավ </w:t>
      </w:r>
      <w:r>
        <w:rPr>
          <w:rFonts w:ascii="Sylfaen" w:hAnsi="Sylfaen"/>
          <w:sz w:val="24"/>
          <w:szCs w:val="24"/>
        </w:rPr>
        <w:t>եւ</w:t>
      </w:r>
      <w:r w:rsidRPr="00CA27E3">
        <w:rPr>
          <w:rFonts w:ascii="Sylfaen" w:hAnsi="Sylfaen"/>
          <w:sz w:val="24"/>
          <w:szCs w:val="24"/>
        </w:rPr>
        <w:t xml:space="preserve"> չոր մաքրման համար փոշեկուլների.</w:t>
      </w:r>
    </w:p>
    <w:p w14:paraId="6E9BABE2"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647F3B" w:rsidRPr="00647F3B">
        <w:rPr>
          <w:rFonts w:ascii="Sylfaen" w:hAnsi="Sylfaen"/>
          <w:sz w:val="24"/>
          <w:szCs w:val="24"/>
        </w:rPr>
        <w:tab/>
      </w:r>
      <w:r w:rsidRPr="00CA27E3">
        <w:rPr>
          <w:rFonts w:ascii="Sylfaen" w:hAnsi="Sylfaen"/>
          <w:sz w:val="24"/>
          <w:szCs w:val="24"/>
        </w:rPr>
        <w:t xml:space="preserve">էլեկտրական մարտկոցներից </w:t>
      </w:r>
      <w:r>
        <w:rPr>
          <w:rFonts w:ascii="Sylfaen" w:hAnsi="Sylfaen"/>
          <w:sz w:val="24"/>
          <w:szCs w:val="24"/>
        </w:rPr>
        <w:t>եւ</w:t>
      </w:r>
      <w:r w:rsidRPr="00CA27E3">
        <w:rPr>
          <w:rFonts w:ascii="Sylfaen" w:hAnsi="Sylfaen"/>
          <w:sz w:val="24"/>
          <w:szCs w:val="24"/>
        </w:rPr>
        <w:t xml:space="preserve"> (կամ) կուտակիչներից աշխատող փոշեկուլների.</w:t>
      </w:r>
    </w:p>
    <w:p w14:paraId="651DFD60"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647F3B" w:rsidRPr="00BF7FB9">
        <w:rPr>
          <w:rFonts w:ascii="Sylfaen" w:hAnsi="Sylfaen"/>
          <w:sz w:val="24"/>
          <w:szCs w:val="24"/>
        </w:rPr>
        <w:tab/>
      </w:r>
      <w:r w:rsidRPr="00CA27E3">
        <w:rPr>
          <w:rFonts w:ascii="Sylfaen" w:hAnsi="Sylfaen"/>
          <w:sz w:val="24"/>
          <w:szCs w:val="24"/>
        </w:rPr>
        <w:t>ռոբոտ-փոշեկուլների.</w:t>
      </w:r>
    </w:p>
    <w:p w14:paraId="4A8E4AE1"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647F3B" w:rsidRPr="00647F3B">
        <w:rPr>
          <w:rFonts w:ascii="Sylfaen" w:hAnsi="Sylfaen"/>
          <w:sz w:val="24"/>
          <w:szCs w:val="24"/>
        </w:rPr>
        <w:tab/>
      </w:r>
      <w:r w:rsidRPr="00CA27E3">
        <w:rPr>
          <w:rFonts w:ascii="Sylfaen" w:hAnsi="Sylfaen"/>
          <w:sz w:val="24"/>
          <w:szCs w:val="24"/>
        </w:rPr>
        <w:t>արդյունաբերական կամ կենտրոնական փոշեկուլների.</w:t>
      </w:r>
    </w:p>
    <w:p w14:paraId="4FDB6F02"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lastRenderedPageBreak/>
        <w:t>զ)</w:t>
      </w:r>
      <w:r w:rsidR="00647F3B" w:rsidRPr="00BF7FB9">
        <w:rPr>
          <w:rFonts w:ascii="Sylfaen" w:hAnsi="Sylfaen"/>
          <w:sz w:val="24"/>
          <w:szCs w:val="24"/>
        </w:rPr>
        <w:tab/>
      </w:r>
      <w:r w:rsidRPr="00CA27E3">
        <w:rPr>
          <w:rFonts w:ascii="Sylfaen" w:hAnsi="Sylfaen"/>
          <w:sz w:val="24"/>
          <w:szCs w:val="24"/>
        </w:rPr>
        <w:t>հատակափայլիչների.</w:t>
      </w:r>
    </w:p>
    <w:p w14:paraId="303E6E54"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է)</w:t>
      </w:r>
      <w:r w:rsidR="00647F3B" w:rsidRPr="00647F3B">
        <w:rPr>
          <w:rFonts w:ascii="Sylfaen" w:hAnsi="Sylfaen"/>
          <w:sz w:val="24"/>
          <w:szCs w:val="24"/>
        </w:rPr>
        <w:tab/>
      </w:r>
      <w:r w:rsidRPr="00CA27E3">
        <w:rPr>
          <w:rFonts w:ascii="Sylfaen" w:hAnsi="Sylfaen"/>
          <w:sz w:val="24"/>
          <w:szCs w:val="24"/>
        </w:rPr>
        <w:t>տարածքներից դուրս կիրառման համար նախատեսված փոշեկուլների:</w:t>
      </w:r>
    </w:p>
    <w:p w14:paraId="661B54BF" w14:textId="77777777" w:rsidR="00CA27E3" w:rsidRPr="00CA27E3" w:rsidRDefault="00CA27E3" w:rsidP="00CA27E3">
      <w:pPr>
        <w:pStyle w:val="Bodytext212"/>
        <w:shd w:val="clear" w:color="auto" w:fill="auto"/>
        <w:spacing w:after="160" w:line="360" w:lineRule="auto"/>
        <w:ind w:firstLine="426"/>
        <w:jc w:val="both"/>
        <w:rPr>
          <w:rFonts w:ascii="Sylfaen" w:hAnsi="Sylfaen"/>
          <w:sz w:val="24"/>
          <w:szCs w:val="24"/>
        </w:rPr>
      </w:pPr>
      <w:r w:rsidRPr="00CA27E3">
        <w:rPr>
          <w:rFonts w:ascii="Sylfaen" w:hAnsi="Sylfaen"/>
          <w:sz w:val="24"/>
          <w:szCs w:val="24"/>
        </w:rPr>
        <w:t>Եթե փոշեկուլների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փոշեկուլները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418F011F" w14:textId="77777777" w:rsidR="00CA27E3" w:rsidRPr="00CA27E3" w:rsidRDefault="00CA27E3" w:rsidP="00CA27E3">
      <w:pPr>
        <w:spacing w:after="160" w:line="360" w:lineRule="auto"/>
        <w:ind w:firstLine="426"/>
        <w:rPr>
          <w:rFonts w:ascii="Sylfaen" w:hAnsi="Sylfaen"/>
        </w:rPr>
      </w:pPr>
    </w:p>
    <w:p w14:paraId="262AE505"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II. Հիմնական հասկացությունները</w:t>
      </w:r>
    </w:p>
    <w:p w14:paraId="56A0B3BA"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2.</w:t>
      </w:r>
      <w:r w:rsidR="00647F3B" w:rsidRPr="00647F3B">
        <w:rPr>
          <w:rFonts w:ascii="Sylfaen" w:hAnsi="Sylfaen"/>
          <w:sz w:val="24"/>
          <w:szCs w:val="24"/>
        </w:rPr>
        <w:tab/>
      </w:r>
      <w:r w:rsidRPr="00CA27E3">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6E1BC84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մարտկոցներով աշխատող ակտիվ գլխադիր-խոզանակ (ակտիվ գլխադիր-խոզանակ)՝</w:t>
      </w:r>
      <w:r w:rsidRPr="00CA27E3">
        <w:rPr>
          <w:rFonts w:ascii="Sylfaen" w:hAnsi="Sylfaen"/>
          <w:sz w:val="24"/>
          <w:szCs w:val="24"/>
        </w:rPr>
        <w:t xml:space="preserve"> մաքրող գլխադիր, որը հանդերձված է մարտկոցներից </w:t>
      </w:r>
      <w:r>
        <w:rPr>
          <w:rFonts w:ascii="Sylfaen" w:hAnsi="Sylfaen"/>
          <w:sz w:val="24"/>
          <w:szCs w:val="24"/>
        </w:rPr>
        <w:t>եւ</w:t>
      </w:r>
      <w:r w:rsidRPr="00CA27E3">
        <w:rPr>
          <w:rFonts w:ascii="Sylfaen" w:hAnsi="Sylfaen"/>
          <w:sz w:val="24"/>
          <w:szCs w:val="24"/>
        </w:rPr>
        <w:t xml:space="preserve"> (կամ) կուտակիչներից սնվող՝ խավը բարձրացնելու համար նախատեսվող սարքվածքով (շարժվող խոզանակով), որը նպաստում է կեղտի հեռացմանը.</w:t>
      </w:r>
    </w:p>
    <w:p w14:paraId="3ADF203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կենցաղային փոշեկուլ՝</w:t>
      </w:r>
      <w:r w:rsidRPr="00CA27E3">
        <w:rPr>
          <w:rFonts w:ascii="Sylfaen" w:hAnsi="Sylfaen"/>
          <w:sz w:val="24"/>
          <w:szCs w:val="24"/>
        </w:rPr>
        <w:t xml:space="preserve"> միայն տնային կամ կենցաղային օգտագործման համար նախատեսված </w:t>
      </w:r>
      <w:r>
        <w:rPr>
          <w:rFonts w:ascii="Sylfaen" w:hAnsi="Sylfaen"/>
          <w:sz w:val="24"/>
          <w:szCs w:val="24"/>
        </w:rPr>
        <w:t>եւ</w:t>
      </w:r>
      <w:r w:rsidRPr="00CA27E3">
        <w:rPr>
          <w:rFonts w:ascii="Sylfaen" w:hAnsi="Sylfaen"/>
          <w:sz w:val="24"/>
          <w:szCs w:val="24"/>
        </w:rPr>
        <w:t xml:space="preserve"> արտադրողի կողմից որպես այդպիսին</w:t>
      </w:r>
      <w:r w:rsidRPr="00CA27E3" w:rsidDel="00153716">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հայտարարված փոշեկուլ.</w:t>
      </w:r>
    </w:p>
    <w:p w14:paraId="1CE492E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փոշու երկրորդական արտանետում՝</w:t>
      </w:r>
      <w:r w:rsidRPr="00CA27E3">
        <w:rPr>
          <w:rFonts w:ascii="Sylfaen" w:hAnsi="Sylfaen"/>
          <w:sz w:val="24"/>
          <w:szCs w:val="24"/>
        </w:rPr>
        <w:t xml:space="preserve"> փոշեկուլից արտանետված՝ 0,3 մկմ-ից մինչ</w:t>
      </w:r>
      <w:r>
        <w:rPr>
          <w:rFonts w:ascii="Sylfaen" w:hAnsi="Sylfaen"/>
          <w:sz w:val="24"/>
          <w:szCs w:val="24"/>
        </w:rPr>
        <w:t>եւ</w:t>
      </w:r>
      <w:r w:rsidRPr="00CA27E3">
        <w:rPr>
          <w:rFonts w:ascii="Sylfaen" w:hAnsi="Sylfaen"/>
          <w:sz w:val="24"/>
          <w:szCs w:val="24"/>
        </w:rPr>
        <w:t xml:space="preserve"> 10 մկմ չափի փոշու մասնիկների գումարային թվի՝ մինչ</w:t>
      </w:r>
      <w:r>
        <w:rPr>
          <w:rFonts w:ascii="Sylfaen" w:hAnsi="Sylfaen"/>
          <w:sz w:val="24"/>
          <w:szCs w:val="24"/>
        </w:rPr>
        <w:t>եւ</w:t>
      </w:r>
      <w:r w:rsidRPr="00CA27E3">
        <w:rPr>
          <w:rFonts w:ascii="Sylfaen" w:hAnsi="Sylfaen"/>
          <w:sz w:val="24"/>
          <w:szCs w:val="24"/>
        </w:rPr>
        <w:t xml:space="preserve"> 2 տասնորդական նիշ ճշգրտությամբ տոկոսներով արտահայտված հարաբերությունը</w:t>
      </w:r>
      <w:r>
        <w:rPr>
          <w:rFonts w:ascii="Sylfaen" w:hAnsi="Sylfaen"/>
          <w:sz w:val="24"/>
          <w:szCs w:val="24"/>
        </w:rPr>
        <w:t xml:space="preserve"> </w:t>
      </w:r>
      <w:r w:rsidRPr="00CA27E3">
        <w:rPr>
          <w:rFonts w:ascii="Sylfaen" w:hAnsi="Sylfaen"/>
          <w:sz w:val="24"/>
          <w:szCs w:val="24"/>
        </w:rPr>
        <w:t xml:space="preserve">մասնիկների նշված չափերով որոշակի քանակության փոշու՝ ներծծող սարքվածք մուտք գործելու ժամանակ դրանով հավաքված փոշու նույն չափի մասնիկների գումարային թվի նկատմամբ՝ ներառյալ փոշեկուլի ելքում չափված փոշին </w:t>
      </w:r>
      <w:r>
        <w:rPr>
          <w:rFonts w:ascii="Sylfaen" w:hAnsi="Sylfaen"/>
          <w:sz w:val="24"/>
          <w:szCs w:val="24"/>
        </w:rPr>
        <w:t>եւ</w:t>
      </w:r>
      <w:r w:rsidRPr="00CA27E3">
        <w:rPr>
          <w:rFonts w:ascii="Sylfaen" w:hAnsi="Sylfaen"/>
          <w:sz w:val="24"/>
          <w:szCs w:val="24"/>
        </w:rPr>
        <w:t xml:space="preserve"> ցանկացած հոսակորուստի պատճառով արտանետված ու փոշեկուլով արտադրվող փոշին.</w:t>
      </w:r>
    </w:p>
    <w:p w14:paraId="07E4CAD1" w14:textId="77777777" w:rsidR="00CA27E3" w:rsidRPr="00CA27E3" w:rsidRDefault="00CA27E3" w:rsidP="00923537">
      <w:pPr>
        <w:pStyle w:val="Bodytext212"/>
        <w:shd w:val="clear" w:color="auto" w:fill="auto"/>
        <w:spacing w:after="160" w:line="348" w:lineRule="auto"/>
        <w:ind w:firstLine="567"/>
        <w:jc w:val="both"/>
        <w:rPr>
          <w:rFonts w:ascii="Sylfaen" w:hAnsi="Sylfaen"/>
          <w:sz w:val="24"/>
          <w:szCs w:val="24"/>
        </w:rPr>
      </w:pPr>
      <w:r w:rsidRPr="00923537">
        <w:rPr>
          <w:rFonts w:ascii="Sylfaen" w:hAnsi="Sylfaen"/>
          <w:b/>
          <w:sz w:val="24"/>
          <w:szCs w:val="24"/>
        </w:rPr>
        <w:lastRenderedPageBreak/>
        <w:t>հիբրիդային փոշեկուլ՝</w:t>
      </w:r>
      <w:r w:rsidRPr="00CA27E3">
        <w:rPr>
          <w:rFonts w:ascii="Sylfaen" w:hAnsi="Sylfaen"/>
          <w:sz w:val="24"/>
          <w:szCs w:val="24"/>
        </w:rPr>
        <w:t xml:space="preserve"> փոշեկուլ, որը կարող է գործարկվել</w:t>
      </w:r>
      <w:r>
        <w:rPr>
          <w:rFonts w:ascii="Sylfaen" w:hAnsi="Sylfaen"/>
          <w:sz w:val="24"/>
          <w:szCs w:val="24"/>
        </w:rPr>
        <w:t xml:space="preserve"> </w:t>
      </w:r>
      <w:r w:rsidRPr="00CA27E3">
        <w:rPr>
          <w:rFonts w:ascii="Sylfaen" w:hAnsi="Sylfaen"/>
          <w:sz w:val="24"/>
          <w:szCs w:val="24"/>
        </w:rPr>
        <w:t xml:space="preserve">ինչպես էլեկտրացանցից, այնպես էլ էլեկտրական մարտկոցներից </w:t>
      </w:r>
      <w:r>
        <w:rPr>
          <w:rFonts w:ascii="Sylfaen" w:hAnsi="Sylfaen"/>
          <w:sz w:val="24"/>
          <w:szCs w:val="24"/>
        </w:rPr>
        <w:t>եւ</w:t>
      </w:r>
      <w:r w:rsidRPr="00CA27E3">
        <w:rPr>
          <w:rFonts w:ascii="Sylfaen" w:hAnsi="Sylfaen"/>
          <w:sz w:val="24"/>
          <w:szCs w:val="24"/>
        </w:rPr>
        <w:t xml:space="preserve"> (կամ) կուտակիչներից.</w:t>
      </w:r>
    </w:p>
    <w:p w14:paraId="6F45630E" w14:textId="77777777" w:rsidR="00CA27E3" w:rsidRPr="00CA27E3" w:rsidRDefault="00CA27E3" w:rsidP="00923537">
      <w:pPr>
        <w:pStyle w:val="Bodytext212"/>
        <w:shd w:val="clear" w:color="auto" w:fill="auto"/>
        <w:spacing w:after="160" w:line="348" w:lineRule="auto"/>
        <w:ind w:firstLine="567"/>
        <w:jc w:val="both"/>
        <w:rPr>
          <w:rFonts w:ascii="Sylfaen" w:hAnsi="Sylfaen"/>
          <w:sz w:val="24"/>
          <w:szCs w:val="24"/>
        </w:rPr>
      </w:pPr>
      <w:r w:rsidRPr="00923537">
        <w:rPr>
          <w:rFonts w:ascii="Sylfaen" w:hAnsi="Sylfaen"/>
          <w:b/>
          <w:sz w:val="24"/>
          <w:szCs w:val="24"/>
        </w:rPr>
        <w:t>երկակի անցում՝</w:t>
      </w:r>
      <w:r w:rsidRPr="00CA27E3">
        <w:rPr>
          <w:rFonts w:ascii="Sylfaen" w:hAnsi="Sylfaen"/>
          <w:sz w:val="24"/>
          <w:szCs w:val="24"/>
        </w:rPr>
        <w:t xml:space="preserve"> մաքրող գլխադիրի 1 շարժում առաջ </w:t>
      </w:r>
      <w:r>
        <w:rPr>
          <w:rFonts w:ascii="Sylfaen" w:hAnsi="Sylfaen"/>
          <w:sz w:val="24"/>
          <w:szCs w:val="24"/>
        </w:rPr>
        <w:t>եւ</w:t>
      </w:r>
      <w:r w:rsidRPr="00CA27E3">
        <w:rPr>
          <w:rFonts w:ascii="Sylfaen" w:hAnsi="Sylfaen"/>
          <w:sz w:val="24"/>
          <w:szCs w:val="24"/>
        </w:rPr>
        <w:t xml:space="preserve"> 1 շարժում հետ՝ զուգահեռ ուղղությամբ, որոնք կատարվում են անցման փորձարկման արագությամբ՝ փորձարկման անցման տրված երկարությամբ.</w:t>
      </w:r>
    </w:p>
    <w:p w14:paraId="53F5F397" w14:textId="77777777" w:rsidR="00CA27E3" w:rsidRPr="00CA27E3" w:rsidRDefault="00CA27E3" w:rsidP="00923537">
      <w:pPr>
        <w:pStyle w:val="Bodytext212"/>
        <w:shd w:val="clear" w:color="auto" w:fill="auto"/>
        <w:spacing w:after="160" w:line="348" w:lineRule="auto"/>
        <w:ind w:firstLine="567"/>
        <w:jc w:val="both"/>
        <w:rPr>
          <w:rFonts w:ascii="Sylfaen" w:hAnsi="Sylfaen"/>
          <w:sz w:val="24"/>
          <w:szCs w:val="24"/>
        </w:rPr>
      </w:pPr>
      <w:r w:rsidRPr="00923537">
        <w:rPr>
          <w:rFonts w:ascii="Sylfaen" w:hAnsi="Sylfaen"/>
          <w:b/>
          <w:sz w:val="24"/>
          <w:szCs w:val="24"/>
        </w:rPr>
        <w:t>փորձարկման անցման երկարություն՝</w:t>
      </w:r>
      <w:r w:rsidRPr="00CA27E3">
        <w:rPr>
          <w:rFonts w:ascii="Sylfaen" w:hAnsi="Sylfaen"/>
          <w:sz w:val="24"/>
          <w:szCs w:val="24"/>
        </w:rPr>
        <w:t xml:space="preserve"> մետրերով արտահայտված փորձարկման գոտու երկարություն՝ ներառյալ մաքրող գլխադիրի կենտրոնով անցած հեռավորությունը՝ փորձարկման գոտուց առաջ ու հետո համապատասխան գոտիներով արագացմամբ.</w:t>
      </w:r>
    </w:p>
    <w:p w14:paraId="1D8ECA17" w14:textId="77777777" w:rsidR="00CA27E3" w:rsidRPr="00CA27E3" w:rsidRDefault="00CA27E3" w:rsidP="00923537">
      <w:pPr>
        <w:pStyle w:val="Bodytext212"/>
        <w:shd w:val="clear" w:color="auto" w:fill="auto"/>
        <w:spacing w:after="160" w:line="348" w:lineRule="auto"/>
        <w:ind w:firstLine="567"/>
        <w:jc w:val="both"/>
        <w:rPr>
          <w:rFonts w:ascii="Sylfaen" w:hAnsi="Sylfaen"/>
          <w:sz w:val="24"/>
          <w:szCs w:val="24"/>
        </w:rPr>
      </w:pPr>
      <w:r w:rsidRPr="00923537">
        <w:rPr>
          <w:rFonts w:ascii="Sylfaen" w:hAnsi="Sylfaen"/>
          <w:b/>
          <w:sz w:val="24"/>
          <w:szCs w:val="24"/>
        </w:rPr>
        <w:t>փորձարկում գորգի վրա՝</w:t>
      </w:r>
      <w:r w:rsidRPr="00CA27E3">
        <w:rPr>
          <w:rFonts w:ascii="Sylfaen" w:hAnsi="Sylfaen"/>
          <w:sz w:val="24"/>
          <w:szCs w:val="24"/>
        </w:rPr>
        <w:t xml:space="preserve"> Վիլտոնի փորձարկման գորգի վրա համապատասխան թվով մաքրման ցիկլերի փորձարկում, որի ժամանակ փոշեկուլի՝ առավելագույն հզորությամբ աշխատող մաքրող գլխադիրն անցնում է մաքրող գլխադիրի լայնությանը հավասար լայնությամբ փորձարկման գոտու համապատասխան երկարության հատված, որով հավասարաչափ բաշխված ու համապատասխան կերպով ներկառուցված է համապատասխան կազմության փորձարկման փոշի՝ այդ ընթացքում անցած ժամանակի, փորձարկման գոտու նկատմամբ մաքրող գլխադիրի կենտրոնի դիրքի, էլեկտրաէներգիայի սպառման </w:t>
      </w:r>
      <w:r>
        <w:rPr>
          <w:rFonts w:ascii="Sylfaen" w:hAnsi="Sylfaen"/>
          <w:sz w:val="24"/>
          <w:szCs w:val="24"/>
        </w:rPr>
        <w:t>եւ</w:t>
      </w:r>
      <w:r w:rsidRPr="00CA27E3">
        <w:rPr>
          <w:rFonts w:ascii="Sylfaen" w:hAnsi="Sylfaen"/>
          <w:sz w:val="24"/>
          <w:szCs w:val="24"/>
        </w:rPr>
        <w:t xml:space="preserve"> մաքրման յուրաքանչյուր ցիկլի վերջում փոշեհավաքարանի զանգվածի մեծացման չափմամբ </w:t>
      </w:r>
      <w:r>
        <w:rPr>
          <w:rFonts w:ascii="Sylfaen" w:hAnsi="Sylfaen"/>
          <w:sz w:val="24"/>
          <w:szCs w:val="24"/>
        </w:rPr>
        <w:t>եւ</w:t>
      </w:r>
      <w:r w:rsidRPr="00CA27E3">
        <w:rPr>
          <w:rFonts w:ascii="Sylfaen" w:hAnsi="Sylfaen"/>
          <w:sz w:val="24"/>
          <w:szCs w:val="24"/>
        </w:rPr>
        <w:t xml:space="preserve"> արձանագրմամբ.</w:t>
      </w:r>
    </w:p>
    <w:p w14:paraId="09EB8CD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փորձարկում կոշտ հատակի վրա՝</w:t>
      </w:r>
      <w:r w:rsidRPr="00CA27E3">
        <w:rPr>
          <w:rFonts w:ascii="Sylfaen" w:hAnsi="Sylfaen"/>
          <w:sz w:val="24"/>
          <w:szCs w:val="24"/>
        </w:rPr>
        <w:t xml:space="preserve"> մաքրման 2 ցիկլերով փորձարկում, որոնց ժամանակ առավելագույն հզորությամբ աշխատող փոշեկուլի մաքրող գլխադիրն անցնում է անկյունագծային (45° անկյան տակ) փորձարկման փորակով հանդերձված փայտյա փորձարկման սալով, մաքրող գլխադիրի լայնությանը հավասար լայնությամբ համապատասխան երկարության փորձարկման գոտու հատված՝ այդ ընթացքում անցած ժամանակի, փորձարկման գոտու նկատմամբ մաքրող գլխադիրի կենտրոնի դիրքի, էլեկտրաէներգիայի սպառման </w:t>
      </w:r>
      <w:r>
        <w:rPr>
          <w:rFonts w:ascii="Sylfaen" w:hAnsi="Sylfaen"/>
          <w:sz w:val="24"/>
          <w:szCs w:val="24"/>
        </w:rPr>
        <w:t>եւ</w:t>
      </w:r>
      <w:r w:rsidRPr="00CA27E3">
        <w:rPr>
          <w:rFonts w:ascii="Sylfaen" w:hAnsi="Sylfaen"/>
          <w:sz w:val="24"/>
          <w:szCs w:val="24"/>
        </w:rPr>
        <w:t xml:space="preserve"> մաքրման յուրաքանչյուր ցիկլի վերջում փորձարկման փորակի զանգվածի նվազման չափմամբ </w:t>
      </w:r>
      <w:r>
        <w:rPr>
          <w:rFonts w:ascii="Sylfaen" w:hAnsi="Sylfaen"/>
          <w:sz w:val="24"/>
          <w:szCs w:val="24"/>
        </w:rPr>
        <w:t>եւ</w:t>
      </w:r>
      <w:r w:rsidRPr="00CA27E3">
        <w:rPr>
          <w:rFonts w:ascii="Sylfaen" w:hAnsi="Sylfaen"/>
          <w:sz w:val="24"/>
          <w:szCs w:val="24"/>
        </w:rPr>
        <w:t xml:space="preserve"> արձանագրմամբ.</w:t>
      </w:r>
    </w:p>
    <w:p w14:paraId="2C875F6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lastRenderedPageBreak/>
        <w:t>անցման փորձարկման արագություն՝</w:t>
      </w:r>
      <w:r w:rsidRPr="00CA27E3">
        <w:rPr>
          <w:rFonts w:ascii="Sylfaen" w:hAnsi="Sylfaen"/>
          <w:sz w:val="24"/>
          <w:szCs w:val="24"/>
        </w:rPr>
        <w:t xml:space="preserve"> փորձարկման ժամանակ մաքրող գլխադիրի մ/ժ-ով արտահայտված շարժման արագություն, որը նախընտրաբար իրագործվում է էլեկտրամեխանիկական շարժաբերի օգտագործմամբ (ինքնագնաց մաքրող գլխադիրով փոշեկուլի մասով անհրաժեշտ է համոզվել, որ դրա արագությունը գտնվում է համապատասխան փորձարկման արագությանը հնարավորինս մոտ, թե</w:t>
      </w:r>
      <w:r>
        <w:rPr>
          <w:rFonts w:ascii="Sylfaen" w:hAnsi="Sylfaen"/>
          <w:sz w:val="24"/>
          <w:szCs w:val="24"/>
        </w:rPr>
        <w:t>եւ</w:t>
      </w:r>
      <w:r w:rsidRPr="00CA27E3">
        <w:rPr>
          <w:rFonts w:ascii="Sylfaen" w:hAnsi="Sylfaen"/>
          <w:sz w:val="24"/>
          <w:szCs w:val="24"/>
        </w:rPr>
        <w:t xml:space="preserve"> շեղումները թույլատրելի են, եթե դրանք հստակ ամրագրված են շահագործման փաստաթղթերում).</w:t>
      </w:r>
    </w:p>
    <w:p w14:paraId="60632AC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փորձարկման փորակ՝</w:t>
      </w:r>
      <w:r w:rsidRPr="00CA27E3">
        <w:rPr>
          <w:rFonts w:ascii="Sylfaen" w:hAnsi="Sylfaen"/>
          <w:sz w:val="24"/>
          <w:szCs w:val="24"/>
        </w:rPr>
        <w:t xml:space="preserve"> մաքրման ցիկլի սկզբում համապատասխան արհեստական փոշով լցվող համապատասխան չափերի П-աձ</w:t>
      </w:r>
      <w:r>
        <w:rPr>
          <w:rFonts w:ascii="Sylfaen" w:hAnsi="Sylfaen"/>
          <w:sz w:val="24"/>
          <w:szCs w:val="24"/>
        </w:rPr>
        <w:t>եւ</w:t>
      </w:r>
      <w:r w:rsidRPr="00CA27E3">
        <w:rPr>
          <w:rFonts w:ascii="Sylfaen" w:hAnsi="Sylfaen"/>
          <w:sz w:val="24"/>
          <w:szCs w:val="24"/>
        </w:rPr>
        <w:t xml:space="preserve"> հանովի ներդիր.</w:t>
      </w:r>
    </w:p>
    <w:p w14:paraId="576D485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անվանական սպառվող հզորություն՝</w:t>
      </w:r>
      <w:r w:rsidRPr="00CA27E3">
        <w:rPr>
          <w:rFonts w:ascii="Sylfaen" w:hAnsi="Sylfaen"/>
          <w:sz w:val="24"/>
          <w:szCs w:val="24"/>
        </w:rPr>
        <w:t xml:space="preserve"> արտադրողի կողմից հայտարարված՝ Վտ-ով արտահայտված սպառվող հզորություն (փոշեկուլի ֆունկցիաների հետ մեկտեղ այլ ֆունկցիաներ կատարելու համար նախատեսված սարքերի համար հաշվի է առնվում միայն վակուումային մաքրման վրա ծախսվող էլեկտրական հզորությունը).</w:t>
      </w:r>
    </w:p>
    <w:p w14:paraId="167D445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կուտակիչներից սնմամբ լիաչափ փոշեկուլ՝</w:t>
      </w:r>
      <w:r w:rsidRPr="00CA27E3">
        <w:rPr>
          <w:rFonts w:ascii="Sylfaen" w:hAnsi="Sylfaen"/>
          <w:sz w:val="24"/>
          <w:szCs w:val="24"/>
        </w:rPr>
        <w:t xml:space="preserve"> կուտակիչներից սնմամբ փոշեկուլ, որը լրիվ լիցքավորման դեպքում </w:t>
      </w:r>
      <w:r>
        <w:rPr>
          <w:rFonts w:ascii="Sylfaen" w:hAnsi="Sylfaen"/>
          <w:sz w:val="24"/>
          <w:szCs w:val="24"/>
        </w:rPr>
        <w:t>եւ</w:t>
      </w:r>
      <w:r w:rsidRPr="00CA27E3">
        <w:rPr>
          <w:rFonts w:ascii="Sylfaen" w:hAnsi="Sylfaen"/>
          <w:sz w:val="24"/>
          <w:szCs w:val="24"/>
        </w:rPr>
        <w:t xml:space="preserve"> առանց լրացուցիչ լրալիցքավորման ունակ է մաքրելու հատակի 15 մ</w:t>
      </w:r>
      <w:r w:rsidRPr="00CA27E3">
        <w:rPr>
          <w:rFonts w:ascii="Sylfaen" w:hAnsi="Sylfaen"/>
          <w:sz w:val="24"/>
          <w:szCs w:val="24"/>
          <w:vertAlign w:val="superscript"/>
        </w:rPr>
        <w:t>2</w:t>
      </w:r>
      <w:r w:rsidRPr="00CA27E3">
        <w:rPr>
          <w:rFonts w:ascii="Sylfaen" w:hAnsi="Sylfaen"/>
          <w:sz w:val="24"/>
          <w:szCs w:val="24"/>
        </w:rPr>
        <w:t>՝ մաքրվող ամբողջ մակեր</w:t>
      </w:r>
      <w:r>
        <w:rPr>
          <w:rFonts w:ascii="Sylfaen" w:hAnsi="Sylfaen"/>
          <w:sz w:val="24"/>
          <w:szCs w:val="24"/>
        </w:rPr>
        <w:t>եւ</w:t>
      </w:r>
      <w:r w:rsidRPr="00CA27E3">
        <w:rPr>
          <w:rFonts w:ascii="Sylfaen" w:hAnsi="Sylfaen"/>
          <w:sz w:val="24"/>
          <w:szCs w:val="24"/>
        </w:rPr>
        <w:t>ույթով 2-ական երկակի քայլի կիրառմամբ.</w:t>
      </w:r>
    </w:p>
    <w:p w14:paraId="5EB2A3E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հատակափայլիչ՝</w:t>
      </w:r>
      <w:r w:rsidRPr="00CA27E3">
        <w:rPr>
          <w:rFonts w:ascii="Sylfaen" w:hAnsi="Sylfaen"/>
          <w:sz w:val="24"/>
          <w:szCs w:val="24"/>
        </w:rPr>
        <w:t xml:space="preserve"> որոշակի տիպի հատակի պաշտպանության, հարթեցման </w:t>
      </w:r>
      <w:r>
        <w:rPr>
          <w:rFonts w:ascii="Sylfaen" w:hAnsi="Sylfaen"/>
          <w:sz w:val="24"/>
          <w:szCs w:val="24"/>
        </w:rPr>
        <w:t>եւ</w:t>
      </w:r>
      <w:r w:rsidRPr="00CA27E3">
        <w:rPr>
          <w:rFonts w:ascii="Sylfaen" w:hAnsi="Sylfaen"/>
          <w:sz w:val="24"/>
          <w:szCs w:val="24"/>
        </w:rPr>
        <w:t xml:space="preserve"> (կամ) փայլեցման համար նախատեսված էլեկտրական սարք, որը, որպես կանոն, աշխատում է հատակի մակեր</w:t>
      </w:r>
      <w:r>
        <w:rPr>
          <w:rFonts w:ascii="Sylfaen" w:hAnsi="Sylfaen"/>
          <w:sz w:val="24"/>
          <w:szCs w:val="24"/>
        </w:rPr>
        <w:t>եւ</w:t>
      </w:r>
      <w:r w:rsidRPr="00CA27E3">
        <w:rPr>
          <w:rFonts w:ascii="Sylfaen" w:hAnsi="Sylfaen"/>
          <w:sz w:val="24"/>
          <w:szCs w:val="24"/>
        </w:rPr>
        <w:t>ույթի վրա սարքով քսվող փայլեցնող նյութերի կիրառմամբ, որն ունակ է կատարելու նա</w:t>
      </w:r>
      <w:r>
        <w:rPr>
          <w:rFonts w:ascii="Sylfaen" w:hAnsi="Sylfaen"/>
          <w:sz w:val="24"/>
          <w:szCs w:val="24"/>
        </w:rPr>
        <w:t>եւ</w:t>
      </w:r>
      <w:r w:rsidRPr="00CA27E3">
        <w:rPr>
          <w:rFonts w:ascii="Sylfaen" w:hAnsi="Sylfaen"/>
          <w:sz w:val="24"/>
          <w:szCs w:val="24"/>
        </w:rPr>
        <w:t xml:space="preserve"> փոշեկուլի ֆունկցիա.</w:t>
      </w:r>
    </w:p>
    <w:p w14:paraId="0647A66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արդյունաբերական փոշեկուլ՝</w:t>
      </w:r>
      <w:r w:rsidRPr="00CA27E3">
        <w:rPr>
          <w:rFonts w:ascii="Sylfaen" w:hAnsi="Sylfaen"/>
          <w:sz w:val="24"/>
          <w:szCs w:val="24"/>
        </w:rPr>
        <w:t xml:space="preserve"> 0,50 մ-ից ավելի լայնություն ունեցող գլխադիրով առ</w:t>
      </w:r>
      <w:r>
        <w:rPr>
          <w:rFonts w:ascii="Sylfaen" w:hAnsi="Sylfaen"/>
          <w:sz w:val="24"/>
          <w:szCs w:val="24"/>
        </w:rPr>
        <w:t>եւ</w:t>
      </w:r>
      <w:r w:rsidRPr="00CA27E3">
        <w:rPr>
          <w:rFonts w:ascii="Sylfaen" w:hAnsi="Sylfaen"/>
          <w:sz w:val="24"/>
          <w:szCs w:val="24"/>
        </w:rPr>
        <w:t xml:space="preserve">տրային փոշեկուլ, կամ որպես արտադրական գործընթացի, մեքենայի կամ գործիքի մաս մշակված փոշեկուլ, որը նախատեսված է ձուլման, հանքաարդյունահանող արդյունաբերության, սննդարդյունաբերության </w:t>
      </w:r>
      <w:r>
        <w:rPr>
          <w:rFonts w:ascii="Sylfaen" w:hAnsi="Sylfaen"/>
          <w:sz w:val="24"/>
          <w:szCs w:val="24"/>
        </w:rPr>
        <w:t>եւ</w:t>
      </w:r>
      <w:r w:rsidRPr="00CA27E3">
        <w:rPr>
          <w:rFonts w:ascii="Sylfaen" w:hAnsi="Sylfaen"/>
          <w:sz w:val="24"/>
          <w:szCs w:val="24"/>
        </w:rPr>
        <w:t xml:space="preserve"> այլ արդյունաբերության սարքավորումներից առաջացած վտանգավոր նյութերի, ծանր շինարարական փոշու, արդյունաբերական փոշու հեռացման համար.</w:t>
      </w:r>
    </w:p>
    <w:p w14:paraId="05C74EB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lastRenderedPageBreak/>
        <w:t>փոշեկուլ՝</w:t>
      </w:r>
      <w:r w:rsidRPr="00CA27E3">
        <w:rPr>
          <w:rFonts w:ascii="Sylfaen" w:hAnsi="Sylfaen"/>
          <w:sz w:val="24"/>
          <w:szCs w:val="24"/>
        </w:rPr>
        <w:t xml:space="preserve"> մաքրվող մակեր</w:t>
      </w:r>
      <w:r>
        <w:rPr>
          <w:rFonts w:ascii="Sylfaen" w:hAnsi="Sylfaen"/>
          <w:sz w:val="24"/>
          <w:szCs w:val="24"/>
        </w:rPr>
        <w:t>եւ</w:t>
      </w:r>
      <w:r w:rsidRPr="00CA27E3">
        <w:rPr>
          <w:rFonts w:ascii="Sylfaen" w:hAnsi="Sylfaen"/>
          <w:sz w:val="24"/>
          <w:szCs w:val="24"/>
        </w:rPr>
        <w:t xml:space="preserve">ույթից աղբ հեռացնելու համար նախատեսված սարք՝ այդ սարքում գոյացող ցածր ճնշման հաշվին առաջացող օդային հոսանքի օգնությամբ. </w:t>
      </w:r>
    </w:p>
    <w:p w14:paraId="4A240DD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խոնավ եւ չոր մաքրման փոշեկուլ՝</w:t>
      </w:r>
      <w:r w:rsidRPr="00CA27E3">
        <w:rPr>
          <w:rFonts w:ascii="Sylfaen" w:hAnsi="Sylfaen"/>
          <w:sz w:val="24"/>
          <w:szCs w:val="24"/>
        </w:rPr>
        <w:t xml:space="preserve"> 2,5 լիտրից ավելի ծավալով հեղուկ հեռացնելու համար նախատեսված փոշեկուլ, որն ունակ է նա</w:t>
      </w:r>
      <w:r>
        <w:rPr>
          <w:rFonts w:ascii="Sylfaen" w:hAnsi="Sylfaen"/>
          <w:sz w:val="24"/>
          <w:szCs w:val="24"/>
        </w:rPr>
        <w:t>եւ</w:t>
      </w:r>
      <w:r w:rsidRPr="00CA27E3">
        <w:rPr>
          <w:rFonts w:ascii="Sylfaen" w:hAnsi="Sylfaen"/>
          <w:sz w:val="24"/>
          <w:szCs w:val="24"/>
        </w:rPr>
        <w:t xml:space="preserve"> կատարելու չոր մաքրման փոշեկուլի ֆունկցիա.</w:t>
      </w:r>
    </w:p>
    <w:p w14:paraId="6433A38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խոնավ մաքրման փոշեկուլ՝</w:t>
      </w:r>
      <w:r w:rsidRPr="00CA27E3">
        <w:rPr>
          <w:rFonts w:ascii="Sylfaen" w:hAnsi="Sylfaen"/>
          <w:sz w:val="24"/>
          <w:szCs w:val="24"/>
        </w:rPr>
        <w:t xml:space="preserve"> սարք, որը հեռացնում է չոր </w:t>
      </w:r>
      <w:r>
        <w:rPr>
          <w:rFonts w:ascii="Sylfaen" w:hAnsi="Sylfaen"/>
          <w:sz w:val="24"/>
          <w:szCs w:val="24"/>
        </w:rPr>
        <w:t>եւ</w:t>
      </w:r>
      <w:r w:rsidRPr="00CA27E3">
        <w:rPr>
          <w:rFonts w:ascii="Sylfaen" w:hAnsi="Sylfaen"/>
          <w:sz w:val="24"/>
          <w:szCs w:val="24"/>
        </w:rPr>
        <w:t xml:space="preserve"> (կամ) խոնավ աղբն ու կեղտը՝ մաքրման ենթակա մակեր</w:t>
      </w:r>
      <w:r>
        <w:rPr>
          <w:rFonts w:ascii="Sylfaen" w:hAnsi="Sylfaen"/>
          <w:sz w:val="24"/>
          <w:szCs w:val="24"/>
        </w:rPr>
        <w:t>եւ</w:t>
      </w:r>
      <w:r w:rsidRPr="00CA27E3">
        <w:rPr>
          <w:rFonts w:ascii="Sylfaen" w:hAnsi="Sylfaen"/>
          <w:sz w:val="24"/>
          <w:szCs w:val="24"/>
        </w:rPr>
        <w:t>ույթին քսելով ջրային հիմքով լվացող միջոցը կամ ներգործելով գոլորշիով՝ սարքում գոյացող ցածր ճնշման հաշվին առաջացող օդային հոսանքով՝ առաջացած խոնավությունը աղբի հետ հեռացմամբ (ներառյալ որպես լվացող փոշեկուլներ հայտնի սարքերի տիպերը).</w:t>
      </w:r>
    </w:p>
    <w:p w14:paraId="2C157B9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գորգի մաքրման փոշեկուլ՝</w:t>
      </w:r>
      <w:r w:rsidRPr="00CA27E3">
        <w:rPr>
          <w:rFonts w:ascii="Sylfaen" w:hAnsi="Sylfaen"/>
          <w:sz w:val="24"/>
          <w:szCs w:val="24"/>
        </w:rPr>
        <w:t xml:space="preserve"> հատուկ գորգերի մաքրման համար մշակված ֆիքսված գլխադիր-խոզանակով հանդերձված կամ գորգերի մաքրման համար նախատեսված մեկ կամ մի քանի հանովի գլխադիրներով լրակազմվող փոշեկուլ.</w:t>
      </w:r>
    </w:p>
    <w:p w14:paraId="4F33FC64" w14:textId="77777777" w:rsidR="00CA27E3" w:rsidRPr="00923537" w:rsidRDefault="00CA27E3" w:rsidP="00CA27E3">
      <w:pPr>
        <w:pStyle w:val="Bodytext212"/>
        <w:shd w:val="clear" w:color="auto" w:fill="auto"/>
        <w:spacing w:after="160" w:line="360" w:lineRule="auto"/>
        <w:ind w:firstLine="567"/>
        <w:jc w:val="both"/>
        <w:rPr>
          <w:rFonts w:ascii="Sylfaen" w:hAnsi="Sylfaen"/>
          <w:spacing w:val="-6"/>
          <w:sz w:val="24"/>
          <w:szCs w:val="24"/>
        </w:rPr>
      </w:pPr>
      <w:r w:rsidRPr="00923537">
        <w:rPr>
          <w:rFonts w:ascii="Sylfaen" w:hAnsi="Sylfaen"/>
          <w:b/>
          <w:spacing w:val="-6"/>
          <w:sz w:val="24"/>
          <w:szCs w:val="24"/>
        </w:rPr>
        <w:t>առեւտրային օգտագործման փոշեկուլ՝</w:t>
      </w:r>
      <w:r w:rsidRPr="00923537">
        <w:rPr>
          <w:rFonts w:ascii="Sylfaen" w:hAnsi="Sylfaen"/>
          <w:spacing w:val="-6"/>
          <w:sz w:val="24"/>
          <w:szCs w:val="24"/>
        </w:rPr>
        <w:t xml:space="preserve"> գրասենյակի, խանութի, հիվանդանոցի եւ հյուրանոցի պայմաններում՝ արտադրողի կողմից որպես այդպիսին հայտարարված՝ ոչ մասնագետների (հավաքարարների կամ անձնակազմի մյուս անդամների) կողմից օգտագործման համար նախատեսված փոշեկուլ.</w:t>
      </w:r>
    </w:p>
    <w:p w14:paraId="186677A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տարածքներից դուրս կիրառման համար նախատեսված փոշեկուլ՝</w:t>
      </w:r>
      <w:r w:rsidRPr="00CA27E3">
        <w:rPr>
          <w:rFonts w:ascii="Sylfaen" w:hAnsi="Sylfaen"/>
          <w:sz w:val="24"/>
          <w:szCs w:val="24"/>
        </w:rPr>
        <w:t xml:space="preserve"> բացօթյա տարածքներում օգտագործման համար նախատեսված սարքվածք՝ այդ սարքվածքում առաջացող նոսրացման հաշվին ստեղծվող օդային հոսանքի միջոցով աղբը (օրինակ՝ հնձած խոտն ու տեր</w:t>
      </w:r>
      <w:r>
        <w:rPr>
          <w:rFonts w:ascii="Sylfaen" w:hAnsi="Sylfaen"/>
          <w:sz w:val="24"/>
          <w:szCs w:val="24"/>
        </w:rPr>
        <w:t>եւ</w:t>
      </w:r>
      <w:r w:rsidRPr="00CA27E3">
        <w:rPr>
          <w:rFonts w:ascii="Sylfaen" w:hAnsi="Sylfaen"/>
          <w:sz w:val="24"/>
          <w:szCs w:val="24"/>
        </w:rPr>
        <w:t xml:space="preserve">ները) կոլեկտորում հավաքելու համար, որը կարող է պարունակել մանրացման հարմարանքներ </w:t>
      </w:r>
      <w:r>
        <w:rPr>
          <w:rFonts w:ascii="Sylfaen" w:hAnsi="Sylfaen"/>
          <w:sz w:val="24"/>
          <w:szCs w:val="24"/>
        </w:rPr>
        <w:t>եւ</w:t>
      </w:r>
      <w:r w:rsidRPr="00CA27E3">
        <w:rPr>
          <w:rFonts w:ascii="Sylfaen" w:hAnsi="Sylfaen"/>
          <w:sz w:val="24"/>
          <w:szCs w:val="24"/>
        </w:rPr>
        <w:t xml:space="preserve"> կատարել օդափուքի ֆունկցիա.</w:t>
      </w:r>
    </w:p>
    <w:p w14:paraId="2E09D82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չոր մաքրման փոշեկուլ՝</w:t>
      </w:r>
      <w:r w:rsidRPr="00CA27E3">
        <w:rPr>
          <w:rFonts w:ascii="Sylfaen" w:hAnsi="Sylfaen"/>
          <w:sz w:val="24"/>
          <w:szCs w:val="24"/>
        </w:rPr>
        <w:t xml:space="preserve"> հիմնականում չոր աղբի (փոշու, մանրաթելերի, թելերի) հեռացման համար նախատեսված փոշեկուլ, այդ թվում՝ մարտկոցով աշխատող ակտիվ գլխադիր-խոզանակով հանդերձված փոշեկուլներ.</w:t>
      </w:r>
    </w:p>
    <w:p w14:paraId="4AB7164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lastRenderedPageBreak/>
        <w:t>կոշտ հատակի համար նախատեսված փոշեկուլ՝</w:t>
      </w:r>
      <w:r w:rsidRPr="00CA27E3">
        <w:rPr>
          <w:rFonts w:ascii="Sylfaen" w:hAnsi="Sylfaen"/>
          <w:sz w:val="24"/>
          <w:szCs w:val="24"/>
        </w:rPr>
        <w:t xml:space="preserve"> հատուկ կոշտ մակեր</w:t>
      </w:r>
      <w:r>
        <w:rPr>
          <w:rFonts w:ascii="Sylfaen" w:hAnsi="Sylfaen"/>
          <w:sz w:val="24"/>
          <w:szCs w:val="24"/>
        </w:rPr>
        <w:t>եւ</w:t>
      </w:r>
      <w:r w:rsidRPr="00CA27E3">
        <w:rPr>
          <w:rFonts w:ascii="Sylfaen" w:hAnsi="Sylfaen"/>
          <w:sz w:val="24"/>
          <w:szCs w:val="24"/>
        </w:rPr>
        <w:t>ույթների մաքրման համար նախագծված ֆիքսված գլխադիր-խոզանակով հանդերձված կամ կոշտ հատակների մաքրման համար նախատեսված մեկ կամ մի քանի հանովի գլխադիրներով լրակազմվող փոշեկուլ.</w:t>
      </w:r>
    </w:p>
    <w:p w14:paraId="6CDDA8A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ընդհանուր նշանակության փոշեկուլ՝</w:t>
      </w:r>
      <w:r w:rsidRPr="00CA27E3">
        <w:rPr>
          <w:rFonts w:ascii="Sylfaen" w:hAnsi="Sylfaen"/>
          <w:sz w:val="24"/>
          <w:szCs w:val="24"/>
        </w:rPr>
        <w:t xml:space="preserve"> գորգերի </w:t>
      </w:r>
      <w:r>
        <w:rPr>
          <w:rFonts w:ascii="Sylfaen" w:hAnsi="Sylfaen"/>
          <w:sz w:val="24"/>
          <w:szCs w:val="24"/>
        </w:rPr>
        <w:t>եւ</w:t>
      </w:r>
      <w:r w:rsidRPr="00CA27E3">
        <w:rPr>
          <w:rFonts w:ascii="Sylfaen" w:hAnsi="Sylfaen"/>
          <w:sz w:val="24"/>
          <w:szCs w:val="24"/>
        </w:rPr>
        <w:t xml:space="preserve"> կոշտ հատակների մաքրման համար՝ 1 կամ ավելի ֆիքսված հանովի գլխադիրով լրակազմվող կամ հանովի գլխադիրներով լրակազմվող փոշեկուլ, որոնցից առնվազն 1 գլխադիրը հատուկ նախատեսված է գորգերի </w:t>
      </w:r>
      <w:r>
        <w:rPr>
          <w:rFonts w:ascii="Sylfaen" w:hAnsi="Sylfaen"/>
          <w:sz w:val="24"/>
          <w:szCs w:val="24"/>
        </w:rPr>
        <w:t>եւ</w:t>
      </w:r>
      <w:r w:rsidRPr="00CA27E3">
        <w:rPr>
          <w:rFonts w:ascii="Sylfaen" w:hAnsi="Sylfaen"/>
          <w:sz w:val="24"/>
          <w:szCs w:val="24"/>
        </w:rPr>
        <w:t xml:space="preserve"> առնվազն մեկը՝ կոշտ հատակների մաքրման համար.</w:t>
      </w:r>
    </w:p>
    <w:p w14:paraId="0E9B33B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ռոբոտ-փոշեկուլ՝</w:t>
      </w:r>
      <w:r w:rsidRPr="00CA27E3">
        <w:rPr>
          <w:rFonts w:ascii="Sylfaen" w:hAnsi="Sylfaen"/>
          <w:sz w:val="24"/>
          <w:szCs w:val="24"/>
        </w:rPr>
        <w:t xml:space="preserve"> էլեկտրական մարտկոցներից </w:t>
      </w:r>
      <w:r>
        <w:rPr>
          <w:rFonts w:ascii="Sylfaen" w:hAnsi="Sylfaen"/>
          <w:sz w:val="24"/>
          <w:szCs w:val="24"/>
        </w:rPr>
        <w:t>եւ</w:t>
      </w:r>
      <w:r w:rsidRPr="00CA27E3">
        <w:rPr>
          <w:rFonts w:ascii="Sylfaen" w:hAnsi="Sylfaen"/>
          <w:sz w:val="24"/>
          <w:szCs w:val="24"/>
        </w:rPr>
        <w:t xml:space="preserve"> (կամ) կուտակիչներից սնուցմամբ փոշեկուլ, որը որոշակի տարածության սահմաններում կարող է աշխատել առանց մարդու միջամտության </w:t>
      </w:r>
      <w:r>
        <w:rPr>
          <w:rFonts w:ascii="Sylfaen" w:hAnsi="Sylfaen"/>
          <w:sz w:val="24"/>
          <w:szCs w:val="24"/>
        </w:rPr>
        <w:t>եւ</w:t>
      </w:r>
      <w:r w:rsidRPr="00CA27E3">
        <w:rPr>
          <w:rFonts w:ascii="Sylfaen" w:hAnsi="Sylfaen"/>
          <w:sz w:val="24"/>
          <w:szCs w:val="24"/>
        </w:rPr>
        <w:t xml:space="preserve"> որը բաղկացած է շարժուն մասից, դոկ-կայանից </w:t>
      </w:r>
      <w:r>
        <w:rPr>
          <w:rFonts w:ascii="Sylfaen" w:hAnsi="Sylfaen"/>
          <w:sz w:val="24"/>
          <w:szCs w:val="24"/>
        </w:rPr>
        <w:t>եւ</w:t>
      </w:r>
      <w:r w:rsidRPr="00CA27E3">
        <w:rPr>
          <w:rFonts w:ascii="Sylfaen" w:hAnsi="Sylfaen"/>
          <w:sz w:val="24"/>
          <w:szCs w:val="24"/>
        </w:rPr>
        <w:t xml:space="preserve"> (կամ) դրա աշխատանքն ապահովող այլ պարագաներից.</w:t>
      </w:r>
    </w:p>
    <w:p w14:paraId="731B6D1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ջրային զտիչով փոշեկուլ՝</w:t>
      </w:r>
      <w:r w:rsidRPr="00CA27E3">
        <w:rPr>
          <w:rFonts w:ascii="Sylfaen" w:hAnsi="Sylfaen"/>
          <w:sz w:val="24"/>
          <w:szCs w:val="24"/>
        </w:rPr>
        <w:t xml:space="preserve"> փոշեկուլ, որում՝ որպես հիմնական զտիչ նյութ օգտագործվում է 0,5 լիտրից ավելի ջուր, որի միջով</w:t>
      </w:r>
      <w:r>
        <w:rPr>
          <w:rFonts w:ascii="Sylfaen" w:hAnsi="Sylfaen"/>
          <w:sz w:val="24"/>
          <w:szCs w:val="24"/>
        </w:rPr>
        <w:t xml:space="preserve"> </w:t>
      </w:r>
      <w:r w:rsidRPr="00CA27E3">
        <w:rPr>
          <w:rFonts w:ascii="Sylfaen" w:hAnsi="Sylfaen"/>
          <w:sz w:val="24"/>
          <w:szCs w:val="24"/>
        </w:rPr>
        <w:t>բաց է թողնվում փոշու հավաքման նպատակով ներծծվող օդը.</w:t>
      </w:r>
    </w:p>
    <w:p w14:paraId="7E35BA8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էլեկտրական մարտկոցներով եւ (կամ) կուտակիչներով սնուցմամբ փոշեկուլ՝</w:t>
      </w:r>
      <w:r w:rsidRPr="00CA27E3">
        <w:rPr>
          <w:rFonts w:ascii="Sylfaen" w:hAnsi="Sylfaen"/>
          <w:sz w:val="24"/>
          <w:szCs w:val="24"/>
        </w:rPr>
        <w:t xml:space="preserve"> միայն էլեկտրական մարտկոցներով </w:t>
      </w:r>
      <w:r>
        <w:rPr>
          <w:rFonts w:ascii="Sylfaen" w:hAnsi="Sylfaen"/>
          <w:sz w:val="24"/>
          <w:szCs w:val="24"/>
        </w:rPr>
        <w:t>եւ</w:t>
      </w:r>
      <w:r w:rsidRPr="00CA27E3">
        <w:rPr>
          <w:rFonts w:ascii="Sylfaen" w:hAnsi="Sylfaen"/>
          <w:sz w:val="24"/>
          <w:szCs w:val="24"/>
        </w:rPr>
        <w:t xml:space="preserve"> (կամ) կուտակիչներով աշխատող փոշեկուլ.</w:t>
      </w:r>
    </w:p>
    <w:p w14:paraId="6E4130C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ձայնային հզորության մակարդակ՝</w:t>
      </w:r>
      <w:r w:rsidRPr="00CA27E3">
        <w:rPr>
          <w:rFonts w:ascii="Sylfaen" w:hAnsi="Sylfaen"/>
          <w:sz w:val="24"/>
          <w:szCs w:val="24"/>
        </w:rPr>
        <w:t xml:space="preserve"> 1 պՎտ-ի նկատմամբ դԲԱ-ով արտահայտված </w:t>
      </w:r>
      <w:r>
        <w:rPr>
          <w:rFonts w:ascii="Sylfaen" w:hAnsi="Sylfaen"/>
          <w:sz w:val="24"/>
          <w:szCs w:val="24"/>
        </w:rPr>
        <w:t>եւ</w:t>
      </w:r>
      <w:r w:rsidRPr="00CA27E3">
        <w:rPr>
          <w:rFonts w:ascii="Sylfaen" w:hAnsi="Sylfaen"/>
          <w:sz w:val="24"/>
          <w:szCs w:val="24"/>
        </w:rPr>
        <w:t xml:space="preserve"> մինչ</w:t>
      </w:r>
      <w:r>
        <w:rPr>
          <w:rFonts w:ascii="Sylfaen" w:hAnsi="Sylfaen"/>
          <w:sz w:val="24"/>
          <w:szCs w:val="24"/>
        </w:rPr>
        <w:t>եւ</w:t>
      </w:r>
      <w:r w:rsidRPr="00CA27E3">
        <w:rPr>
          <w:rFonts w:ascii="Sylfaen" w:hAnsi="Sylfaen"/>
          <w:sz w:val="24"/>
          <w:szCs w:val="24"/>
        </w:rPr>
        <w:t xml:space="preserve"> ամբողջ թիվ կլորացրած՝ արձակվող ակուստիկ աղմուկի մակարդակ.</w:t>
      </w:r>
    </w:p>
    <w:p w14:paraId="55F9C9A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կենտրոնական փոշեկուլ՝</w:t>
      </w:r>
      <w:r w:rsidRPr="00CA27E3">
        <w:rPr>
          <w:rFonts w:ascii="Sylfaen" w:hAnsi="Sylfaen"/>
          <w:sz w:val="24"/>
          <w:szCs w:val="24"/>
        </w:rPr>
        <w:t xml:space="preserve"> ցածր ճնշման աղբյուրի ստացիոնար (ոչ</w:t>
      </w:r>
      <w:r w:rsidR="00923537" w:rsidRPr="00923537">
        <w:rPr>
          <w:rFonts w:ascii="Sylfaen" w:hAnsi="Sylfaen"/>
          <w:sz w:val="24"/>
          <w:szCs w:val="24"/>
        </w:rPr>
        <w:t> </w:t>
      </w:r>
      <w:r w:rsidRPr="00CA27E3">
        <w:rPr>
          <w:rFonts w:ascii="Sylfaen" w:hAnsi="Sylfaen"/>
          <w:sz w:val="24"/>
          <w:szCs w:val="24"/>
        </w:rPr>
        <w:t xml:space="preserve">շարժական) տեղակայմամբ </w:t>
      </w:r>
      <w:r>
        <w:rPr>
          <w:rFonts w:ascii="Sylfaen" w:hAnsi="Sylfaen"/>
          <w:sz w:val="24"/>
          <w:szCs w:val="24"/>
        </w:rPr>
        <w:t>եւ</w:t>
      </w:r>
      <w:r w:rsidRPr="00CA27E3">
        <w:rPr>
          <w:rFonts w:ascii="Sylfaen" w:hAnsi="Sylfaen"/>
          <w:sz w:val="24"/>
          <w:szCs w:val="24"/>
        </w:rPr>
        <w:t xml:space="preserve"> տարածքի ֆիքսված վայրերում տեղակայված ճկափողային միացումներով փոշեկուլ.</w:t>
      </w:r>
    </w:p>
    <w:p w14:paraId="6ABA6A9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մաքրման ցիկլ՝</w:t>
      </w:r>
      <w:r w:rsidRPr="00CA27E3">
        <w:rPr>
          <w:rFonts w:ascii="Sylfaen" w:hAnsi="Sylfaen"/>
          <w:sz w:val="24"/>
          <w:szCs w:val="24"/>
        </w:rPr>
        <w:t xml:space="preserve"> կոնկրետ փորձարկման գոտիով (գորգ կամ կոշտ հատակ) փոշեկուլի 5 երկակի անցումներից բաղկացած հաջորդականություն.</w:t>
      </w:r>
    </w:p>
    <w:p w14:paraId="0C97983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lastRenderedPageBreak/>
        <w:t>մաքրող գլխադիրի լայնություն՝</w:t>
      </w:r>
      <w:r w:rsidRPr="00CA27E3">
        <w:rPr>
          <w:rFonts w:ascii="Sylfaen" w:hAnsi="Sylfaen"/>
          <w:sz w:val="24"/>
          <w:szCs w:val="24"/>
        </w:rPr>
        <w:t xml:space="preserve"> մաքրող գլխադիրի մետրերով արտահայտված արտաքին առավելագույն լայնություն՝ մինչ</w:t>
      </w:r>
      <w:r>
        <w:rPr>
          <w:rFonts w:ascii="Sylfaen" w:hAnsi="Sylfaen"/>
          <w:sz w:val="24"/>
          <w:szCs w:val="24"/>
        </w:rPr>
        <w:t>եւ</w:t>
      </w:r>
      <w:r w:rsidRPr="00CA27E3">
        <w:rPr>
          <w:rFonts w:ascii="Sylfaen" w:hAnsi="Sylfaen"/>
          <w:sz w:val="24"/>
          <w:szCs w:val="24"/>
        </w:rPr>
        <w:t xml:space="preserve"> 3 տասնորդական նիշ ճշգրտությամբ.</w:t>
      </w:r>
    </w:p>
    <w:p w14:paraId="2EB757C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փոշեկուլի էտալոնային համակարգ՝</w:t>
      </w:r>
      <w:r w:rsidRPr="00CA27E3">
        <w:rPr>
          <w:rFonts w:ascii="Sylfaen" w:hAnsi="Sylfaen"/>
          <w:sz w:val="24"/>
          <w:szCs w:val="24"/>
        </w:rPr>
        <w:t xml:space="preserve"> օդի որոշակի պարամետրերով գորգային ծածկերի վրա փոշու ստուգաճշտված </w:t>
      </w:r>
      <w:r>
        <w:rPr>
          <w:rFonts w:ascii="Sylfaen" w:hAnsi="Sylfaen"/>
          <w:sz w:val="24"/>
          <w:szCs w:val="24"/>
        </w:rPr>
        <w:t>եւ</w:t>
      </w:r>
      <w:r w:rsidRPr="00CA27E3">
        <w:rPr>
          <w:rFonts w:ascii="Sylfaen" w:hAnsi="Sylfaen"/>
          <w:sz w:val="24"/>
          <w:szCs w:val="24"/>
        </w:rPr>
        <w:t xml:space="preserve"> էտալոնային կլանումը չափելու համար օգտագործվող էլեկտրասարքավորում՝ փորձարկումների արդյունքների վերարտադրումը բարելավելու համար.</w:t>
      </w:r>
    </w:p>
    <w:p w14:paraId="4AAEAF4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23537">
        <w:rPr>
          <w:rFonts w:ascii="Sylfaen" w:hAnsi="Sylfaen"/>
          <w:b/>
          <w:sz w:val="24"/>
          <w:szCs w:val="24"/>
        </w:rPr>
        <w:t>փոշու հավաքման արդյունավետություն (</w:t>
      </w:r>
      <m:oMath>
        <m:r>
          <m:rPr>
            <m:sty m:val="bi"/>
          </m:rPr>
          <w:rPr>
            <w:rStyle w:val="Heading30"/>
            <w:rFonts w:ascii="Cambria Math" w:hAnsi="Cambria Math"/>
            <w:spacing w:val="0"/>
            <w:sz w:val="24"/>
            <w:szCs w:val="24"/>
          </w:rPr>
          <m:t>dpu</m:t>
        </m:r>
      </m:oMath>
      <w:r w:rsidRPr="00923537">
        <w:rPr>
          <w:rFonts w:ascii="Sylfaen" w:hAnsi="Sylfaen"/>
          <w:b/>
          <w:sz w:val="24"/>
          <w:szCs w:val="24"/>
        </w:rPr>
        <w:t>)՝</w:t>
      </w:r>
      <w:r w:rsidRPr="00CA27E3">
        <w:rPr>
          <w:rFonts w:ascii="Sylfaen" w:hAnsi="Sylfaen"/>
          <w:sz w:val="24"/>
          <w:szCs w:val="24"/>
        </w:rPr>
        <w:t xml:space="preserve"> մաքրողհավաքման արդյունավետությունրտադրյունքների վերարտադրյունքների վերարտադրրիմներիցումներիրման համար.որրման փոշեկուլի ֆունկցիա.ֆունկցիա.ն, նը գտնվում է</w:t>
      </w:r>
      <w:r>
        <w:rPr>
          <w:rFonts w:ascii="Sylfaen" w:hAnsi="Sylfaen"/>
          <w:sz w:val="24"/>
          <w:szCs w:val="24"/>
        </w:rPr>
        <w:t xml:space="preserve"> </w:t>
      </w:r>
      <w:r w:rsidRPr="00CA27E3">
        <w:rPr>
          <w:rFonts w:ascii="Sylfaen" w:hAnsi="Sylfaen"/>
          <w:sz w:val="24"/>
          <w:szCs w:val="24"/>
        </w:rPr>
        <w:t xml:space="preserve">գտնվում է ի մասով անհրաժեշտ է համոզու զանգվածի նկատմամբ փորձարկման փորակի զանգվածի նվազեցումից վազեցու որոշվող հանված արհեստական փոշու զանգվածի հարաբերությունը փորձարկման գոտում սկզբնապես տեղադրված արհեստական փոշու զանգվածի նկատմամբ՝ գորգի համար փորձարկումների կոնկրետ պայմանների </w:t>
      </w:r>
      <w:r>
        <w:rPr>
          <w:rFonts w:ascii="Sylfaen" w:hAnsi="Sylfaen"/>
          <w:sz w:val="24"/>
          <w:szCs w:val="24"/>
        </w:rPr>
        <w:t>եւ</w:t>
      </w:r>
      <w:r w:rsidRPr="00CA27E3">
        <w:rPr>
          <w:rFonts w:ascii="Sylfaen" w:hAnsi="Sylfaen"/>
          <w:sz w:val="24"/>
          <w:szCs w:val="24"/>
        </w:rPr>
        <w:t xml:space="preserve"> կոշտ հատակի համար փորձարկման փորակի երկարության </w:t>
      </w:r>
      <w:r>
        <w:rPr>
          <w:rFonts w:ascii="Sylfaen" w:hAnsi="Sylfaen"/>
          <w:sz w:val="24"/>
          <w:szCs w:val="24"/>
        </w:rPr>
        <w:t>եւ</w:t>
      </w:r>
      <w:r w:rsidRPr="00CA27E3">
        <w:rPr>
          <w:rFonts w:ascii="Sylfaen" w:hAnsi="Sylfaen"/>
          <w:sz w:val="24"/>
          <w:szCs w:val="24"/>
        </w:rPr>
        <w:t xml:space="preserve"> տեղակայման շտկմամբ:</w:t>
      </w:r>
    </w:p>
    <w:p w14:paraId="2A861B2B" w14:textId="77777777" w:rsidR="00CA27E3" w:rsidRPr="00CA27E3" w:rsidRDefault="00CA27E3" w:rsidP="00CA27E3">
      <w:pPr>
        <w:spacing w:after="160" w:line="360" w:lineRule="auto"/>
        <w:ind w:firstLine="567"/>
        <w:jc w:val="both"/>
        <w:rPr>
          <w:rFonts w:ascii="Sylfaen" w:hAnsi="Sylfaen"/>
        </w:rPr>
      </w:pPr>
    </w:p>
    <w:p w14:paraId="75CD1031" w14:textId="77777777" w:rsidR="00CA27E3" w:rsidRPr="00CA27E3" w:rsidRDefault="00CA27E3" w:rsidP="00923537">
      <w:pPr>
        <w:pStyle w:val="Bodytext212"/>
        <w:shd w:val="clear" w:color="auto" w:fill="auto"/>
        <w:spacing w:after="160" w:line="360" w:lineRule="auto"/>
        <w:ind w:right="-1" w:firstLine="0"/>
        <w:jc w:val="center"/>
        <w:rPr>
          <w:rFonts w:ascii="Sylfaen" w:hAnsi="Sylfaen"/>
          <w:sz w:val="24"/>
          <w:szCs w:val="24"/>
        </w:rPr>
      </w:pPr>
      <w:r w:rsidRPr="00CA27E3">
        <w:rPr>
          <w:rFonts w:ascii="Sylfaen" w:hAnsi="Sylfaen"/>
          <w:sz w:val="24"/>
          <w:szCs w:val="24"/>
        </w:rPr>
        <w:t xml:space="preserve">III. Փոշեկուլների էներգետիկ արդյունավետությանը ներկայացվող </w:t>
      </w:r>
      <w:r w:rsidR="00923537" w:rsidRPr="00923537">
        <w:rPr>
          <w:rFonts w:ascii="Sylfaen" w:hAnsi="Sylfaen"/>
          <w:sz w:val="24"/>
          <w:szCs w:val="24"/>
        </w:rPr>
        <w:br/>
      </w:r>
      <w:r w:rsidRPr="00CA27E3">
        <w:rPr>
          <w:rFonts w:ascii="Sylfaen" w:hAnsi="Sylfaen"/>
          <w:sz w:val="24"/>
          <w:szCs w:val="24"/>
        </w:rPr>
        <w:t xml:space="preserve">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w:t>
      </w:r>
      <w:r w:rsidR="00923537" w:rsidRPr="00923537">
        <w:rPr>
          <w:rFonts w:ascii="Sylfaen" w:hAnsi="Sylfaen"/>
          <w:sz w:val="24"/>
          <w:szCs w:val="24"/>
        </w:rPr>
        <w:br/>
      </w:r>
      <w:r w:rsidRPr="00CA27E3">
        <w:rPr>
          <w:rFonts w:ascii="Sylfaen" w:hAnsi="Sylfaen"/>
          <w:sz w:val="24"/>
          <w:szCs w:val="24"/>
        </w:rPr>
        <w:t>որոշման առանձնահատկությունները</w:t>
      </w:r>
    </w:p>
    <w:p w14:paraId="56F32441" w14:textId="77777777" w:rsidR="00CA27E3" w:rsidRPr="00E5115A" w:rsidRDefault="00CA27E3" w:rsidP="00647F3B">
      <w:pPr>
        <w:pStyle w:val="Bodytext212"/>
        <w:shd w:val="clear" w:color="auto" w:fill="auto"/>
        <w:tabs>
          <w:tab w:val="left" w:pos="1134"/>
        </w:tabs>
        <w:spacing w:after="160" w:line="360" w:lineRule="auto"/>
        <w:ind w:firstLine="567"/>
        <w:jc w:val="both"/>
        <w:rPr>
          <w:rFonts w:ascii="Sylfaen" w:hAnsi="Sylfaen"/>
          <w:sz w:val="24"/>
          <w:szCs w:val="24"/>
          <w:highlight w:val="green"/>
        </w:rPr>
      </w:pPr>
      <w:r w:rsidRPr="003D2C38">
        <w:rPr>
          <w:rFonts w:ascii="Sylfaen" w:hAnsi="Sylfaen"/>
          <w:sz w:val="24"/>
          <w:szCs w:val="24"/>
        </w:rPr>
        <w:t>3.</w:t>
      </w:r>
      <w:r w:rsidR="00647F3B" w:rsidRPr="003D2C38">
        <w:rPr>
          <w:rFonts w:ascii="Sylfaen" w:hAnsi="Sylfaen"/>
          <w:sz w:val="24"/>
          <w:szCs w:val="24"/>
        </w:rPr>
        <w:tab/>
      </w:r>
      <w:r w:rsidR="003D2C38" w:rsidRPr="003D2C38">
        <w:rPr>
          <w:rFonts w:ascii="Sylfaen" w:hAnsi="Sylfaen"/>
          <w:sz w:val="24"/>
          <w:szCs w:val="24"/>
        </w:rPr>
        <w:t>Փոշ</w:t>
      </w:r>
      <w:r w:rsidR="003D2C38" w:rsidRPr="00323F60">
        <w:rPr>
          <w:rFonts w:ascii="Sylfaen" w:hAnsi="Sylfaen"/>
          <w:sz w:val="24"/>
          <w:szCs w:val="24"/>
        </w:rPr>
        <w:t>եկուլի համար պետք է կատարվեն համապատասխան փորձարկումներ (չափումներ) և որոշվեն հետևյալ ցուցանիշների արժեքները՝</w:t>
      </w:r>
    </w:p>
    <w:p w14:paraId="48C2C693" w14:textId="77777777" w:rsidR="003D2C38" w:rsidRPr="008154F3" w:rsidRDefault="003D2C38" w:rsidP="00647F3B">
      <w:pPr>
        <w:pStyle w:val="Bodytext212"/>
        <w:shd w:val="clear" w:color="auto" w:fill="auto"/>
        <w:tabs>
          <w:tab w:val="left" w:pos="1134"/>
        </w:tabs>
        <w:spacing w:after="160" w:line="360" w:lineRule="auto"/>
        <w:ind w:firstLine="567"/>
        <w:jc w:val="both"/>
        <w:rPr>
          <w:rFonts w:ascii="Sylfaen" w:hAnsi="Sylfaen"/>
          <w:sz w:val="24"/>
          <w:szCs w:val="24"/>
        </w:rPr>
      </w:pPr>
      <w:r w:rsidRPr="00323F60">
        <w:rPr>
          <w:rFonts w:ascii="Sylfaen" w:hAnsi="Sylfaen"/>
          <w:sz w:val="24"/>
          <w:szCs w:val="24"/>
        </w:rPr>
        <w:t>ա)</w:t>
      </w:r>
      <w:r w:rsidRPr="003D2C38">
        <w:rPr>
          <w:rFonts w:ascii="Sylfaen" w:hAnsi="Sylfaen"/>
          <w:sz w:val="24"/>
          <w:szCs w:val="24"/>
        </w:rPr>
        <w:t xml:space="preserve"> </w:t>
      </w:r>
      <w:r w:rsidRPr="00BF7FB9">
        <w:rPr>
          <w:rFonts w:ascii="Sylfaen" w:hAnsi="Sylfaen"/>
          <w:sz w:val="24"/>
          <w:szCs w:val="24"/>
        </w:rPr>
        <w:tab/>
      </w:r>
      <w:r w:rsidRPr="00323F60">
        <w:rPr>
          <w:rFonts w:ascii="Sylfaen" w:hAnsi="Sylfaen"/>
          <w:sz w:val="24"/>
          <w:szCs w:val="24"/>
        </w:rPr>
        <w:t>էներգիայի տարեկան սպառում (AE)</w:t>
      </w:r>
      <w:r>
        <w:rPr>
          <w:rFonts w:ascii="Sylfaen" w:hAnsi="Sylfaen"/>
          <w:sz w:val="24"/>
          <w:szCs w:val="24"/>
        </w:rPr>
        <w:t>.</w:t>
      </w:r>
    </w:p>
    <w:p w14:paraId="7348E3FE"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647F3B" w:rsidRPr="00BF7FB9">
        <w:rPr>
          <w:rFonts w:ascii="Sylfaen" w:hAnsi="Sylfaen"/>
          <w:sz w:val="24"/>
          <w:szCs w:val="24"/>
        </w:rPr>
        <w:tab/>
      </w:r>
      <w:r w:rsidRPr="00CA27E3">
        <w:rPr>
          <w:rFonts w:ascii="Sylfaen" w:hAnsi="Sylfaen"/>
          <w:sz w:val="24"/>
          <w:szCs w:val="24"/>
        </w:rPr>
        <w:t>անվանական սպառվող հզորություն.</w:t>
      </w:r>
    </w:p>
    <w:p w14:paraId="4E5F8B5F"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647F3B" w:rsidRPr="00647F3B">
        <w:rPr>
          <w:rFonts w:ascii="Sylfaen" w:hAnsi="Sylfaen"/>
          <w:sz w:val="24"/>
          <w:szCs w:val="24"/>
        </w:rPr>
        <w:tab/>
      </w:r>
      <w:r w:rsidRPr="00CA27E3">
        <w:rPr>
          <w:rFonts w:ascii="Sylfaen" w:hAnsi="Sylfaen"/>
          <w:sz w:val="24"/>
          <w:szCs w:val="24"/>
        </w:rPr>
        <w:t>գորգի վրա փոշու հավաքման արդյունավետություն.</w:t>
      </w:r>
    </w:p>
    <w:p w14:paraId="42729E58"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647F3B" w:rsidRPr="00647F3B">
        <w:rPr>
          <w:rFonts w:ascii="Sylfaen" w:hAnsi="Sylfaen"/>
          <w:sz w:val="24"/>
          <w:szCs w:val="24"/>
        </w:rPr>
        <w:tab/>
      </w:r>
      <w:r w:rsidRPr="00CA27E3">
        <w:rPr>
          <w:rFonts w:ascii="Sylfaen" w:hAnsi="Sylfaen"/>
          <w:sz w:val="24"/>
          <w:szCs w:val="24"/>
        </w:rPr>
        <w:t>կոշտ հատակի վրա փոշու հավաքման արդյունավետություն.</w:t>
      </w:r>
    </w:p>
    <w:p w14:paraId="42315FD9"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lastRenderedPageBreak/>
        <w:t>ե)</w:t>
      </w:r>
      <w:r w:rsidR="00647F3B" w:rsidRPr="00647F3B">
        <w:rPr>
          <w:rFonts w:ascii="Sylfaen" w:hAnsi="Sylfaen"/>
          <w:sz w:val="24"/>
          <w:szCs w:val="24"/>
        </w:rPr>
        <w:tab/>
      </w:r>
      <w:r w:rsidRPr="00CA27E3">
        <w:rPr>
          <w:rFonts w:ascii="Sylfaen" w:hAnsi="Sylfaen"/>
          <w:sz w:val="24"/>
          <w:szCs w:val="24"/>
        </w:rPr>
        <w:t>փոշու երկրորդական արտանետում.</w:t>
      </w:r>
    </w:p>
    <w:p w14:paraId="7B36E56A"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զ)</w:t>
      </w:r>
      <w:r w:rsidR="00647F3B" w:rsidRPr="00647F3B">
        <w:rPr>
          <w:rFonts w:ascii="Sylfaen" w:hAnsi="Sylfaen"/>
          <w:sz w:val="24"/>
          <w:szCs w:val="24"/>
        </w:rPr>
        <w:tab/>
      </w:r>
      <w:r w:rsidRPr="00CA27E3">
        <w:rPr>
          <w:rFonts w:ascii="Sylfaen" w:hAnsi="Sylfaen"/>
          <w:sz w:val="24"/>
          <w:szCs w:val="24"/>
        </w:rPr>
        <w:t>ճկափողի երկարակեցություն (առկայության դեպքում).</w:t>
      </w:r>
    </w:p>
    <w:p w14:paraId="040C0EB2"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է)</w:t>
      </w:r>
      <w:r w:rsidR="00647F3B" w:rsidRPr="00647F3B">
        <w:rPr>
          <w:rFonts w:ascii="Sylfaen" w:hAnsi="Sylfaen"/>
          <w:sz w:val="24"/>
          <w:szCs w:val="24"/>
        </w:rPr>
        <w:tab/>
      </w:r>
      <w:r w:rsidRPr="00CA27E3">
        <w:rPr>
          <w:rFonts w:ascii="Sylfaen" w:hAnsi="Sylfaen"/>
          <w:sz w:val="24"/>
          <w:szCs w:val="24"/>
        </w:rPr>
        <w:t>ձայնային հզորության մակարդակ.</w:t>
      </w:r>
    </w:p>
    <w:p w14:paraId="5D9C6774"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ը)</w:t>
      </w:r>
      <w:r w:rsidR="00647F3B" w:rsidRPr="00647F3B">
        <w:rPr>
          <w:rFonts w:ascii="Sylfaen" w:hAnsi="Sylfaen"/>
          <w:sz w:val="24"/>
          <w:szCs w:val="24"/>
        </w:rPr>
        <w:tab/>
      </w:r>
      <w:r w:rsidRPr="00CA27E3">
        <w:rPr>
          <w:rFonts w:ascii="Sylfaen" w:hAnsi="Sylfaen"/>
          <w:sz w:val="24"/>
          <w:szCs w:val="24"/>
        </w:rPr>
        <w:t>էլեկտրաշարժիչի ռեսուրս:</w:t>
      </w:r>
    </w:p>
    <w:p w14:paraId="5439AE19"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4.</w:t>
      </w:r>
      <w:r w:rsidR="00647F3B" w:rsidRPr="00647F3B">
        <w:rPr>
          <w:rFonts w:ascii="Sylfaen" w:hAnsi="Sylfaen"/>
          <w:sz w:val="24"/>
          <w:szCs w:val="24"/>
        </w:rPr>
        <w:tab/>
      </w:r>
      <w:r w:rsidRPr="00CA27E3">
        <w:rPr>
          <w:rFonts w:ascii="Sylfaen" w:hAnsi="Sylfaen"/>
          <w:sz w:val="24"/>
          <w:szCs w:val="24"/>
        </w:rPr>
        <w:t>Էլեկտրաէներգիայի տարեկան սպառման (AE) հաշվարկը (կՎտ·ժ/տարով) (մինչ</w:t>
      </w:r>
      <w:r>
        <w:rPr>
          <w:rFonts w:ascii="Sylfaen" w:hAnsi="Sylfaen"/>
          <w:sz w:val="24"/>
          <w:szCs w:val="24"/>
        </w:rPr>
        <w:t>եւ</w:t>
      </w:r>
      <w:r w:rsidRPr="00CA27E3">
        <w:rPr>
          <w:rFonts w:ascii="Sylfaen" w:hAnsi="Sylfaen"/>
          <w:sz w:val="24"/>
          <w:szCs w:val="24"/>
        </w:rPr>
        <w:t xml:space="preserve"> 1 նիշ կլորացմամբ) փոշեկուլների համար կատարվում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երով՝</w:t>
      </w:r>
    </w:p>
    <w:p w14:paraId="43D8D09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գորգերի համար՝</w:t>
      </w:r>
    </w:p>
    <w:p w14:paraId="6FC6428F" w14:textId="77777777" w:rsidR="00CA27E3" w:rsidRPr="00CA27E3" w:rsidRDefault="00000000" w:rsidP="00CA27E3">
      <w:pPr>
        <w:pStyle w:val="Heading31"/>
        <w:shd w:val="clear" w:color="auto" w:fill="auto"/>
        <w:spacing w:before="0" w:after="160" w:line="360" w:lineRule="auto"/>
        <w:outlineLvl w:val="9"/>
        <w:rPr>
          <w:rStyle w:val="Heading30"/>
          <w:rFonts w:ascii="Sylfaen" w:hAnsi="Sylfaen"/>
          <w:spacing w:val="0"/>
          <w:sz w:val="24"/>
          <w:szCs w:val="24"/>
        </w:rPr>
      </w:pPr>
      <m:oMathPara>
        <m:oMath>
          <m:sSub>
            <m:sSubPr>
              <m:ctrlPr>
                <w:rPr>
                  <w:rStyle w:val="Heading30"/>
                  <w:rFonts w:ascii="Cambria Math" w:hAnsi="Cambria Math"/>
                  <w:i/>
                  <w:spacing w:val="0"/>
                  <w:sz w:val="24"/>
                  <w:szCs w:val="24"/>
                </w:rPr>
              </m:ctrlPr>
            </m:sSubPr>
            <m:e>
              <m:r>
                <w:rPr>
                  <w:rStyle w:val="Heading30"/>
                  <w:rFonts w:ascii="Cambria Math" w:hAnsi="Cambria Math"/>
                  <w:spacing w:val="0"/>
                  <w:sz w:val="24"/>
                  <w:szCs w:val="24"/>
                </w:rPr>
                <m:t>AE</m:t>
              </m:r>
            </m:e>
            <m:sub>
              <m:r>
                <w:rPr>
                  <w:rStyle w:val="Heading30"/>
                  <w:rFonts w:ascii="Cambria Math" w:hAnsi="Cambria Math"/>
                  <w:spacing w:val="0"/>
                  <w:sz w:val="24"/>
                  <w:szCs w:val="24"/>
                </w:rPr>
                <m:t>c</m:t>
              </m:r>
            </m:sub>
          </m:sSub>
          <m:r>
            <w:rPr>
              <w:rStyle w:val="Heading30"/>
              <w:rFonts w:ascii="Cambria Math" w:hAnsi="Cambria Math"/>
              <w:spacing w:val="0"/>
              <w:sz w:val="24"/>
              <w:szCs w:val="24"/>
            </w:rPr>
            <m:t>=4×87×50×0,001×</m:t>
          </m:r>
          <m:sSub>
            <m:sSubPr>
              <m:ctrlPr>
                <w:rPr>
                  <w:rStyle w:val="Heading30"/>
                  <w:rFonts w:ascii="Cambria Math" w:hAnsi="Cambria Math"/>
                  <w:i/>
                  <w:spacing w:val="0"/>
                  <w:sz w:val="24"/>
                  <w:szCs w:val="24"/>
                </w:rPr>
              </m:ctrlPr>
            </m:sSubPr>
            <m:e>
              <m:r>
                <w:rPr>
                  <w:rStyle w:val="Heading30"/>
                  <w:rFonts w:ascii="Cambria Math" w:hAnsi="Cambria Math"/>
                  <w:spacing w:val="0"/>
                  <w:sz w:val="24"/>
                  <w:szCs w:val="24"/>
                </w:rPr>
                <m:t>ASE</m:t>
              </m:r>
            </m:e>
            <m:sub>
              <m:r>
                <w:rPr>
                  <w:rStyle w:val="Heading30"/>
                  <w:rFonts w:ascii="Cambria Math" w:hAnsi="Cambria Math"/>
                  <w:spacing w:val="0"/>
                  <w:sz w:val="24"/>
                  <w:szCs w:val="24"/>
                </w:rPr>
                <m:t>C</m:t>
              </m:r>
            </m:sub>
          </m:sSub>
          <m:r>
            <w:rPr>
              <w:rStyle w:val="Heading30"/>
              <w:rFonts w:ascii="Cambria Math" w:hAnsi="Cambria Math"/>
              <w:spacing w:val="0"/>
              <w:sz w:val="24"/>
              <w:szCs w:val="24"/>
            </w:rPr>
            <m:t>×(</m:t>
          </m:r>
          <m:f>
            <m:fPr>
              <m:ctrlPr>
                <w:rPr>
                  <w:rStyle w:val="Heading30"/>
                  <w:rFonts w:ascii="Cambria Math" w:hAnsi="Cambria Math"/>
                  <w:i/>
                  <w:spacing w:val="0"/>
                  <w:sz w:val="24"/>
                  <w:szCs w:val="24"/>
                </w:rPr>
              </m:ctrlPr>
            </m:fPr>
            <m:num>
              <m:r>
                <w:rPr>
                  <w:rStyle w:val="Heading30"/>
                  <w:rFonts w:ascii="Cambria Math" w:hAnsi="Cambria Math"/>
                  <w:spacing w:val="0"/>
                  <w:sz w:val="24"/>
                  <w:szCs w:val="24"/>
                </w:rPr>
                <m:t>1-0,20</m:t>
              </m:r>
            </m:num>
            <m:den>
              <m:sSub>
                <m:sSubPr>
                  <m:ctrlPr>
                    <w:rPr>
                      <w:rStyle w:val="Heading30"/>
                      <w:rFonts w:ascii="Cambria Math" w:hAnsi="Cambria Math"/>
                      <w:i/>
                      <w:spacing w:val="0"/>
                      <w:sz w:val="24"/>
                      <w:szCs w:val="24"/>
                    </w:rPr>
                  </m:ctrlPr>
                </m:sSubPr>
                <m:e>
                  <m:r>
                    <w:rPr>
                      <w:rStyle w:val="Heading30"/>
                      <w:rFonts w:ascii="Cambria Math" w:hAnsi="Cambria Math"/>
                      <w:spacing w:val="0"/>
                      <w:sz w:val="24"/>
                      <w:szCs w:val="24"/>
                    </w:rPr>
                    <m:t>dpu</m:t>
                  </m:r>
                </m:e>
                <m:sub>
                  <m:r>
                    <w:rPr>
                      <w:rStyle w:val="Heading30"/>
                      <w:rFonts w:ascii="Cambria Math" w:hAnsi="Cambria Math"/>
                      <w:spacing w:val="0"/>
                      <w:sz w:val="24"/>
                      <w:szCs w:val="24"/>
                    </w:rPr>
                    <m:t>c</m:t>
                  </m:r>
                </m:sub>
              </m:sSub>
              <m:r>
                <w:rPr>
                  <w:rStyle w:val="Heading30"/>
                  <w:rFonts w:ascii="Cambria Math" w:hAnsi="Cambria Math"/>
                  <w:spacing w:val="0"/>
                  <w:sz w:val="24"/>
                  <w:szCs w:val="24"/>
                </w:rPr>
                <m:t>-0,20</m:t>
              </m:r>
            </m:den>
          </m:f>
          <m:r>
            <w:rPr>
              <w:rStyle w:val="Heading30"/>
              <w:rFonts w:ascii="Cambria Math" w:hAnsi="Cambria Math"/>
              <w:spacing w:val="0"/>
              <w:sz w:val="24"/>
              <w:szCs w:val="24"/>
            </w:rPr>
            <m:t>)</m:t>
          </m:r>
        </m:oMath>
      </m:oMathPara>
    </w:p>
    <w:p w14:paraId="23F459C4" w14:textId="77777777" w:rsidR="00CA27E3" w:rsidRPr="00CA27E3" w:rsidRDefault="00CA27E3" w:rsidP="00CA27E3">
      <w:pPr>
        <w:pStyle w:val="Bodytext212"/>
        <w:shd w:val="clear" w:color="auto" w:fill="auto"/>
        <w:spacing w:after="160" w:line="360" w:lineRule="auto"/>
        <w:ind w:firstLine="0"/>
        <w:jc w:val="both"/>
        <w:rPr>
          <w:rFonts w:ascii="Sylfaen" w:hAnsi="Sylfaen"/>
          <w:sz w:val="24"/>
          <w:szCs w:val="24"/>
        </w:rPr>
      </w:pPr>
    </w:p>
    <w:p w14:paraId="70248ABE" w14:textId="77777777" w:rsidR="00CA27E3" w:rsidRPr="00CA27E3" w:rsidRDefault="00CA27E3" w:rsidP="00E5115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կոշտ հատակի համար՝</w:t>
      </w:r>
    </w:p>
    <w:p w14:paraId="44EB935C" w14:textId="77777777" w:rsidR="00CA27E3" w:rsidRPr="00CA27E3" w:rsidRDefault="00000000" w:rsidP="00CA27E3">
      <w:pPr>
        <w:pStyle w:val="Heading31"/>
        <w:shd w:val="clear" w:color="auto" w:fill="auto"/>
        <w:spacing w:before="0" w:after="160" w:line="360" w:lineRule="auto"/>
        <w:outlineLvl w:val="9"/>
        <w:rPr>
          <w:rStyle w:val="Heading30"/>
          <w:rFonts w:ascii="Sylfaen" w:hAnsi="Sylfaen"/>
          <w:spacing w:val="0"/>
          <w:sz w:val="24"/>
          <w:szCs w:val="24"/>
        </w:rPr>
      </w:pPr>
      <m:oMathPara>
        <m:oMath>
          <m:sSub>
            <m:sSubPr>
              <m:ctrlPr>
                <w:rPr>
                  <w:rStyle w:val="Heading30"/>
                  <w:rFonts w:ascii="Cambria Math" w:hAnsi="Cambria Math"/>
                  <w:i/>
                  <w:spacing w:val="0"/>
                  <w:sz w:val="24"/>
                  <w:szCs w:val="24"/>
                </w:rPr>
              </m:ctrlPr>
            </m:sSubPr>
            <m:e>
              <m:r>
                <w:rPr>
                  <w:rStyle w:val="Heading30"/>
                  <w:rFonts w:ascii="Cambria Math" w:hAnsi="Cambria Math"/>
                  <w:spacing w:val="0"/>
                  <w:sz w:val="24"/>
                  <w:szCs w:val="24"/>
                </w:rPr>
                <m:t>AE</m:t>
              </m:r>
            </m:e>
            <m:sub>
              <m:r>
                <w:rPr>
                  <w:rStyle w:val="Heading30"/>
                  <w:rFonts w:ascii="Cambria Math" w:hAnsi="Cambria Math"/>
                  <w:spacing w:val="0"/>
                  <w:sz w:val="24"/>
                  <w:szCs w:val="24"/>
                </w:rPr>
                <m:t>hf</m:t>
              </m:r>
            </m:sub>
          </m:sSub>
          <m:r>
            <w:rPr>
              <w:rStyle w:val="Heading30"/>
              <w:rFonts w:ascii="Cambria Math" w:hAnsi="Cambria Math"/>
              <w:spacing w:val="0"/>
              <w:sz w:val="24"/>
              <w:szCs w:val="24"/>
            </w:rPr>
            <m:t>=4×87×50×0,001×</m:t>
          </m:r>
          <m:sSub>
            <m:sSubPr>
              <m:ctrlPr>
                <w:rPr>
                  <w:rStyle w:val="Heading30"/>
                  <w:rFonts w:ascii="Cambria Math" w:hAnsi="Cambria Math"/>
                  <w:i/>
                  <w:spacing w:val="0"/>
                  <w:sz w:val="24"/>
                  <w:szCs w:val="24"/>
                </w:rPr>
              </m:ctrlPr>
            </m:sSubPr>
            <m:e>
              <m:r>
                <w:rPr>
                  <w:rStyle w:val="Heading30"/>
                  <w:rFonts w:ascii="Cambria Math" w:hAnsi="Cambria Math"/>
                  <w:spacing w:val="0"/>
                  <w:sz w:val="24"/>
                  <w:szCs w:val="24"/>
                </w:rPr>
                <m:t>ASE</m:t>
              </m:r>
            </m:e>
            <m:sub>
              <m:r>
                <w:rPr>
                  <w:rStyle w:val="Heading30"/>
                  <w:rFonts w:ascii="Cambria Math" w:hAnsi="Cambria Math"/>
                  <w:spacing w:val="0"/>
                  <w:sz w:val="24"/>
                  <w:szCs w:val="24"/>
                </w:rPr>
                <m:t>hf</m:t>
              </m:r>
            </m:sub>
          </m:sSub>
          <m:r>
            <w:rPr>
              <w:rStyle w:val="Heading30"/>
              <w:rFonts w:ascii="Cambria Math" w:hAnsi="Cambria Math"/>
              <w:spacing w:val="0"/>
              <w:sz w:val="24"/>
              <w:szCs w:val="24"/>
            </w:rPr>
            <m:t>×(</m:t>
          </m:r>
          <m:f>
            <m:fPr>
              <m:ctrlPr>
                <w:rPr>
                  <w:rStyle w:val="Heading30"/>
                  <w:rFonts w:ascii="Cambria Math" w:hAnsi="Cambria Math"/>
                  <w:i/>
                  <w:spacing w:val="0"/>
                  <w:sz w:val="24"/>
                  <w:szCs w:val="24"/>
                </w:rPr>
              </m:ctrlPr>
            </m:fPr>
            <m:num>
              <m:r>
                <w:rPr>
                  <w:rStyle w:val="Heading30"/>
                  <w:rFonts w:ascii="Cambria Math" w:hAnsi="Cambria Math"/>
                  <w:spacing w:val="0"/>
                  <w:sz w:val="24"/>
                  <w:szCs w:val="24"/>
                </w:rPr>
                <m:t>1-0,20</m:t>
              </m:r>
            </m:num>
            <m:den>
              <m:sSub>
                <m:sSubPr>
                  <m:ctrlPr>
                    <w:rPr>
                      <w:rStyle w:val="Heading30"/>
                      <w:rFonts w:ascii="Cambria Math" w:hAnsi="Cambria Math"/>
                      <w:i/>
                      <w:spacing w:val="0"/>
                      <w:sz w:val="24"/>
                      <w:szCs w:val="24"/>
                    </w:rPr>
                  </m:ctrlPr>
                </m:sSubPr>
                <m:e>
                  <m:r>
                    <w:rPr>
                      <w:rStyle w:val="Heading30"/>
                      <w:rFonts w:ascii="Cambria Math" w:hAnsi="Cambria Math"/>
                      <w:spacing w:val="0"/>
                      <w:sz w:val="24"/>
                      <w:szCs w:val="24"/>
                    </w:rPr>
                    <m:t>dpu</m:t>
                  </m:r>
                </m:e>
                <m:sub>
                  <m:r>
                    <w:rPr>
                      <w:rStyle w:val="Heading30"/>
                      <w:rFonts w:ascii="Cambria Math" w:hAnsi="Cambria Math"/>
                      <w:spacing w:val="0"/>
                      <w:sz w:val="24"/>
                      <w:szCs w:val="24"/>
                    </w:rPr>
                    <m:t>hf</m:t>
                  </m:r>
                </m:sub>
              </m:sSub>
              <m:r>
                <w:rPr>
                  <w:rStyle w:val="Heading30"/>
                  <w:rFonts w:ascii="Cambria Math" w:hAnsi="Cambria Math"/>
                  <w:spacing w:val="0"/>
                  <w:sz w:val="24"/>
                  <w:szCs w:val="24"/>
                </w:rPr>
                <m:t>-0,20</m:t>
              </m:r>
            </m:den>
          </m:f>
          <m:r>
            <w:rPr>
              <w:rStyle w:val="Heading30"/>
              <w:rFonts w:ascii="Cambria Math" w:hAnsi="Cambria Math"/>
              <w:spacing w:val="0"/>
              <w:sz w:val="24"/>
              <w:szCs w:val="24"/>
            </w:rPr>
            <m:t>)</m:t>
          </m:r>
        </m:oMath>
      </m:oMathPara>
    </w:p>
    <w:p w14:paraId="1C80FF79" w14:textId="77777777" w:rsidR="00CA27E3" w:rsidRPr="00CA27E3" w:rsidRDefault="00CA27E3" w:rsidP="00CA27E3">
      <w:pPr>
        <w:pStyle w:val="Bodytext212"/>
        <w:shd w:val="clear" w:color="auto" w:fill="auto"/>
        <w:spacing w:after="160" w:line="360" w:lineRule="auto"/>
        <w:ind w:firstLine="0"/>
        <w:jc w:val="both"/>
        <w:rPr>
          <w:rFonts w:ascii="Sylfaen" w:hAnsi="Sylfaen"/>
          <w:sz w:val="24"/>
          <w:szCs w:val="24"/>
        </w:rPr>
      </w:pPr>
    </w:p>
    <w:p w14:paraId="1BD590A3" w14:textId="77777777" w:rsidR="00CA27E3" w:rsidRPr="00CA27E3" w:rsidRDefault="00CA27E3" w:rsidP="00E5115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ընդհանուր նշանակության՝</w:t>
      </w:r>
    </w:p>
    <w:p w14:paraId="6B1A8239" w14:textId="77777777" w:rsidR="00CA27E3" w:rsidRPr="00E5115A" w:rsidRDefault="00000000" w:rsidP="00CA27E3">
      <w:pPr>
        <w:pStyle w:val="Bodytext90"/>
        <w:shd w:val="clear" w:color="auto" w:fill="auto"/>
        <w:spacing w:before="0" w:after="160" w:line="360" w:lineRule="auto"/>
        <w:jc w:val="center"/>
        <w:rPr>
          <w:rStyle w:val="Bodytext9Spacing1pt3"/>
          <w:rFonts w:ascii="Sylfaen" w:hAnsi="Sylfaen"/>
          <w:spacing w:val="0"/>
          <w:sz w:val="24"/>
          <w:szCs w:val="24"/>
        </w:rPr>
      </w:pPr>
      <m:oMath>
        <m:sSub>
          <m:sSubPr>
            <m:ctrlPr>
              <w:rPr>
                <w:rStyle w:val="Bodytext9Spacing1pt3"/>
                <w:rFonts w:ascii="Cambria Math" w:hAnsi="Cambria Math"/>
                <w:b/>
                <w:bCs/>
                <w:spacing w:val="0"/>
                <w:sz w:val="24"/>
                <w:szCs w:val="24"/>
              </w:rPr>
            </m:ctrlPr>
          </m:sSubPr>
          <m:e>
            <m:r>
              <m:rPr>
                <m:sty m:val="b"/>
              </m:rPr>
              <w:rPr>
                <w:rStyle w:val="Bodytext9Spacing1pt3"/>
                <w:rFonts w:ascii="Cambria Math" w:hAnsi="Cambria Math"/>
                <w:spacing w:val="0"/>
                <w:sz w:val="24"/>
                <w:szCs w:val="24"/>
              </w:rPr>
              <m:t>AE</m:t>
            </m:r>
          </m:e>
          <m:sub>
            <m:r>
              <m:rPr>
                <m:sty m:val="b"/>
              </m:rPr>
              <w:rPr>
                <w:rStyle w:val="Bodytext9Spacing1pt3"/>
                <w:rFonts w:ascii="Cambria Math" w:hAnsi="Cambria Math"/>
                <w:spacing w:val="0"/>
                <w:sz w:val="24"/>
                <w:szCs w:val="24"/>
              </w:rPr>
              <m:t>gp</m:t>
            </m:r>
          </m:sub>
        </m:sSub>
      </m:oMath>
      <w:r w:rsidR="00CA27E3" w:rsidRPr="00CA27E3">
        <w:rPr>
          <w:rStyle w:val="Bodytext9Spacing1pt3"/>
          <w:rFonts w:ascii="Sylfaen" w:hAnsi="Sylfaen"/>
          <w:spacing w:val="0"/>
          <w:sz w:val="24"/>
          <w:szCs w:val="24"/>
        </w:rPr>
        <w:t>=</w:t>
      </w:r>
      <m:oMath>
        <m:r>
          <m:rPr>
            <m:sty m:val="b"/>
          </m:rPr>
          <w:rPr>
            <w:rStyle w:val="Bodytext9Spacing1pt3"/>
            <w:rFonts w:ascii="Cambria Math" w:hAnsi="Cambria Math"/>
            <w:spacing w:val="0"/>
            <w:sz w:val="24"/>
            <w:szCs w:val="24"/>
          </w:rPr>
          <m:t>0,5×</m:t>
        </m:r>
        <m:sSub>
          <m:sSubPr>
            <m:ctrlPr>
              <w:rPr>
                <w:rStyle w:val="Bodytext9Spacing1pt3"/>
                <w:rFonts w:ascii="Cambria Math" w:hAnsi="Cambria Math"/>
                <w:b/>
                <w:bCs/>
                <w:i/>
                <w:spacing w:val="0"/>
                <w:sz w:val="24"/>
                <w:szCs w:val="24"/>
              </w:rPr>
            </m:ctrlPr>
          </m:sSubPr>
          <m:e>
            <m:r>
              <m:rPr>
                <m:sty m:val="bi"/>
              </m:rPr>
              <w:rPr>
                <w:rStyle w:val="Bodytext9Spacing1pt3"/>
                <w:rFonts w:ascii="Cambria Math" w:hAnsi="Cambria Math"/>
                <w:spacing w:val="0"/>
                <w:sz w:val="24"/>
                <w:szCs w:val="24"/>
              </w:rPr>
              <m:t>AE</m:t>
            </m:r>
          </m:e>
          <m:sub>
            <m:r>
              <m:rPr>
                <m:sty m:val="bi"/>
              </m:rPr>
              <w:rPr>
                <w:rStyle w:val="Bodytext9Spacing1pt3"/>
                <w:rFonts w:ascii="Cambria Math" w:hAnsi="Cambria Math"/>
                <w:spacing w:val="0"/>
                <w:sz w:val="24"/>
                <w:szCs w:val="24"/>
              </w:rPr>
              <m:t>c</m:t>
            </m:r>
          </m:sub>
        </m:sSub>
        <m:r>
          <m:rPr>
            <m:sty m:val="b"/>
          </m:rPr>
          <w:rPr>
            <w:rStyle w:val="Bodytext9Spacing1pt3"/>
            <w:rFonts w:ascii="Cambria Math" w:hAnsi="Cambria Math"/>
            <w:spacing w:val="0"/>
            <w:sz w:val="24"/>
            <w:szCs w:val="24"/>
          </w:rPr>
          <m:t>+0,5×</m:t>
        </m:r>
        <m:sSub>
          <m:sSubPr>
            <m:ctrlPr>
              <w:rPr>
                <w:rStyle w:val="Bodytext9Spacing1pt3"/>
                <w:rFonts w:ascii="Cambria Math" w:hAnsi="Cambria Math"/>
                <w:b/>
                <w:bCs/>
                <w:i/>
                <w:spacing w:val="0"/>
                <w:sz w:val="24"/>
                <w:szCs w:val="24"/>
              </w:rPr>
            </m:ctrlPr>
          </m:sSubPr>
          <m:e>
            <m:r>
              <m:rPr>
                <m:sty m:val="bi"/>
              </m:rPr>
              <w:rPr>
                <w:rStyle w:val="Bodytext9Spacing1pt3"/>
                <w:rFonts w:ascii="Cambria Math" w:hAnsi="Cambria Math"/>
                <w:spacing w:val="0"/>
                <w:sz w:val="24"/>
                <w:szCs w:val="24"/>
              </w:rPr>
              <m:t>AE</m:t>
            </m:r>
          </m:e>
          <m:sub>
            <m:r>
              <m:rPr>
                <m:sty m:val="bi"/>
              </m:rPr>
              <w:rPr>
                <w:rStyle w:val="Bodytext9Spacing1pt3"/>
                <w:rFonts w:ascii="Cambria Math" w:hAnsi="Cambria Math"/>
                <w:spacing w:val="0"/>
                <w:sz w:val="24"/>
                <w:szCs w:val="24"/>
              </w:rPr>
              <m:t>hf</m:t>
            </m:r>
          </m:sub>
        </m:sSub>
        <m:r>
          <m:rPr>
            <m:sty m:val="b"/>
          </m:rPr>
          <w:rPr>
            <w:rStyle w:val="Bodytext9Spacing1pt3"/>
            <w:rFonts w:ascii="Cambria Math" w:hAnsi="Cambria Math"/>
            <w:spacing w:val="0"/>
            <w:sz w:val="24"/>
            <w:szCs w:val="24"/>
          </w:rPr>
          <m:t>,</m:t>
        </m:r>
      </m:oMath>
    </w:p>
    <w:p w14:paraId="7302A9B5" w14:textId="77777777" w:rsidR="00D83000" w:rsidRDefault="00D83000" w:rsidP="00CA27E3">
      <w:pPr>
        <w:pStyle w:val="Bodytext212"/>
        <w:shd w:val="clear" w:color="auto" w:fill="auto"/>
        <w:spacing w:after="160" w:line="360" w:lineRule="auto"/>
        <w:ind w:firstLine="567"/>
        <w:jc w:val="both"/>
        <w:rPr>
          <w:rFonts w:ascii="Sylfaen" w:hAnsi="Sylfaen"/>
          <w:sz w:val="24"/>
          <w:szCs w:val="24"/>
        </w:rPr>
      </w:pPr>
    </w:p>
    <w:p w14:paraId="48357F4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4760069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ASE</w:t>
      </w:r>
      <w:r w:rsidRPr="00CA27E3">
        <w:rPr>
          <w:rFonts w:ascii="Sylfaen" w:hAnsi="Sylfaen"/>
          <w:sz w:val="24"/>
          <w:szCs w:val="24"/>
          <w:vertAlign w:val="subscript"/>
        </w:rPr>
        <w:t>C-</w:t>
      </w:r>
      <w:r w:rsidRPr="00CA27E3">
        <w:rPr>
          <w:rFonts w:ascii="Sylfaen" w:hAnsi="Sylfaen"/>
          <w:sz w:val="24"/>
          <w:szCs w:val="24"/>
        </w:rPr>
        <w:t>ը՝ էներգիայի միջին տեսակարար ծախսն է Վտ ժ/մ</w:t>
      </w:r>
      <w:r w:rsidRPr="00CA27E3">
        <w:rPr>
          <w:rFonts w:ascii="Sylfaen" w:hAnsi="Sylfaen"/>
          <w:sz w:val="24"/>
          <w:szCs w:val="24"/>
          <w:vertAlign w:val="superscript"/>
        </w:rPr>
        <w:t>2</w:t>
      </w:r>
      <w:r w:rsidRPr="00CA27E3">
        <w:rPr>
          <w:rFonts w:ascii="Sylfaen" w:hAnsi="Sylfaen"/>
          <w:sz w:val="24"/>
          <w:szCs w:val="24"/>
        </w:rPr>
        <w:t>–ով՝ գորգերի համար փոշեկուլի փորձարկումների ժամանակ.</w:t>
      </w:r>
    </w:p>
    <w:p w14:paraId="49E9426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ASE</w:t>
      </w:r>
      <w:r w:rsidRPr="00CA27E3">
        <w:rPr>
          <w:rFonts w:ascii="Sylfaen" w:hAnsi="Sylfaen"/>
          <w:sz w:val="24"/>
          <w:szCs w:val="24"/>
          <w:vertAlign w:val="subscript"/>
        </w:rPr>
        <w:t>hf-</w:t>
      </w:r>
      <w:r w:rsidRPr="00CA27E3">
        <w:rPr>
          <w:rFonts w:ascii="Sylfaen" w:hAnsi="Sylfaen"/>
          <w:sz w:val="24"/>
          <w:szCs w:val="24"/>
        </w:rPr>
        <w:t>ը՝ էներգիայի միջին տեսակարար ծախսն է Վտ ժ/մ</w:t>
      </w:r>
      <w:r w:rsidRPr="00CA27E3">
        <w:rPr>
          <w:rFonts w:ascii="Sylfaen" w:hAnsi="Sylfaen"/>
          <w:sz w:val="24"/>
          <w:szCs w:val="24"/>
          <w:vertAlign w:val="superscript"/>
        </w:rPr>
        <w:t>2</w:t>
      </w:r>
      <w:r w:rsidRPr="00CA27E3">
        <w:rPr>
          <w:rFonts w:ascii="Sylfaen" w:hAnsi="Sylfaen"/>
          <w:sz w:val="24"/>
          <w:szCs w:val="24"/>
        </w:rPr>
        <w:t>–ով՝ կոշտ հատակի համար փոշեկուլի փորձարկումների ժամանակ.</w:t>
      </w:r>
    </w:p>
    <w:p w14:paraId="14A5D6D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dpu</w:t>
      </w:r>
      <w:r w:rsidRPr="00CA27E3">
        <w:rPr>
          <w:rFonts w:ascii="Sylfaen" w:hAnsi="Sylfaen"/>
          <w:sz w:val="24"/>
          <w:szCs w:val="24"/>
          <w:vertAlign w:val="subscript"/>
        </w:rPr>
        <w:t>C-</w:t>
      </w:r>
      <w:r w:rsidRPr="00CA27E3">
        <w:rPr>
          <w:rFonts w:ascii="Sylfaen" w:hAnsi="Sylfaen"/>
          <w:sz w:val="24"/>
          <w:szCs w:val="24"/>
        </w:rPr>
        <w:t>ը՝ գորգի վրա փոշու հավաքման արդյունավետությունն է.</w:t>
      </w:r>
    </w:p>
    <w:p w14:paraId="3930CDE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dpu</w:t>
      </w:r>
      <w:r w:rsidRPr="00CA27E3">
        <w:rPr>
          <w:rFonts w:ascii="Sylfaen" w:hAnsi="Sylfaen"/>
          <w:sz w:val="24"/>
          <w:szCs w:val="24"/>
          <w:vertAlign w:val="subscript"/>
        </w:rPr>
        <w:t>hf-</w:t>
      </w:r>
      <w:r w:rsidR="00E5115A">
        <w:rPr>
          <w:rFonts w:ascii="Sylfaen" w:hAnsi="Sylfaen"/>
          <w:sz w:val="24"/>
          <w:szCs w:val="24"/>
        </w:rPr>
        <w:t>ը</w:t>
      </w:r>
      <w:r w:rsidRPr="00CA27E3">
        <w:rPr>
          <w:rFonts w:ascii="Sylfaen" w:hAnsi="Sylfaen"/>
          <w:sz w:val="24"/>
          <w:szCs w:val="24"/>
        </w:rPr>
        <w:t>՝ կոշտ հատակի վրա փոշու հավաքման արդյունավետությունն է.</w:t>
      </w:r>
    </w:p>
    <w:p w14:paraId="2056F24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50-ը՝ փոշեկուլով տարեկան մեկժամյա մաքրումների ստանդարտ քանակն է.</w:t>
      </w:r>
    </w:p>
    <w:p w14:paraId="429A4B5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87-ը՝ մաքրման ենթակա բնակելի տարածքի</w:t>
      </w:r>
      <w:r>
        <w:rPr>
          <w:rFonts w:ascii="Sylfaen" w:hAnsi="Sylfaen"/>
          <w:sz w:val="24"/>
          <w:szCs w:val="24"/>
        </w:rPr>
        <w:t xml:space="preserve"> </w:t>
      </w:r>
      <w:r w:rsidRPr="00CA27E3">
        <w:rPr>
          <w:rFonts w:ascii="Sylfaen" w:hAnsi="Sylfaen"/>
          <w:sz w:val="24"/>
          <w:szCs w:val="24"/>
        </w:rPr>
        <w:t>մ</w:t>
      </w:r>
      <w:r w:rsidRPr="00CA27E3">
        <w:rPr>
          <w:rFonts w:ascii="Sylfaen" w:hAnsi="Sylfaen"/>
          <w:sz w:val="24"/>
          <w:szCs w:val="24"/>
          <w:vertAlign w:val="superscript"/>
        </w:rPr>
        <w:t>2</w:t>
      </w:r>
      <w:r w:rsidRPr="00CA27E3">
        <w:rPr>
          <w:rFonts w:ascii="Sylfaen" w:hAnsi="Sylfaen"/>
          <w:sz w:val="24"/>
          <w:szCs w:val="24"/>
        </w:rPr>
        <w:t>-ով արտահայտված ստանդարտ մակեր</w:t>
      </w:r>
      <w:r>
        <w:rPr>
          <w:rFonts w:ascii="Sylfaen" w:hAnsi="Sylfaen"/>
          <w:sz w:val="24"/>
          <w:szCs w:val="24"/>
        </w:rPr>
        <w:t>եւ</w:t>
      </w:r>
      <w:r w:rsidRPr="00CA27E3">
        <w:rPr>
          <w:rFonts w:ascii="Sylfaen" w:hAnsi="Sylfaen"/>
          <w:sz w:val="24"/>
          <w:szCs w:val="24"/>
        </w:rPr>
        <w:t>ույթն է.</w:t>
      </w:r>
    </w:p>
    <w:p w14:paraId="34491A8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4-ը՝ հատակի վրա յուրաքանչյուր կետով փոշեկուլի գլխադիրի անցումների ստանդարտ քանակն է (2 երկակի անցում).</w:t>
      </w:r>
    </w:p>
    <w:p w14:paraId="738A8EC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0,001-ը՝ Վտ·ժ վերահաշվարկի գործակիցն է (կՎտ·ժ-ով).</w:t>
      </w:r>
    </w:p>
    <w:p w14:paraId="2594E9F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1-ը՝ փոշու հավաքման ստանդարտ արդյունավետությունն է.</w:t>
      </w:r>
    </w:p>
    <w:p w14:paraId="5CE0C26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0,20-ը՝ 5 </w:t>
      </w:r>
      <w:r>
        <w:rPr>
          <w:rFonts w:ascii="Sylfaen" w:hAnsi="Sylfaen"/>
          <w:sz w:val="24"/>
          <w:szCs w:val="24"/>
        </w:rPr>
        <w:t>եւ</w:t>
      </w:r>
      <w:r w:rsidRPr="00CA27E3">
        <w:rPr>
          <w:rFonts w:ascii="Sylfaen" w:hAnsi="Sylfaen"/>
          <w:sz w:val="24"/>
          <w:szCs w:val="24"/>
        </w:rPr>
        <w:t xml:space="preserve"> 2 երկակի անցումներից հետո փոշու հավաքման արդյունավետության միջ</w:t>
      </w:r>
      <w:r>
        <w:rPr>
          <w:rFonts w:ascii="Sylfaen" w:hAnsi="Sylfaen"/>
          <w:sz w:val="24"/>
          <w:szCs w:val="24"/>
        </w:rPr>
        <w:t>եւ</w:t>
      </w:r>
      <w:r w:rsidRPr="00CA27E3">
        <w:rPr>
          <w:rFonts w:ascii="Sylfaen" w:hAnsi="Sylfaen"/>
          <w:sz w:val="24"/>
          <w:szCs w:val="24"/>
        </w:rPr>
        <w:t xml:space="preserve"> ստանդարտ տարբերություն:</w:t>
      </w:r>
    </w:p>
    <w:p w14:paraId="358EFE87"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5.</w:t>
      </w:r>
      <w:r w:rsidR="00647F3B" w:rsidRPr="00647F3B">
        <w:rPr>
          <w:rFonts w:ascii="Sylfaen" w:hAnsi="Sylfaen"/>
          <w:sz w:val="24"/>
          <w:szCs w:val="24"/>
        </w:rPr>
        <w:tab/>
      </w:r>
      <w:r w:rsidRPr="00CA27E3">
        <w:rPr>
          <w:rFonts w:ascii="Sylfaen" w:hAnsi="Sylfaen"/>
          <w:sz w:val="24"/>
          <w:szCs w:val="24"/>
        </w:rPr>
        <w:t>Գորգի վրա ASE</w:t>
      </w:r>
      <w:r w:rsidRPr="00CA27E3">
        <w:rPr>
          <w:rFonts w:ascii="Sylfaen" w:hAnsi="Sylfaen"/>
          <w:sz w:val="24"/>
          <w:szCs w:val="24"/>
          <w:vertAlign w:val="subscript"/>
        </w:rPr>
        <w:t>C</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կոշտ հատակի վրա ASE</w:t>
      </w:r>
      <w:r w:rsidRPr="00CA27E3">
        <w:rPr>
          <w:rFonts w:ascii="Sylfaen" w:hAnsi="Sylfaen"/>
          <w:sz w:val="24"/>
          <w:szCs w:val="24"/>
          <w:vertAlign w:val="subscript"/>
        </w:rPr>
        <w:t>hf</w:t>
      </w:r>
      <w:r w:rsidRPr="00CA27E3">
        <w:rPr>
          <w:rFonts w:ascii="Sylfaen" w:hAnsi="Sylfaen"/>
          <w:sz w:val="24"/>
          <w:szCs w:val="24"/>
        </w:rPr>
        <w:t xml:space="preserve"> փորձարկումների ժամանակ էներգիայի միջին տեսակարար ծախսը որոշվում է որպես համապատասխանաբար գորգի </w:t>
      </w:r>
      <w:r>
        <w:rPr>
          <w:rFonts w:ascii="Sylfaen" w:hAnsi="Sylfaen"/>
          <w:sz w:val="24"/>
          <w:szCs w:val="24"/>
        </w:rPr>
        <w:t>եւ</w:t>
      </w:r>
      <w:r w:rsidRPr="00CA27E3">
        <w:rPr>
          <w:rFonts w:ascii="Sylfaen" w:hAnsi="Sylfaen"/>
          <w:sz w:val="24"/>
          <w:szCs w:val="24"/>
        </w:rPr>
        <w:t xml:space="preserve"> կոշտ հատակի վրա փորձարկում կազմող մաքրման ցիկլերի քանակի դեպքում էներգիայի միջին տեսակարար սպառում SE ՝ հետ</w:t>
      </w:r>
      <w:r>
        <w:rPr>
          <w:rFonts w:ascii="Sylfaen" w:hAnsi="Sylfaen"/>
          <w:sz w:val="24"/>
          <w:szCs w:val="24"/>
        </w:rPr>
        <w:t>եւ</w:t>
      </w:r>
      <w:r w:rsidRPr="00CA27E3">
        <w:rPr>
          <w:rFonts w:ascii="Sylfaen" w:hAnsi="Sylfaen"/>
          <w:sz w:val="24"/>
          <w:szCs w:val="24"/>
        </w:rPr>
        <w:t>յալ ընդհանուր բանաձ</w:t>
      </w:r>
      <w:r>
        <w:rPr>
          <w:rFonts w:ascii="Sylfaen" w:hAnsi="Sylfaen"/>
          <w:sz w:val="24"/>
          <w:szCs w:val="24"/>
        </w:rPr>
        <w:t>եւ</w:t>
      </w:r>
      <w:r w:rsidRPr="00CA27E3">
        <w:rPr>
          <w:rFonts w:ascii="Sylfaen" w:hAnsi="Sylfaen"/>
          <w:sz w:val="24"/>
          <w:szCs w:val="24"/>
        </w:rPr>
        <w:t>ով (Վտժ/մ</w:t>
      </w:r>
      <w:r w:rsidRPr="00CA27E3">
        <w:rPr>
          <w:rFonts w:ascii="Sylfaen" w:hAnsi="Sylfaen"/>
          <w:sz w:val="24"/>
          <w:szCs w:val="24"/>
          <w:vertAlign w:val="superscript"/>
        </w:rPr>
        <w:t>2</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49C7465A" w14:textId="77777777" w:rsidR="00CA27E3" w:rsidRPr="00E5115A" w:rsidRDefault="00E5115A" w:rsidP="00CA27E3">
      <w:pPr>
        <w:pStyle w:val="Bodytext211"/>
        <w:shd w:val="clear" w:color="auto" w:fill="auto"/>
        <w:spacing w:before="0" w:after="160" w:line="360" w:lineRule="auto"/>
        <w:jc w:val="center"/>
        <w:rPr>
          <w:rStyle w:val="Bodytext210"/>
          <w:rFonts w:ascii="Sylfaen" w:hAnsi="Sylfaen"/>
          <w:sz w:val="24"/>
          <w:szCs w:val="24"/>
        </w:rPr>
      </w:pPr>
      <m:oMathPara>
        <m:oMath>
          <m:r>
            <m:rPr>
              <m:sty m:val="b"/>
            </m:rPr>
            <w:rPr>
              <w:rStyle w:val="Bodytext210"/>
              <w:rFonts w:ascii="Cambria Math" w:hAnsi="Cambria Math"/>
              <w:sz w:val="24"/>
              <w:szCs w:val="24"/>
            </w:rPr>
            <m:t>SE=</m:t>
          </m:r>
          <m:f>
            <m:fPr>
              <m:ctrlPr>
                <w:rPr>
                  <w:rStyle w:val="Bodytext210"/>
                  <w:rFonts w:ascii="Cambria Math" w:hAnsi="Cambria Math"/>
                  <w:b/>
                  <w:bCs/>
                  <w:sz w:val="24"/>
                  <w:szCs w:val="24"/>
                </w:rPr>
              </m:ctrlPr>
            </m:fPr>
            <m:num>
              <m:r>
                <m:rPr>
                  <m:sty m:val="b"/>
                </m:rPr>
                <w:rPr>
                  <w:rStyle w:val="Bodytext210"/>
                  <w:rFonts w:ascii="Cambria Math" w:hAnsi="Cambria Math"/>
                  <w:sz w:val="24"/>
                  <w:szCs w:val="24"/>
                </w:rPr>
                <m:t>(P+NP)×t</m:t>
              </m:r>
            </m:num>
            <m:den>
              <m:r>
                <m:rPr>
                  <m:sty m:val="b"/>
                </m:rPr>
                <w:rPr>
                  <w:rStyle w:val="Bodytext210"/>
                  <w:rFonts w:ascii="Cambria Math" w:hAnsi="Cambria Math"/>
                  <w:sz w:val="24"/>
                  <w:szCs w:val="24"/>
                </w:rPr>
                <m:t>A</m:t>
              </m:r>
            </m:den>
          </m:f>
          <m:r>
            <m:rPr>
              <m:sty m:val="b"/>
            </m:rPr>
            <w:rPr>
              <w:rStyle w:val="Bodytext210"/>
              <w:rFonts w:ascii="Cambria Math" w:hAnsi="Cambria Math"/>
              <w:sz w:val="24"/>
              <w:szCs w:val="24"/>
            </w:rPr>
            <m:t>,</m:t>
          </m:r>
        </m:oMath>
      </m:oMathPara>
    </w:p>
    <w:p w14:paraId="7CE2C535" w14:textId="77777777" w:rsidR="00CA27E3" w:rsidRPr="00CA27E3" w:rsidRDefault="00CA27E3" w:rsidP="00CA27E3">
      <w:pPr>
        <w:pStyle w:val="Bodytext211"/>
        <w:shd w:val="clear" w:color="auto" w:fill="auto"/>
        <w:spacing w:before="0" w:after="160" w:line="360" w:lineRule="auto"/>
        <w:rPr>
          <w:rStyle w:val="Bodytext210"/>
          <w:rFonts w:ascii="Sylfaen" w:hAnsi="Sylfaen"/>
          <w:sz w:val="24"/>
          <w:szCs w:val="24"/>
        </w:rPr>
      </w:pPr>
    </w:p>
    <w:p w14:paraId="22B46C4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7EAABA8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Р-ն՝ մաքրման ցիկլի ընթացքում միջին հզորությունն է, երբ մաքրող գլխադիրի կենտրոնը շարժվում է փորձարկման գոտիով (Վտ-ով) (մինչ</w:t>
      </w:r>
      <w:r>
        <w:rPr>
          <w:rFonts w:ascii="Sylfaen" w:hAnsi="Sylfaen"/>
          <w:sz w:val="24"/>
          <w:szCs w:val="24"/>
        </w:rPr>
        <w:t>եւ</w:t>
      </w:r>
      <w:r w:rsidRPr="00CA27E3">
        <w:rPr>
          <w:rFonts w:ascii="Sylfaen" w:hAnsi="Sylfaen"/>
          <w:sz w:val="24"/>
          <w:szCs w:val="24"/>
        </w:rPr>
        <w:t xml:space="preserve"> 2</w:t>
      </w:r>
      <w:r w:rsidR="00E5115A" w:rsidRPr="00E5115A">
        <w:rPr>
          <w:rFonts w:ascii="Sylfaen" w:hAnsi="Sylfaen"/>
          <w:sz w:val="24"/>
          <w:szCs w:val="24"/>
        </w:rPr>
        <w:t> </w:t>
      </w:r>
      <w:r w:rsidRPr="00CA27E3">
        <w:rPr>
          <w:rFonts w:ascii="Sylfaen" w:hAnsi="Sylfaen"/>
          <w:sz w:val="24"/>
          <w:szCs w:val="24"/>
        </w:rPr>
        <w:t>տասնորդական նիշ կլորացմամբ).</w:t>
      </w:r>
    </w:p>
    <w:p w14:paraId="76C2CBF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NP-ն՝ էլեկտրական մարտկոցներով </w:t>
      </w:r>
      <w:r>
        <w:rPr>
          <w:rFonts w:ascii="Sylfaen" w:hAnsi="Sylfaen"/>
          <w:sz w:val="24"/>
          <w:szCs w:val="24"/>
        </w:rPr>
        <w:t>եւ</w:t>
      </w:r>
      <w:r w:rsidRPr="00CA27E3">
        <w:rPr>
          <w:rFonts w:ascii="Sylfaen" w:hAnsi="Sylfaen"/>
          <w:sz w:val="24"/>
          <w:szCs w:val="24"/>
        </w:rPr>
        <w:t xml:space="preserve"> (կամ) կուտակիչներով աշխատող ակտիվ խոզանակ-գլխադիրի միջին համարժեք հզորությունն է (Վտ-ով) (մինչ</w:t>
      </w:r>
      <w:r>
        <w:rPr>
          <w:rFonts w:ascii="Sylfaen" w:hAnsi="Sylfaen"/>
          <w:sz w:val="24"/>
          <w:szCs w:val="24"/>
        </w:rPr>
        <w:t>եւ</w:t>
      </w:r>
      <w:r w:rsidRPr="00CA27E3">
        <w:rPr>
          <w:rFonts w:ascii="Sylfaen" w:hAnsi="Sylfaen"/>
          <w:sz w:val="24"/>
          <w:szCs w:val="24"/>
        </w:rPr>
        <w:t xml:space="preserve"> 2</w:t>
      </w:r>
      <w:r w:rsidR="00E5115A" w:rsidRPr="00E5115A">
        <w:rPr>
          <w:rFonts w:ascii="Sylfaen" w:hAnsi="Sylfaen"/>
          <w:sz w:val="24"/>
          <w:szCs w:val="24"/>
        </w:rPr>
        <w:t> </w:t>
      </w:r>
      <w:r w:rsidRPr="00CA27E3">
        <w:rPr>
          <w:rFonts w:ascii="Sylfaen" w:hAnsi="Sylfaen"/>
          <w:sz w:val="24"/>
          <w:szCs w:val="24"/>
        </w:rPr>
        <w:t>տասնորդական նիշ կլորացմամբ).</w:t>
      </w:r>
    </w:p>
    <w:p w14:paraId="2A17DDE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t-ն՝ մաքրման ցիկլի ընդհանուր ժամանակը, որի ընթացքում մաքրող գլխադիրի կենտրոնը, այսինքն՝ մաքրող գլխադիրի առջ</w:t>
      </w:r>
      <w:r>
        <w:rPr>
          <w:rFonts w:ascii="Sylfaen" w:hAnsi="Sylfaen"/>
          <w:sz w:val="24"/>
          <w:szCs w:val="24"/>
        </w:rPr>
        <w:t>եւ</w:t>
      </w:r>
      <w:r w:rsidRPr="00CA27E3">
        <w:rPr>
          <w:rFonts w:ascii="Sylfaen" w:hAnsi="Sylfaen"/>
          <w:sz w:val="24"/>
          <w:szCs w:val="24"/>
        </w:rPr>
        <w:t xml:space="preserve">ի </w:t>
      </w:r>
      <w:r>
        <w:rPr>
          <w:rFonts w:ascii="Sylfaen" w:hAnsi="Sylfaen"/>
          <w:sz w:val="24"/>
          <w:szCs w:val="24"/>
        </w:rPr>
        <w:t>եւ</w:t>
      </w:r>
      <w:r w:rsidRPr="00CA27E3">
        <w:rPr>
          <w:rFonts w:ascii="Sylfaen" w:hAnsi="Sylfaen"/>
          <w:sz w:val="24"/>
          <w:szCs w:val="24"/>
        </w:rPr>
        <w:t xml:space="preserve"> հետ</w:t>
      </w:r>
      <w:r>
        <w:rPr>
          <w:rFonts w:ascii="Sylfaen" w:hAnsi="Sylfaen"/>
          <w:sz w:val="24"/>
          <w:szCs w:val="24"/>
        </w:rPr>
        <w:t>եւ</w:t>
      </w:r>
      <w:r w:rsidRPr="00CA27E3">
        <w:rPr>
          <w:rFonts w:ascii="Sylfaen" w:hAnsi="Sylfaen"/>
          <w:sz w:val="24"/>
          <w:szCs w:val="24"/>
        </w:rPr>
        <w:t>ի եզրերի միջ</w:t>
      </w:r>
      <w:r>
        <w:rPr>
          <w:rFonts w:ascii="Sylfaen" w:hAnsi="Sylfaen"/>
          <w:sz w:val="24"/>
          <w:szCs w:val="24"/>
        </w:rPr>
        <w:t>եւ</w:t>
      </w:r>
      <w:r w:rsidRPr="00CA27E3">
        <w:rPr>
          <w:rFonts w:ascii="Sylfaen" w:hAnsi="Sylfaen"/>
          <w:sz w:val="24"/>
          <w:szCs w:val="24"/>
        </w:rPr>
        <w:t xml:space="preserve"> հեռավորության կեսի կետը, շարժվում է փորձարկման գոտիով (ժամերով) (մինչ</w:t>
      </w:r>
      <w:r>
        <w:rPr>
          <w:rFonts w:ascii="Sylfaen" w:hAnsi="Sylfaen"/>
          <w:sz w:val="24"/>
          <w:szCs w:val="24"/>
        </w:rPr>
        <w:t>եւ</w:t>
      </w:r>
      <w:r w:rsidRPr="00CA27E3">
        <w:rPr>
          <w:rFonts w:ascii="Sylfaen" w:hAnsi="Sylfaen"/>
          <w:sz w:val="24"/>
          <w:szCs w:val="24"/>
        </w:rPr>
        <w:t xml:space="preserve"> 4 տասնորդական նիշ կլորացմամբ).</w:t>
      </w:r>
    </w:p>
    <w:p w14:paraId="70A8EE0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A-ն՝ մակեր</w:t>
      </w:r>
      <w:r>
        <w:rPr>
          <w:rFonts w:ascii="Sylfaen" w:hAnsi="Sylfaen"/>
          <w:sz w:val="24"/>
          <w:szCs w:val="24"/>
        </w:rPr>
        <w:t>եւ</w:t>
      </w:r>
      <w:r w:rsidRPr="00CA27E3">
        <w:rPr>
          <w:rFonts w:ascii="Sylfaen" w:hAnsi="Sylfaen"/>
          <w:sz w:val="24"/>
          <w:szCs w:val="24"/>
        </w:rPr>
        <w:t>ույթի մակերեսն է, որն ընդգրկում է մաքրող գլխադիրը մաքրման մեկ ցիկլում, փորձարկման գոտու համապատասխան երկարության վրա գլխադիրի լայնության 10-ապատիկի արտադրյալի հաշվարկով՝ մ</w:t>
      </w:r>
      <w:r w:rsidRPr="00CA27E3">
        <w:rPr>
          <w:rFonts w:ascii="Sylfaen" w:hAnsi="Sylfaen"/>
          <w:sz w:val="24"/>
          <w:szCs w:val="24"/>
          <w:vertAlign w:val="superscript"/>
        </w:rPr>
        <w:t>2</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3</w:t>
      </w:r>
      <w:r w:rsidR="00E5115A" w:rsidRPr="00E5115A">
        <w:rPr>
          <w:rFonts w:ascii="Sylfaen" w:hAnsi="Sylfaen"/>
          <w:sz w:val="24"/>
          <w:szCs w:val="24"/>
        </w:rPr>
        <w:t> </w:t>
      </w:r>
      <w:r w:rsidRPr="00CA27E3">
        <w:rPr>
          <w:rFonts w:ascii="Sylfaen" w:hAnsi="Sylfaen"/>
          <w:sz w:val="24"/>
          <w:szCs w:val="24"/>
        </w:rPr>
        <w:t>տասնորդական նիշ կլորացմամբ) (եթե կենցաղային փոշեկուլը 0,320 մ-ից ավելի լայնությամբ մաքրող գլխադիր ունի, ապա 0,320 մ թիվն այդ հաշվարկում պետք է փոխարինվի գլխադիրի լայնության փաստացի արժեքով):</w:t>
      </w:r>
    </w:p>
    <w:p w14:paraId="1BBFD60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E5115A">
        <w:rPr>
          <w:rFonts w:ascii="Sylfaen" w:hAnsi="Sylfaen"/>
          <w:spacing w:val="-6"/>
          <w:sz w:val="24"/>
          <w:szCs w:val="24"/>
        </w:rPr>
        <w:t>Կոշտ հատակի վրա փորձարկումների համար վերոնշյալ բանաձեւում պետք է օգտագործվեն</w:t>
      </w:r>
      <w:r w:rsidRPr="00CA27E3">
        <w:rPr>
          <w:rFonts w:ascii="Sylfaen" w:hAnsi="Sylfaen"/>
          <w:sz w:val="24"/>
          <w:szCs w:val="24"/>
        </w:rPr>
        <w:t xml:space="preserve"> «hf» ցուցիչը </w:t>
      </w:r>
      <w:r>
        <w:rPr>
          <w:rFonts w:ascii="Sylfaen" w:hAnsi="Sylfaen"/>
          <w:sz w:val="24"/>
          <w:szCs w:val="24"/>
        </w:rPr>
        <w:t>եւ</w:t>
      </w:r>
      <w:r w:rsidRPr="00CA27E3">
        <w:rPr>
          <w:rFonts w:ascii="Sylfaen" w:hAnsi="Sylfaen"/>
          <w:sz w:val="24"/>
          <w:szCs w:val="24"/>
        </w:rPr>
        <w:t xml:space="preserve"> SE</w:t>
      </w:r>
      <w:r w:rsidRPr="00CA27E3">
        <w:rPr>
          <w:rFonts w:ascii="Sylfaen" w:hAnsi="Sylfaen"/>
          <w:sz w:val="24"/>
          <w:szCs w:val="24"/>
          <w:vertAlign w:val="subscript"/>
        </w:rPr>
        <w:t>hf</w:t>
      </w:r>
      <w:r w:rsidRPr="00CA27E3">
        <w:rPr>
          <w:rFonts w:ascii="Sylfaen" w:hAnsi="Sylfaen"/>
          <w:sz w:val="24"/>
          <w:szCs w:val="24"/>
        </w:rPr>
        <w:t>, P</w:t>
      </w:r>
      <w:r w:rsidRPr="00CA27E3">
        <w:rPr>
          <w:rFonts w:ascii="Sylfaen" w:hAnsi="Sylfaen"/>
          <w:sz w:val="24"/>
          <w:szCs w:val="24"/>
          <w:vertAlign w:val="subscript"/>
        </w:rPr>
        <w:t>hf</w:t>
      </w:r>
      <w:r w:rsidRPr="00CA27E3">
        <w:rPr>
          <w:rFonts w:ascii="Sylfaen" w:hAnsi="Sylfaen"/>
          <w:sz w:val="24"/>
          <w:szCs w:val="24"/>
        </w:rPr>
        <w:t>, NP</w:t>
      </w:r>
      <w:r w:rsidRPr="00CA27E3">
        <w:rPr>
          <w:rFonts w:ascii="Sylfaen" w:hAnsi="Sylfaen"/>
          <w:sz w:val="24"/>
          <w:szCs w:val="24"/>
          <w:vertAlign w:val="subscript"/>
        </w:rPr>
        <w:t>hf</w:t>
      </w:r>
      <w:r w:rsidRPr="00CA27E3">
        <w:rPr>
          <w:rFonts w:ascii="Sylfaen" w:hAnsi="Sylfaen"/>
          <w:sz w:val="24"/>
          <w:szCs w:val="24"/>
        </w:rPr>
        <w:t>, t</w:t>
      </w:r>
      <w:r w:rsidRPr="00CA27E3">
        <w:rPr>
          <w:rFonts w:ascii="Sylfaen" w:hAnsi="Sylfaen"/>
          <w:sz w:val="24"/>
          <w:szCs w:val="24"/>
          <w:vertAlign w:val="subscript"/>
        </w:rPr>
        <w:t>hf</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A</w:t>
      </w:r>
      <w:r w:rsidRPr="00CA27E3">
        <w:rPr>
          <w:rFonts w:ascii="Sylfaen" w:hAnsi="Sylfaen"/>
          <w:sz w:val="24"/>
          <w:szCs w:val="24"/>
          <w:vertAlign w:val="subscript"/>
        </w:rPr>
        <w:t>hf</w:t>
      </w:r>
      <w:r w:rsidRPr="00CA27E3">
        <w:rPr>
          <w:rFonts w:ascii="Sylfaen" w:hAnsi="Sylfaen"/>
          <w:sz w:val="24"/>
          <w:szCs w:val="24"/>
        </w:rPr>
        <w:t xml:space="preserve"> պարամետրերի նշագրերը: Գորգի վրա փորձարկումների համար նշված բանաձ</w:t>
      </w:r>
      <w:r>
        <w:rPr>
          <w:rFonts w:ascii="Sylfaen" w:hAnsi="Sylfaen"/>
          <w:sz w:val="24"/>
          <w:szCs w:val="24"/>
        </w:rPr>
        <w:t>եւ</w:t>
      </w:r>
      <w:r w:rsidRPr="00CA27E3">
        <w:rPr>
          <w:rFonts w:ascii="Sylfaen" w:hAnsi="Sylfaen"/>
          <w:sz w:val="24"/>
          <w:szCs w:val="24"/>
        </w:rPr>
        <w:t>ում պետք է օգտագործվեն «с» վարգիրն ու SE</w:t>
      </w:r>
      <w:r w:rsidRPr="00CA27E3">
        <w:rPr>
          <w:rFonts w:ascii="Sylfaen" w:hAnsi="Sylfaen"/>
          <w:sz w:val="24"/>
          <w:szCs w:val="24"/>
          <w:vertAlign w:val="subscript"/>
        </w:rPr>
        <w:t>c</w:t>
      </w:r>
      <w:r w:rsidRPr="00CA27E3">
        <w:rPr>
          <w:rFonts w:ascii="Sylfaen" w:hAnsi="Sylfaen"/>
          <w:sz w:val="24"/>
          <w:szCs w:val="24"/>
        </w:rPr>
        <w:t>, P</w:t>
      </w:r>
      <w:r w:rsidRPr="00CA27E3">
        <w:rPr>
          <w:rFonts w:ascii="Sylfaen" w:hAnsi="Sylfaen"/>
          <w:sz w:val="24"/>
          <w:szCs w:val="24"/>
          <w:vertAlign w:val="subscript"/>
        </w:rPr>
        <w:t>c</w:t>
      </w:r>
      <w:r w:rsidRPr="00CA27E3">
        <w:rPr>
          <w:rFonts w:ascii="Sylfaen" w:hAnsi="Sylfaen"/>
          <w:sz w:val="24"/>
          <w:szCs w:val="24"/>
        </w:rPr>
        <w:t>, NP</w:t>
      </w:r>
      <w:r w:rsidRPr="00CA27E3">
        <w:rPr>
          <w:rFonts w:ascii="Sylfaen" w:hAnsi="Sylfaen"/>
          <w:sz w:val="24"/>
          <w:szCs w:val="24"/>
          <w:vertAlign w:val="subscript"/>
        </w:rPr>
        <w:t>c</w:t>
      </w:r>
      <w:r w:rsidRPr="00CA27E3">
        <w:rPr>
          <w:rFonts w:ascii="Sylfaen" w:hAnsi="Sylfaen"/>
          <w:sz w:val="24"/>
          <w:szCs w:val="24"/>
        </w:rPr>
        <w:t>, t</w:t>
      </w:r>
      <w:r w:rsidRPr="00CA27E3">
        <w:rPr>
          <w:rFonts w:ascii="Sylfaen" w:hAnsi="Sylfaen"/>
          <w:sz w:val="24"/>
          <w:szCs w:val="24"/>
          <w:vertAlign w:val="subscript"/>
        </w:rPr>
        <w:t>c</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A</w:t>
      </w:r>
      <w:r w:rsidRPr="00CA27E3">
        <w:rPr>
          <w:rFonts w:ascii="Sylfaen" w:hAnsi="Sylfaen"/>
          <w:sz w:val="24"/>
          <w:szCs w:val="24"/>
          <w:vertAlign w:val="subscript"/>
        </w:rPr>
        <w:t>c</w:t>
      </w:r>
      <w:r w:rsidRPr="00CA27E3">
        <w:rPr>
          <w:rFonts w:ascii="Sylfaen" w:hAnsi="Sylfaen"/>
          <w:sz w:val="24"/>
          <w:szCs w:val="24"/>
        </w:rPr>
        <w:t xml:space="preserve"> պարամետրերի նշագրերը:</w:t>
      </w:r>
    </w:p>
    <w:p w14:paraId="2982F54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Գորգերի փոշեկուլներին </w:t>
      </w:r>
      <w:r>
        <w:rPr>
          <w:rFonts w:ascii="Sylfaen" w:hAnsi="Sylfaen"/>
          <w:sz w:val="24"/>
          <w:szCs w:val="24"/>
        </w:rPr>
        <w:t>եւ</w:t>
      </w:r>
      <w:r w:rsidRPr="00CA27E3">
        <w:rPr>
          <w:rFonts w:ascii="Sylfaen" w:hAnsi="Sylfaen"/>
          <w:sz w:val="24"/>
          <w:szCs w:val="24"/>
        </w:rPr>
        <w:t xml:space="preserve"> կոշտ հատակի համար նախատեսված փոշեկուլներին վերաբերող համապատասխան ցուցիչով ակտիվ խոզանակ-գլխադիրի NP միջին համարժեք հզորությունը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(Վտ-ով) (ստորակետից հետո մինչ</w:t>
      </w:r>
      <w:r>
        <w:rPr>
          <w:rFonts w:ascii="Sylfaen" w:hAnsi="Sylfaen"/>
          <w:sz w:val="24"/>
          <w:szCs w:val="24"/>
        </w:rPr>
        <w:t>եւ</w:t>
      </w:r>
      <w:r w:rsidRPr="00CA27E3">
        <w:rPr>
          <w:rFonts w:ascii="Sylfaen" w:hAnsi="Sylfaen"/>
          <w:sz w:val="24"/>
          <w:szCs w:val="24"/>
        </w:rPr>
        <w:t xml:space="preserve"> 2 տասնորդական նիշի ճշգրտությամբ)՝</w:t>
      </w:r>
    </w:p>
    <w:p w14:paraId="2009899B" w14:textId="77777777" w:rsidR="00CA27E3" w:rsidRPr="00CA27E3" w:rsidRDefault="00CA27E3" w:rsidP="00CA27E3">
      <w:pPr>
        <w:pStyle w:val="Bodytext212"/>
        <w:shd w:val="clear" w:color="auto" w:fill="auto"/>
        <w:spacing w:after="160" w:line="360" w:lineRule="auto"/>
        <w:ind w:firstLine="0"/>
        <w:jc w:val="both"/>
        <w:rPr>
          <w:rFonts w:ascii="Sylfaen" w:hAnsi="Sylfaen"/>
          <w:sz w:val="24"/>
          <w:szCs w:val="24"/>
        </w:rPr>
      </w:pPr>
      <m:oMathPara>
        <m:oMath>
          <m:r>
            <w:rPr>
              <w:rFonts w:ascii="Cambria Math" w:hAnsi="Cambria Math"/>
              <w:sz w:val="24"/>
              <w:szCs w:val="24"/>
            </w:rPr>
            <m:t>NP=</m:t>
          </m:r>
          <m:f>
            <m:fPr>
              <m:ctrlPr>
                <w:rPr>
                  <w:rFonts w:ascii="Cambria Math" w:hAnsi="Cambria Math"/>
                  <w:i/>
                  <w:sz w:val="24"/>
                  <w:szCs w:val="24"/>
                </w:rPr>
              </m:ctrlPr>
            </m:fPr>
            <m:num>
              <m:r>
                <w:rPr>
                  <w:rFonts w:ascii="Cambria Math" w:hAnsi="Cambria Math"/>
                  <w:sz w:val="24"/>
                  <w:szCs w:val="24"/>
                </w:rPr>
                <m:t>E</m:t>
              </m:r>
            </m:num>
            <m:den>
              <m:r>
                <w:rPr>
                  <w:rFonts w:ascii="Cambria Math" w:hAnsi="Cambria Math"/>
                  <w:sz w:val="24"/>
                  <w:szCs w:val="24"/>
                </w:rPr>
                <m:t>tbat</m:t>
              </m:r>
            </m:den>
          </m:f>
          <m:r>
            <w:rPr>
              <w:rFonts w:ascii="Cambria Math" w:hAnsi="Cambria Math"/>
              <w:sz w:val="24"/>
              <w:szCs w:val="24"/>
            </w:rPr>
            <m:t xml:space="preserve"> ,</m:t>
          </m:r>
        </m:oMath>
      </m:oMathPara>
    </w:p>
    <w:p w14:paraId="28F0B1BD" w14:textId="77777777" w:rsidR="00CA27E3" w:rsidRPr="00CA27E3" w:rsidRDefault="00CA27E3" w:rsidP="00CA27E3">
      <w:pPr>
        <w:pStyle w:val="Bodytext212"/>
        <w:shd w:val="clear" w:color="auto" w:fill="auto"/>
        <w:spacing w:after="160" w:line="360" w:lineRule="auto"/>
        <w:ind w:firstLine="0"/>
        <w:jc w:val="both"/>
        <w:rPr>
          <w:rFonts w:ascii="Sylfaen" w:hAnsi="Sylfaen"/>
          <w:sz w:val="24"/>
          <w:szCs w:val="24"/>
        </w:rPr>
      </w:pPr>
    </w:p>
    <w:p w14:paraId="34DF5C8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77EC873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E-ն՝ էլեկտրական կուտակիչից էներգիայի սպառումն է, որը հավասար է կուտակիչի լրիվ լիցքավորման սկզբնական վիճակին վերադառնալու համար՝ մաքրման ցիկլից հետո դրա լրալիցքավորման համար պահանջվող էներգիային (Վտժ-ով) (մինչ</w:t>
      </w:r>
      <w:r>
        <w:rPr>
          <w:rFonts w:ascii="Sylfaen" w:hAnsi="Sylfaen"/>
          <w:sz w:val="24"/>
          <w:szCs w:val="24"/>
        </w:rPr>
        <w:t>եւ</w:t>
      </w:r>
      <w:r w:rsidRPr="00CA27E3">
        <w:rPr>
          <w:rFonts w:ascii="Sylfaen" w:hAnsi="Sylfaen"/>
          <w:sz w:val="24"/>
          <w:szCs w:val="24"/>
        </w:rPr>
        <w:t xml:space="preserve"> 3 տասնորդական նիշ կլորացմամբ).</w:t>
      </w:r>
    </w:p>
    <w:p w14:paraId="480C5EB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Tbat-ը՝ մաքրման ցիկլի այն ընդհանուր ժամանակը, որի ընթացքում փոշեկուլի մաքրող ակտիվ խոզանակ-գլխադիրն ակտիվացված է՝ արտադրողի հրահանգին համապատասխան (ժամերով) (մինչ</w:t>
      </w:r>
      <w:r>
        <w:rPr>
          <w:rFonts w:ascii="Sylfaen" w:hAnsi="Sylfaen"/>
          <w:sz w:val="24"/>
          <w:szCs w:val="24"/>
        </w:rPr>
        <w:t>եւ</w:t>
      </w:r>
      <w:r w:rsidRPr="00CA27E3">
        <w:rPr>
          <w:rFonts w:ascii="Sylfaen" w:hAnsi="Sylfaen"/>
          <w:sz w:val="24"/>
          <w:szCs w:val="24"/>
        </w:rPr>
        <w:t xml:space="preserve"> 4 տասնորդական նիշ կլորացմամբ):</w:t>
      </w:r>
    </w:p>
    <w:p w14:paraId="1D995CC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Եթե փոշեկուլն ակտիվ խոզանակ-գլխադիրներով սարքավորված չէ, ապա NP արժեքը հավասար է 0-ի:</w:t>
      </w:r>
    </w:p>
    <w:p w14:paraId="1F892C2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Կոշտ հատակի վրա փորձարկումների համար նշված բանաձ</w:t>
      </w:r>
      <w:r>
        <w:rPr>
          <w:rFonts w:ascii="Sylfaen" w:hAnsi="Sylfaen"/>
          <w:sz w:val="24"/>
          <w:szCs w:val="24"/>
        </w:rPr>
        <w:t>եւ</w:t>
      </w:r>
      <w:r w:rsidRPr="00CA27E3">
        <w:rPr>
          <w:rFonts w:ascii="Sylfaen" w:hAnsi="Sylfaen"/>
          <w:sz w:val="24"/>
          <w:szCs w:val="24"/>
        </w:rPr>
        <w:t xml:space="preserve">ում պետք է օգտագործվեն «hf» ցուցիչը </w:t>
      </w:r>
      <w:r>
        <w:rPr>
          <w:rFonts w:ascii="Sylfaen" w:hAnsi="Sylfaen"/>
          <w:sz w:val="24"/>
          <w:szCs w:val="24"/>
        </w:rPr>
        <w:t>եւ</w:t>
      </w:r>
      <w:r w:rsidRPr="00CA27E3">
        <w:rPr>
          <w:rFonts w:ascii="Sylfaen" w:hAnsi="Sylfaen"/>
          <w:sz w:val="24"/>
          <w:szCs w:val="24"/>
        </w:rPr>
        <w:t xml:space="preserve"> NP</w:t>
      </w:r>
      <w:r w:rsidRPr="00CA27E3">
        <w:rPr>
          <w:rFonts w:ascii="Sylfaen" w:hAnsi="Sylfaen"/>
          <w:sz w:val="24"/>
          <w:szCs w:val="24"/>
          <w:vertAlign w:val="subscript"/>
        </w:rPr>
        <w:t>hf</w:t>
      </w:r>
      <w:r w:rsidRPr="00CA27E3">
        <w:rPr>
          <w:rFonts w:ascii="Sylfaen" w:hAnsi="Sylfaen"/>
          <w:sz w:val="24"/>
          <w:szCs w:val="24"/>
        </w:rPr>
        <w:t>, E</w:t>
      </w:r>
      <w:r w:rsidRPr="00CA27E3">
        <w:rPr>
          <w:rFonts w:ascii="Sylfaen" w:hAnsi="Sylfaen"/>
          <w:sz w:val="24"/>
          <w:szCs w:val="24"/>
          <w:vertAlign w:val="subscript"/>
        </w:rPr>
        <w:t>hf</w:t>
      </w:r>
      <w:r w:rsidRPr="00CA27E3">
        <w:rPr>
          <w:rFonts w:ascii="Sylfaen" w:hAnsi="Sylfaen"/>
          <w:sz w:val="24"/>
          <w:szCs w:val="24"/>
        </w:rPr>
        <w:t>, tbat</w:t>
      </w:r>
      <w:r w:rsidRPr="00CA27E3">
        <w:rPr>
          <w:rFonts w:ascii="Sylfaen" w:hAnsi="Sylfaen"/>
          <w:sz w:val="24"/>
          <w:szCs w:val="24"/>
          <w:vertAlign w:val="subscript"/>
        </w:rPr>
        <w:t>hf</w:t>
      </w:r>
      <w:r w:rsidRPr="00CA27E3">
        <w:rPr>
          <w:rFonts w:ascii="Sylfaen" w:hAnsi="Sylfaen"/>
          <w:sz w:val="24"/>
          <w:szCs w:val="24"/>
        </w:rPr>
        <w:t xml:space="preserve"> պարամետրերի նշագրերը: Գորգի վրա փորձարկումների համար բերված վերոնշյալ բանաձ</w:t>
      </w:r>
      <w:r>
        <w:rPr>
          <w:rFonts w:ascii="Sylfaen" w:hAnsi="Sylfaen"/>
          <w:sz w:val="24"/>
          <w:szCs w:val="24"/>
        </w:rPr>
        <w:t>եւ</w:t>
      </w:r>
      <w:r w:rsidRPr="00CA27E3">
        <w:rPr>
          <w:rFonts w:ascii="Sylfaen" w:hAnsi="Sylfaen"/>
          <w:sz w:val="24"/>
          <w:szCs w:val="24"/>
        </w:rPr>
        <w:t xml:space="preserve">ում պետք է օգտագործվեն «с» ածանցը </w:t>
      </w:r>
      <w:r>
        <w:rPr>
          <w:rFonts w:ascii="Sylfaen" w:hAnsi="Sylfaen"/>
          <w:sz w:val="24"/>
          <w:szCs w:val="24"/>
        </w:rPr>
        <w:t>եւ</w:t>
      </w:r>
      <w:r w:rsidRPr="00CA27E3">
        <w:rPr>
          <w:rFonts w:ascii="Sylfaen" w:hAnsi="Sylfaen"/>
          <w:sz w:val="24"/>
          <w:szCs w:val="24"/>
        </w:rPr>
        <w:t xml:space="preserve"> NP</w:t>
      </w:r>
      <w:r w:rsidRPr="00CA27E3">
        <w:rPr>
          <w:rFonts w:ascii="Sylfaen" w:hAnsi="Sylfaen"/>
          <w:sz w:val="24"/>
          <w:szCs w:val="24"/>
          <w:vertAlign w:val="subscript"/>
        </w:rPr>
        <w:t>c</w:t>
      </w:r>
      <w:r w:rsidRPr="00CA27E3">
        <w:rPr>
          <w:rFonts w:ascii="Sylfaen" w:hAnsi="Sylfaen"/>
          <w:sz w:val="24"/>
          <w:szCs w:val="24"/>
        </w:rPr>
        <w:t>, E</w:t>
      </w:r>
      <w:r w:rsidRPr="00CA27E3">
        <w:rPr>
          <w:rFonts w:ascii="Sylfaen" w:hAnsi="Sylfaen"/>
          <w:sz w:val="24"/>
          <w:szCs w:val="24"/>
          <w:vertAlign w:val="subscript"/>
        </w:rPr>
        <w:t>c</w:t>
      </w:r>
      <w:r w:rsidRPr="00CA27E3">
        <w:rPr>
          <w:rFonts w:ascii="Sylfaen" w:hAnsi="Sylfaen"/>
          <w:sz w:val="24"/>
          <w:szCs w:val="24"/>
        </w:rPr>
        <w:t>, tbat</w:t>
      </w:r>
      <w:r w:rsidRPr="00CA27E3">
        <w:rPr>
          <w:rFonts w:ascii="Sylfaen" w:hAnsi="Sylfaen"/>
          <w:sz w:val="24"/>
          <w:szCs w:val="24"/>
          <w:vertAlign w:val="subscript"/>
        </w:rPr>
        <w:t>c</w:t>
      </w:r>
      <w:r w:rsidRPr="00CA27E3">
        <w:rPr>
          <w:rFonts w:ascii="Sylfaen" w:hAnsi="Sylfaen"/>
          <w:sz w:val="24"/>
          <w:szCs w:val="24"/>
        </w:rPr>
        <w:t xml:space="preserve"> պարամետրերի նշագրերը:</w:t>
      </w:r>
    </w:p>
    <w:p w14:paraId="6C6F1F7E"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6.</w:t>
      </w:r>
      <w:r w:rsidR="00647F3B" w:rsidRPr="00647F3B">
        <w:rPr>
          <w:rFonts w:ascii="Sylfaen" w:hAnsi="Sylfaen"/>
          <w:sz w:val="24"/>
          <w:szCs w:val="24"/>
        </w:rPr>
        <w:tab/>
      </w:r>
      <w:r w:rsidRPr="00CA27E3">
        <w:rPr>
          <w:rFonts w:ascii="Sylfaen" w:hAnsi="Sylfaen"/>
          <w:sz w:val="24"/>
          <w:szCs w:val="24"/>
        </w:rPr>
        <w:t>Կոշտ հատակի վրա dpu</w:t>
      </w:r>
      <w:r w:rsidRPr="00CA27E3">
        <w:rPr>
          <w:rFonts w:ascii="Sylfaen" w:hAnsi="Sylfaen"/>
          <w:sz w:val="24"/>
          <w:szCs w:val="24"/>
          <w:vertAlign w:val="subscript"/>
        </w:rPr>
        <w:t>hf</w:t>
      </w:r>
      <w:r w:rsidRPr="00CA27E3">
        <w:rPr>
          <w:rFonts w:ascii="Sylfaen" w:hAnsi="Sylfaen"/>
          <w:sz w:val="24"/>
          <w:szCs w:val="24"/>
        </w:rPr>
        <w:t xml:space="preserve"> փոշու հավաքման արդյունավետությունը պետք է որոշվի որպես հատակի վրա փորձարկման ժամանակ մաքրման 2 ցիկլերի արդյունքներով միջին արժեք:</w:t>
      </w:r>
    </w:p>
    <w:p w14:paraId="7E180A5F"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7.</w:t>
      </w:r>
      <w:r w:rsidR="00647F3B" w:rsidRPr="00647F3B">
        <w:rPr>
          <w:rFonts w:ascii="Sylfaen" w:hAnsi="Sylfaen"/>
          <w:sz w:val="24"/>
          <w:szCs w:val="24"/>
        </w:rPr>
        <w:tab/>
      </w:r>
      <w:r w:rsidRPr="00CA27E3">
        <w:rPr>
          <w:rFonts w:ascii="Sylfaen" w:hAnsi="Sylfaen"/>
          <w:sz w:val="24"/>
          <w:szCs w:val="24"/>
        </w:rPr>
        <w:t>Գորգի վրա dpu</w:t>
      </w:r>
      <w:r w:rsidRPr="00CA27E3">
        <w:rPr>
          <w:rFonts w:ascii="Sylfaen" w:hAnsi="Sylfaen"/>
          <w:sz w:val="24"/>
          <w:szCs w:val="24"/>
          <w:vertAlign w:val="subscript"/>
        </w:rPr>
        <w:t>c</w:t>
      </w:r>
      <w:r w:rsidRPr="00CA27E3">
        <w:rPr>
          <w:rFonts w:ascii="Sylfaen" w:hAnsi="Sylfaen"/>
          <w:sz w:val="24"/>
          <w:szCs w:val="24"/>
        </w:rPr>
        <w:t xml:space="preserve"> փոշու հավաքման արդյունավետությունը պետք է որոշվի որպես գորգի վրա փորձարկման ժամանակ մաքրման 2 ցիկլերի արդյունքներով միջին արժեք: Փորձարկման գորգի սկզբնական հատկություններից շեղումների ճշգրտման համար dpu</w:t>
      </w:r>
      <w:r w:rsidRPr="00CA27E3">
        <w:rPr>
          <w:rFonts w:ascii="Sylfaen" w:hAnsi="Sylfaen"/>
          <w:sz w:val="24"/>
          <w:szCs w:val="24"/>
          <w:vertAlign w:val="subscript"/>
        </w:rPr>
        <w:t>c</w:t>
      </w:r>
      <w:r w:rsidRPr="00CA27E3">
        <w:rPr>
          <w:rFonts w:ascii="Sylfaen" w:hAnsi="Sylfaen"/>
          <w:sz w:val="24"/>
          <w:szCs w:val="24"/>
        </w:rPr>
        <w:t>-ն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7B52EA66" w14:textId="77777777" w:rsidR="00CA27E3" w:rsidRPr="00CA27E3" w:rsidRDefault="00000000" w:rsidP="00CA27E3">
      <w:pPr>
        <w:pStyle w:val="Bodytext212"/>
        <w:shd w:val="clear" w:color="auto" w:fill="auto"/>
        <w:spacing w:after="160" w:line="360" w:lineRule="auto"/>
        <w:ind w:firstLine="567"/>
        <w:jc w:val="center"/>
        <w:rPr>
          <w:rFonts w:ascii="Sylfaen" w:hAnsi="Sylfaen"/>
          <w:sz w:val="24"/>
          <w:szCs w:val="24"/>
        </w:rPr>
      </w:pPr>
      <m:oMath>
        <m:sSub>
          <m:sSubPr>
            <m:ctrlPr>
              <w:rPr>
                <w:rFonts w:ascii="Cambria Math" w:hAnsi="Cambria Math"/>
                <w:i/>
                <w:sz w:val="24"/>
                <w:szCs w:val="24"/>
              </w:rPr>
            </m:ctrlPr>
          </m:sSubPr>
          <m:e>
            <m:r>
              <w:rPr>
                <w:rFonts w:ascii="Cambria Math" w:hAnsi="Cambria Math"/>
                <w:sz w:val="24"/>
                <w:szCs w:val="24"/>
              </w:rPr>
              <m:t>dpu</m:t>
            </m:r>
          </m:e>
          <m:sub>
            <m:r>
              <w:rPr>
                <w:rFonts w:ascii="Cambria Math" w:hAnsi="Cambria Math"/>
                <w:sz w:val="24"/>
                <w:szCs w:val="24"/>
              </w:rPr>
              <m:t>c</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dpu</m:t>
            </m:r>
          </m:e>
          <m:sub>
            <m:r>
              <w:rPr>
                <w:rFonts w:ascii="Cambria Math" w:hAnsi="Cambria Math"/>
                <w:sz w:val="24"/>
                <w:szCs w:val="24"/>
              </w:rPr>
              <m:t>m</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dpu</m:t>
                </m:r>
              </m:e>
              <m:sub>
                <m:r>
                  <w:rPr>
                    <w:rFonts w:ascii="Cambria Math" w:hAnsi="Cambria Math"/>
                    <w:sz w:val="24"/>
                    <w:szCs w:val="24"/>
                  </w:rPr>
                  <m:t>cal</m:t>
                </m:r>
              </m:sub>
            </m:sSub>
          </m:num>
          <m:den>
            <m:sSub>
              <m:sSubPr>
                <m:ctrlPr>
                  <w:rPr>
                    <w:rFonts w:ascii="Cambria Math" w:hAnsi="Cambria Math"/>
                    <w:i/>
                    <w:sz w:val="24"/>
                    <w:szCs w:val="24"/>
                  </w:rPr>
                </m:ctrlPr>
              </m:sSubPr>
              <m:e>
                <m:r>
                  <w:rPr>
                    <w:rFonts w:ascii="Cambria Math" w:hAnsi="Cambria Math"/>
                    <w:sz w:val="24"/>
                    <w:szCs w:val="24"/>
                  </w:rPr>
                  <m:t>dpu</m:t>
                </m:r>
              </m:e>
              <m:sub>
                <m:r>
                  <w:rPr>
                    <w:rFonts w:ascii="Cambria Math" w:hAnsi="Cambria Math"/>
                    <w:sz w:val="24"/>
                    <w:szCs w:val="24"/>
                  </w:rPr>
                  <m:t>ref</m:t>
                </m:r>
              </m:sub>
            </m:sSub>
          </m:den>
        </m:f>
        <m:r>
          <w:rPr>
            <w:rFonts w:ascii="Cambria Math" w:hAnsi="Cambria Math"/>
            <w:sz w:val="24"/>
            <w:szCs w:val="24"/>
          </w:rPr>
          <m:t>)</m:t>
        </m:r>
      </m:oMath>
      <w:r w:rsidR="00CA27E3" w:rsidRPr="00CA27E3">
        <w:rPr>
          <w:rFonts w:ascii="Sylfaen" w:hAnsi="Sylfaen"/>
          <w:sz w:val="24"/>
          <w:szCs w:val="24"/>
        </w:rPr>
        <w:t>,</w:t>
      </w:r>
    </w:p>
    <w:p w14:paraId="36F7500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p>
    <w:p w14:paraId="48C6EC7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1269B69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dpu</w:t>
      </w:r>
      <w:r w:rsidRPr="00CA27E3">
        <w:rPr>
          <w:rFonts w:ascii="Sylfaen" w:hAnsi="Sylfaen"/>
          <w:sz w:val="24"/>
          <w:szCs w:val="24"/>
          <w:vertAlign w:val="subscript"/>
        </w:rPr>
        <w:t>m-</w:t>
      </w:r>
      <w:r w:rsidRPr="00CA27E3">
        <w:rPr>
          <w:rFonts w:ascii="Sylfaen" w:hAnsi="Sylfaen"/>
          <w:sz w:val="24"/>
          <w:szCs w:val="24"/>
        </w:rPr>
        <w:t>ը՝ փոշեկուլով փոշու հավաքման չափված արդյունավետությունն է.</w:t>
      </w:r>
    </w:p>
    <w:p w14:paraId="7C8DBAC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dpu</w:t>
      </w:r>
      <w:r w:rsidRPr="00CA27E3">
        <w:rPr>
          <w:rFonts w:ascii="Sylfaen" w:hAnsi="Sylfaen"/>
          <w:sz w:val="24"/>
          <w:szCs w:val="24"/>
          <w:vertAlign w:val="subscript"/>
        </w:rPr>
        <w:t>cal-</w:t>
      </w:r>
      <w:r w:rsidRPr="00CA27E3">
        <w:rPr>
          <w:rFonts w:ascii="Sylfaen" w:hAnsi="Sylfaen"/>
          <w:sz w:val="24"/>
          <w:szCs w:val="24"/>
        </w:rPr>
        <w:t>ը՝ փոշեկուլի չափանմուշային համակարգով փոշու հավաքման արդյունավետությունն է՝ չափված փորձարկման գորգը սկզբնական վիճակում գտնվելու ժամանակ.</w:t>
      </w:r>
    </w:p>
    <w:p w14:paraId="6442756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dpu</w:t>
      </w:r>
      <w:r w:rsidRPr="00CA27E3">
        <w:rPr>
          <w:rFonts w:ascii="Sylfaen" w:hAnsi="Sylfaen"/>
          <w:sz w:val="24"/>
          <w:szCs w:val="24"/>
          <w:vertAlign w:val="subscript"/>
        </w:rPr>
        <w:t>ref-</w:t>
      </w:r>
      <w:r w:rsidRPr="00CA27E3">
        <w:rPr>
          <w:rFonts w:ascii="Sylfaen" w:hAnsi="Sylfaen"/>
          <w:sz w:val="24"/>
          <w:szCs w:val="24"/>
        </w:rPr>
        <w:t>ը՝ փոշեկուլի չափանմուշային համակարգով փոշու հավաքման չափված արդյունավետությունն է:</w:t>
      </w:r>
    </w:p>
    <w:p w14:paraId="649EAA7C"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lastRenderedPageBreak/>
        <w:t>8.</w:t>
      </w:r>
      <w:r w:rsidR="00647F3B" w:rsidRPr="00647F3B">
        <w:rPr>
          <w:rFonts w:ascii="Sylfaen" w:hAnsi="Sylfaen"/>
          <w:sz w:val="24"/>
          <w:szCs w:val="24"/>
        </w:rPr>
        <w:tab/>
      </w:r>
      <w:r w:rsidRPr="00CA27E3">
        <w:rPr>
          <w:rFonts w:ascii="Sylfaen" w:hAnsi="Sylfaen"/>
          <w:sz w:val="24"/>
          <w:szCs w:val="24"/>
        </w:rPr>
        <w:t>Փոշու երկրորդային արտանետումը որոշվում է փոշեկուլի՝ առավելագույն օդային հոսքի ռեժիմով աշխատանքի ժամանակ:</w:t>
      </w:r>
    </w:p>
    <w:p w14:paraId="35FF4E7C"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9.</w:t>
      </w:r>
      <w:r w:rsidR="00647F3B" w:rsidRPr="00647F3B">
        <w:rPr>
          <w:rFonts w:ascii="Sylfaen" w:hAnsi="Sylfaen"/>
          <w:sz w:val="24"/>
          <w:szCs w:val="24"/>
        </w:rPr>
        <w:tab/>
      </w:r>
      <w:r w:rsidRPr="00CA27E3">
        <w:rPr>
          <w:rFonts w:ascii="Sylfaen" w:hAnsi="Sylfaen"/>
          <w:sz w:val="24"/>
          <w:szCs w:val="24"/>
        </w:rPr>
        <w:t>Ձայնային հզորության մակարդակը որոշվում է գորգի վրա աշխատանքի ժամանակ:</w:t>
      </w:r>
    </w:p>
    <w:p w14:paraId="1E72B30E"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10.</w:t>
      </w:r>
      <w:r w:rsidR="00647F3B" w:rsidRPr="00647F3B">
        <w:rPr>
          <w:rFonts w:ascii="Sylfaen" w:hAnsi="Sylfaen"/>
          <w:sz w:val="24"/>
          <w:szCs w:val="24"/>
        </w:rPr>
        <w:tab/>
      </w:r>
      <w:r w:rsidRPr="00CA27E3">
        <w:rPr>
          <w:rFonts w:ascii="Sylfaen" w:hAnsi="Sylfaen"/>
          <w:sz w:val="24"/>
          <w:szCs w:val="24"/>
        </w:rPr>
        <w:t>Ճկափողը փորձարկելիս (չափելիս) 2,5 կգ կշռով բեռի օգնությամբ ճիգի գործադրմամբ այն ենթարկվում է ծռումների:</w:t>
      </w:r>
    </w:p>
    <w:p w14:paraId="314BE8EB"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11.</w:t>
      </w:r>
      <w:r w:rsidR="00647F3B" w:rsidRPr="00647F3B">
        <w:rPr>
          <w:rFonts w:ascii="Sylfaen" w:hAnsi="Sylfaen"/>
          <w:sz w:val="24"/>
          <w:szCs w:val="24"/>
        </w:rPr>
        <w:tab/>
      </w:r>
      <w:r w:rsidRPr="00CA27E3">
        <w:rPr>
          <w:rFonts w:ascii="Sylfaen" w:hAnsi="Sylfaen"/>
          <w:sz w:val="24"/>
          <w:szCs w:val="24"/>
        </w:rPr>
        <w:t>Էլեկտրաշարժիչի ռեսուրսը փորձարկելիս (չափելիս) փոշեկուլը պետք է աշխատի կիսով չափ լցված փոշեհավաքարանով՝ աշխատանքի յուրաքանչյուր 14</w:t>
      </w:r>
      <w:r w:rsidR="00E5115A" w:rsidRPr="00E5115A">
        <w:rPr>
          <w:rFonts w:ascii="Sylfaen" w:hAnsi="Sylfaen"/>
          <w:sz w:val="24"/>
          <w:szCs w:val="24"/>
        </w:rPr>
        <w:t> </w:t>
      </w:r>
      <w:r w:rsidRPr="00CA27E3">
        <w:rPr>
          <w:rFonts w:ascii="Sylfaen" w:hAnsi="Sylfaen"/>
          <w:sz w:val="24"/>
          <w:szCs w:val="24"/>
        </w:rPr>
        <w:t xml:space="preserve">րոպե 30 վայրկյանը մեկ 30 վայրկյանով անջատմամբ անցավազք կատարելու դեպքում: Փոշեհավաքարանը </w:t>
      </w:r>
      <w:r>
        <w:rPr>
          <w:rFonts w:ascii="Sylfaen" w:hAnsi="Sylfaen"/>
          <w:sz w:val="24"/>
          <w:szCs w:val="24"/>
        </w:rPr>
        <w:t>եւ</w:t>
      </w:r>
      <w:r w:rsidRPr="00CA27E3">
        <w:rPr>
          <w:rFonts w:ascii="Sylfaen" w:hAnsi="Sylfaen"/>
          <w:sz w:val="24"/>
          <w:szCs w:val="24"/>
        </w:rPr>
        <w:t xml:space="preserve"> զտիչները պետք է փոխարինվեն համապատասխան ժամանակահատվածներ անց: Փորձարկումը կարող է կանգնեցվել աշխատանքի 500 ժամից հետո </w:t>
      </w:r>
      <w:r>
        <w:rPr>
          <w:rFonts w:ascii="Sylfaen" w:hAnsi="Sylfaen"/>
          <w:sz w:val="24"/>
          <w:szCs w:val="24"/>
        </w:rPr>
        <w:t>եւ</w:t>
      </w:r>
      <w:r w:rsidRPr="00CA27E3">
        <w:rPr>
          <w:rFonts w:ascii="Sylfaen" w:hAnsi="Sylfaen"/>
          <w:sz w:val="24"/>
          <w:szCs w:val="24"/>
        </w:rPr>
        <w:t xml:space="preserve"> պետք է դադարեցվի աշխատանքի 600 ժամից հետո: Էլեկտրաշարժիչի աշխատունակությունը վերահսկվում է յուրաքանչյուր աշխատանքային միջակայքի ընթացքում օդային հոսքի մեծությունները, նոսրացման աստիճանը </w:t>
      </w:r>
      <w:r>
        <w:rPr>
          <w:rFonts w:ascii="Sylfaen" w:hAnsi="Sylfaen"/>
          <w:sz w:val="24"/>
          <w:szCs w:val="24"/>
        </w:rPr>
        <w:t>եւ</w:t>
      </w:r>
      <w:r w:rsidRPr="00CA27E3">
        <w:rPr>
          <w:rFonts w:ascii="Sylfaen" w:hAnsi="Sylfaen"/>
          <w:sz w:val="24"/>
          <w:szCs w:val="24"/>
        </w:rPr>
        <w:t xml:space="preserve"> սպառվող հզորությունը փոփոխելու միջոցով:</w:t>
      </w:r>
    </w:p>
    <w:p w14:paraId="48334820"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12.</w:t>
      </w:r>
      <w:r w:rsidR="00647F3B" w:rsidRPr="00647F3B">
        <w:rPr>
          <w:rFonts w:ascii="Sylfaen" w:hAnsi="Sylfaen"/>
          <w:sz w:val="24"/>
          <w:szCs w:val="24"/>
        </w:rPr>
        <w:tab/>
      </w:r>
      <w:r w:rsidRPr="00CA27E3">
        <w:rPr>
          <w:rFonts w:ascii="Sylfaen" w:hAnsi="Sylfaen"/>
          <w:sz w:val="24"/>
          <w:szCs w:val="24"/>
        </w:rPr>
        <w:t>Հիբրիդային փոշեկուլների համար բոլոր փորձարկումները (չափումները) իրականացվում են փոշեկուլի՝ էլեկտրական ցանցից սնուցման դեպքում՝ բացառությամբ էլեկտրական կուտակիչից սնվող ակտիվ խոզանակ-գլխադիրի (առկայության դեպքում):</w:t>
      </w:r>
    </w:p>
    <w:p w14:paraId="7262DBC6"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13.</w:t>
      </w:r>
      <w:r w:rsidR="00647F3B" w:rsidRPr="00647F3B">
        <w:rPr>
          <w:rFonts w:ascii="Sylfaen" w:hAnsi="Sylfaen"/>
          <w:sz w:val="24"/>
          <w:szCs w:val="24"/>
        </w:rPr>
        <w:tab/>
      </w:r>
      <w:r w:rsidRPr="00CA27E3">
        <w:rPr>
          <w:rFonts w:ascii="Sylfaen" w:hAnsi="Sylfaen"/>
          <w:sz w:val="24"/>
          <w:szCs w:val="24"/>
        </w:rPr>
        <w:t>Փոշեկուլները պետք է համապատասխանեն հետ</w:t>
      </w:r>
      <w:r>
        <w:rPr>
          <w:rFonts w:ascii="Sylfaen" w:hAnsi="Sylfaen"/>
          <w:sz w:val="24"/>
          <w:szCs w:val="24"/>
        </w:rPr>
        <w:t>եւ</w:t>
      </w:r>
      <w:r w:rsidRPr="00CA27E3">
        <w:rPr>
          <w:rFonts w:ascii="Sylfaen" w:hAnsi="Sylfaen"/>
          <w:sz w:val="24"/>
          <w:szCs w:val="24"/>
        </w:rPr>
        <w:t>յալ պահանջներին՝</w:t>
      </w:r>
    </w:p>
    <w:p w14:paraId="55962733"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647F3B" w:rsidRPr="00BF7FB9">
        <w:rPr>
          <w:rFonts w:ascii="Sylfaen" w:hAnsi="Sylfaen"/>
          <w:sz w:val="24"/>
          <w:szCs w:val="24"/>
        </w:rPr>
        <w:tab/>
      </w:r>
      <w:r w:rsidRPr="00CA27E3">
        <w:rPr>
          <w:rFonts w:ascii="Sylfaen" w:hAnsi="Sylfaen"/>
          <w:sz w:val="24"/>
          <w:szCs w:val="24"/>
        </w:rPr>
        <w:t>2020 թվականի սեպտեմբերի 1-ից՝</w:t>
      </w:r>
    </w:p>
    <w:p w14:paraId="7C6ABB7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ЕА էներգիայի տարեկան սպառումը պետք է լինի 62,0 կՎտժ/տարուց ոչ ավելի.</w:t>
      </w:r>
    </w:p>
    <w:p w14:paraId="25A7ED86" w14:textId="77777777" w:rsidR="00E5115A"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անվանական սպառվող հզորությունը պետք է լինի 1600 Վտ-ից ոչ ավելի.</w:t>
      </w:r>
    </w:p>
    <w:p w14:paraId="36500738" w14:textId="77777777" w:rsidR="00E5115A" w:rsidRDefault="00E5115A">
      <w:pPr>
        <w:rPr>
          <w:rFonts w:ascii="Sylfaen" w:eastAsia="Times New Roman" w:hAnsi="Sylfaen" w:cs="Times New Roman"/>
        </w:rPr>
      </w:pPr>
      <w:r>
        <w:rPr>
          <w:rFonts w:ascii="Sylfaen" w:hAnsi="Sylfaen"/>
        </w:rPr>
        <w:br w:type="page"/>
      </w:r>
    </w:p>
    <w:p w14:paraId="3731CB8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E5115A">
        <w:rPr>
          <w:rFonts w:ascii="Sylfaen" w:hAnsi="Sylfaen"/>
          <w:spacing w:val="-6"/>
          <w:sz w:val="24"/>
          <w:szCs w:val="24"/>
        </w:rPr>
        <w:lastRenderedPageBreak/>
        <w:t>գորգի վրա dpu</w:t>
      </w:r>
      <w:r w:rsidRPr="00E5115A">
        <w:rPr>
          <w:rFonts w:ascii="Sylfaen" w:hAnsi="Sylfaen"/>
          <w:spacing w:val="-6"/>
          <w:sz w:val="24"/>
          <w:szCs w:val="24"/>
          <w:vertAlign w:val="subscript"/>
        </w:rPr>
        <w:t>c</w:t>
      </w:r>
      <w:r w:rsidRPr="00E5115A">
        <w:rPr>
          <w:rFonts w:ascii="Sylfaen" w:hAnsi="Sylfaen"/>
          <w:spacing w:val="-6"/>
          <w:sz w:val="24"/>
          <w:szCs w:val="24"/>
        </w:rPr>
        <w:t xml:space="preserve"> փոշու հավաքման արդյունավետությունը պետք է լինի 0,70-ից ոչ պակաս</w:t>
      </w:r>
      <w:r w:rsidRPr="00CA27E3">
        <w:rPr>
          <w:rFonts w:ascii="Sylfaen" w:hAnsi="Sylfaen"/>
          <w:sz w:val="24"/>
          <w:szCs w:val="24"/>
        </w:rPr>
        <w:t xml:space="preserve"> (տվյալ պահանջը չի տարածվում կոշտ հատակի համար նախատեսված փոշեկուլների վրա).</w:t>
      </w:r>
    </w:p>
    <w:p w14:paraId="0C58FDB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կոշտ հատակի վրա dpu</w:t>
      </w:r>
      <w:r w:rsidRPr="00CA27E3">
        <w:rPr>
          <w:rFonts w:ascii="Sylfaen" w:hAnsi="Sylfaen"/>
          <w:sz w:val="24"/>
          <w:szCs w:val="24"/>
          <w:vertAlign w:val="subscript"/>
        </w:rPr>
        <w:t>hf</w:t>
      </w:r>
      <w:r w:rsidRPr="00CA27E3">
        <w:rPr>
          <w:rFonts w:ascii="Sylfaen" w:hAnsi="Sylfaen"/>
          <w:sz w:val="24"/>
          <w:szCs w:val="24"/>
        </w:rPr>
        <w:t xml:space="preserve"> փոշու հավաքման արդյունավետությունը պետք է լինի 0,95-ից ոչ պակաս (պահանջը չի տարածվում գորգի համար նախատեսված փոշեկուլների վրա):</w:t>
      </w:r>
    </w:p>
    <w:p w14:paraId="4D0B086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Սույն ենթակետով սահմանված պահանջները չեն տարածվում ջրային զտիչով փոշեկուլների վրա.</w:t>
      </w:r>
    </w:p>
    <w:p w14:paraId="3B4D97CE"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647F3B" w:rsidRPr="00BF7FB9">
        <w:rPr>
          <w:rFonts w:ascii="Sylfaen" w:hAnsi="Sylfaen"/>
          <w:sz w:val="24"/>
          <w:szCs w:val="24"/>
        </w:rPr>
        <w:tab/>
      </w:r>
      <w:r w:rsidRPr="00CA27E3">
        <w:rPr>
          <w:rFonts w:ascii="Sylfaen" w:hAnsi="Sylfaen"/>
          <w:sz w:val="24"/>
          <w:szCs w:val="24"/>
        </w:rPr>
        <w:t>2022 թվականի սեպտեմբերի 1-ից՝</w:t>
      </w:r>
    </w:p>
    <w:p w14:paraId="2AC58B8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ЕА էներգիայի տարեկան սպառումը պետք է լինի առնվազն 43,0</w:t>
      </w:r>
      <w:r w:rsidR="00E5115A" w:rsidRPr="00E5115A">
        <w:rPr>
          <w:rFonts w:ascii="Sylfaen" w:hAnsi="Sylfaen"/>
          <w:sz w:val="24"/>
          <w:szCs w:val="24"/>
        </w:rPr>
        <w:t> </w:t>
      </w:r>
      <w:r w:rsidRPr="00CA27E3">
        <w:rPr>
          <w:rFonts w:ascii="Sylfaen" w:hAnsi="Sylfaen"/>
          <w:sz w:val="24"/>
          <w:szCs w:val="24"/>
        </w:rPr>
        <w:t>կՎտժ/տարուց ոչ ավելի.</w:t>
      </w:r>
    </w:p>
    <w:p w14:paraId="7785D39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անվանական սպառվող հզորությունը պետք է լինի 900 Վտ-ից ոչ ավելի.</w:t>
      </w:r>
    </w:p>
    <w:p w14:paraId="6414229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E5115A">
        <w:rPr>
          <w:rFonts w:ascii="Sylfaen" w:hAnsi="Sylfaen"/>
          <w:spacing w:val="-6"/>
          <w:sz w:val="24"/>
          <w:szCs w:val="24"/>
        </w:rPr>
        <w:t>գորգի վրա dpu</w:t>
      </w:r>
      <w:r w:rsidRPr="00E5115A">
        <w:rPr>
          <w:rFonts w:ascii="Sylfaen" w:hAnsi="Sylfaen"/>
          <w:spacing w:val="-6"/>
          <w:sz w:val="24"/>
          <w:szCs w:val="24"/>
          <w:vertAlign w:val="subscript"/>
        </w:rPr>
        <w:t>c</w:t>
      </w:r>
      <w:r w:rsidRPr="00E5115A">
        <w:rPr>
          <w:rFonts w:ascii="Sylfaen" w:hAnsi="Sylfaen"/>
          <w:spacing w:val="-6"/>
          <w:sz w:val="24"/>
          <w:szCs w:val="24"/>
        </w:rPr>
        <w:t xml:space="preserve"> փոշու հավաքման արդյունավետությունը պետք է լինի 0,75-ից ոչ</w:t>
      </w:r>
      <w:r w:rsidR="00E5115A" w:rsidRPr="00E5115A">
        <w:rPr>
          <w:rFonts w:ascii="Sylfaen" w:hAnsi="Sylfaen"/>
          <w:spacing w:val="-6"/>
          <w:sz w:val="24"/>
          <w:szCs w:val="24"/>
        </w:rPr>
        <w:t> </w:t>
      </w:r>
      <w:r w:rsidRPr="00E5115A">
        <w:rPr>
          <w:rFonts w:ascii="Sylfaen" w:hAnsi="Sylfaen"/>
          <w:spacing w:val="-6"/>
          <w:sz w:val="24"/>
          <w:szCs w:val="24"/>
        </w:rPr>
        <w:t>պակաս</w:t>
      </w:r>
      <w:r w:rsidRPr="00CA27E3">
        <w:rPr>
          <w:rFonts w:ascii="Sylfaen" w:hAnsi="Sylfaen"/>
          <w:sz w:val="24"/>
          <w:szCs w:val="24"/>
        </w:rPr>
        <w:t xml:space="preserve"> (պահանջը չի տարածվում կոշտ հատակի համար նախատեսված փոշեկուլների վրա).</w:t>
      </w:r>
    </w:p>
    <w:p w14:paraId="73811FE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կոշտ հատակի վրա dpu</w:t>
      </w:r>
      <w:r w:rsidRPr="00CA27E3">
        <w:rPr>
          <w:rFonts w:ascii="Sylfaen" w:hAnsi="Sylfaen"/>
          <w:sz w:val="24"/>
          <w:szCs w:val="24"/>
          <w:vertAlign w:val="subscript"/>
        </w:rPr>
        <w:t>hf</w:t>
      </w:r>
      <w:r w:rsidRPr="00CA27E3">
        <w:rPr>
          <w:rFonts w:ascii="Sylfaen" w:hAnsi="Sylfaen"/>
          <w:sz w:val="24"/>
          <w:szCs w:val="24"/>
        </w:rPr>
        <w:t xml:space="preserve"> փոշու հավաքման արդյունավետությունը պետք է լինի 0,98-ից ոչ պակաս (պահանջը չի տարածվում գորգի համար նախատեսված փոշեկուլների վրա).</w:t>
      </w:r>
    </w:p>
    <w:p w14:paraId="3BB0C6B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փոշու երկրորդային արտանետումը պետք է լինի 1,00 %-ից ոչ ավելի.</w:t>
      </w:r>
    </w:p>
    <w:p w14:paraId="07C43B8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աղմուկի մակարդակը չպետք է գերազանցի 80 դԲ(Ա).</w:t>
      </w:r>
    </w:p>
    <w:p w14:paraId="0E2BF30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ճկափողը (առկայության դեպքում) 40 000 ծռումներից հետո պետք է շահագործման համար պիտանի մնա.</w:t>
      </w:r>
    </w:p>
    <w:p w14:paraId="4717E0C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էլեկտրաշարժիչի ռեսուրսը պետք է լինի 500 ժամից ոչ պակաս:</w:t>
      </w:r>
    </w:p>
    <w:p w14:paraId="7A1664AA" w14:textId="77777777" w:rsidR="00CA27E3" w:rsidRPr="00CA27E3" w:rsidRDefault="00CA27E3" w:rsidP="00E5115A">
      <w:pPr>
        <w:pStyle w:val="Bodytext212"/>
        <w:shd w:val="clear" w:color="auto" w:fill="auto"/>
        <w:tabs>
          <w:tab w:val="left" w:pos="1134"/>
          <w:tab w:val="left" w:pos="7655"/>
          <w:tab w:val="left" w:pos="8647"/>
        </w:tabs>
        <w:spacing w:after="160" w:line="348" w:lineRule="auto"/>
        <w:ind w:firstLine="567"/>
        <w:jc w:val="both"/>
        <w:rPr>
          <w:rFonts w:ascii="Sylfaen" w:hAnsi="Sylfaen"/>
          <w:sz w:val="24"/>
          <w:szCs w:val="24"/>
        </w:rPr>
      </w:pPr>
      <w:r w:rsidRPr="00CA27E3">
        <w:rPr>
          <w:rFonts w:ascii="Sylfaen" w:hAnsi="Sylfaen"/>
          <w:sz w:val="24"/>
          <w:szCs w:val="24"/>
        </w:rPr>
        <w:t>14.</w:t>
      </w:r>
      <w:r w:rsidR="00647F3B" w:rsidRPr="00647F3B">
        <w:rPr>
          <w:rFonts w:ascii="Sylfaen" w:hAnsi="Sylfaen"/>
          <w:sz w:val="24"/>
          <w:szCs w:val="24"/>
        </w:rPr>
        <w:tab/>
      </w:r>
      <w:r w:rsidRPr="00CA27E3">
        <w:rPr>
          <w:rFonts w:ascii="Sylfaen" w:hAnsi="Sylfaen"/>
          <w:sz w:val="24"/>
          <w:szCs w:val="24"/>
        </w:rPr>
        <w:t xml:space="preserve">Փոշեկուլներին կցվող՝ «Էներգասպառող սարքվածքների էներգետիկ արդյունավետությանը ներկայացվող պահանջների մասին» Եվրասիական </w:t>
      </w:r>
      <w:r w:rsidRPr="00CA27E3">
        <w:rPr>
          <w:rFonts w:ascii="Sylfaen" w:hAnsi="Sylfaen"/>
          <w:sz w:val="24"/>
          <w:szCs w:val="24"/>
        </w:rPr>
        <w:lastRenderedPageBreak/>
        <w:t>տնտեսական միության տեխնիկական կանոնակարգի (ԵԱՏՄ ՏԿ</w:t>
      </w:r>
      <w:r w:rsidR="00E5115A" w:rsidRPr="00E5115A">
        <w:rPr>
          <w:rFonts w:ascii="Sylfaen" w:hAnsi="Sylfaen"/>
          <w:sz w:val="24"/>
          <w:szCs w:val="24"/>
        </w:rPr>
        <w:tab/>
      </w:r>
      <w:r w:rsidRPr="00CA27E3">
        <w:rPr>
          <w:rFonts w:ascii="Sylfaen" w:hAnsi="Sylfaen"/>
          <w:sz w:val="24"/>
          <w:szCs w:val="24"/>
        </w:rPr>
        <w:t>/20</w:t>
      </w:r>
      <w:r w:rsidR="00E5115A" w:rsidRPr="00E5115A">
        <w:rPr>
          <w:rFonts w:ascii="Sylfaen" w:hAnsi="Sylfaen"/>
          <w:sz w:val="24"/>
          <w:szCs w:val="24"/>
        </w:rPr>
        <w:tab/>
      </w:r>
      <w:r w:rsidRPr="00CA27E3">
        <w:rPr>
          <w:rFonts w:ascii="Sylfaen" w:hAnsi="Sylfaen"/>
          <w:sz w:val="24"/>
          <w:szCs w:val="24"/>
        </w:rPr>
        <w:t xml:space="preserve">) (այսուհետ՝ տեխնիկական կանոնակարգ) 13-րդ կետով նախատեսված շահագործման փաստաթղթերը պետք է պարունակեն դրանց բնութագրերի </w:t>
      </w:r>
      <w:r>
        <w:rPr>
          <w:rFonts w:ascii="Sylfaen" w:hAnsi="Sylfaen"/>
          <w:sz w:val="24"/>
          <w:szCs w:val="24"/>
        </w:rPr>
        <w:t>եւ</w:t>
      </w:r>
      <w:r w:rsidRPr="00CA27E3">
        <w:rPr>
          <w:rFonts w:ascii="Sylfaen" w:hAnsi="Sylfaen"/>
          <w:sz w:val="24"/>
          <w:szCs w:val="24"/>
        </w:rPr>
        <w:t xml:space="preserve"> պարամետրերի մասին հետ</w:t>
      </w:r>
      <w:r>
        <w:rPr>
          <w:rFonts w:ascii="Sylfaen" w:hAnsi="Sylfaen"/>
          <w:sz w:val="24"/>
          <w:szCs w:val="24"/>
        </w:rPr>
        <w:t>եւ</w:t>
      </w:r>
      <w:r w:rsidRPr="00CA27E3">
        <w:rPr>
          <w:rFonts w:ascii="Sylfaen" w:hAnsi="Sylfaen"/>
          <w:sz w:val="24"/>
          <w:szCs w:val="24"/>
        </w:rPr>
        <w:t>յալ տեղեկությունները՝</w:t>
      </w:r>
    </w:p>
    <w:p w14:paraId="4820C711" w14:textId="77777777" w:rsidR="00CA27E3" w:rsidRPr="00CA27E3" w:rsidRDefault="00CA27E3" w:rsidP="00E5115A">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ա)</w:t>
      </w:r>
      <w:r w:rsidR="00647F3B" w:rsidRPr="00647F3B">
        <w:rPr>
          <w:rFonts w:ascii="Sylfaen" w:hAnsi="Sylfaen"/>
          <w:sz w:val="24"/>
          <w:szCs w:val="24"/>
        </w:rPr>
        <w:tab/>
      </w:r>
      <w:r w:rsidRPr="00CA27E3">
        <w:rPr>
          <w:rFonts w:ascii="Sylfaen" w:hAnsi="Sylfaen"/>
          <w:sz w:val="24"/>
          <w:szCs w:val="24"/>
        </w:rPr>
        <w:t>սույն փաստաթղթի 3-րդ կետում նշված՝ էներգետիկ արդյունավետության ցուցանիշների արժեքները, որոնք</w:t>
      </w:r>
      <w:r w:rsidR="00647F3B">
        <w:rPr>
          <w:rFonts w:ascii="Sylfaen" w:hAnsi="Sylfaen"/>
          <w:sz w:val="24"/>
          <w:szCs w:val="24"/>
        </w:rPr>
        <w:t xml:space="preserve"> որոշված են սույն փաստաթղթի 4</w:t>
      </w:r>
      <w:r w:rsidR="00E5115A" w:rsidRPr="00E5115A">
        <w:rPr>
          <w:rFonts w:ascii="Sylfaen" w:hAnsi="Sylfaen"/>
          <w:sz w:val="24"/>
          <w:szCs w:val="24"/>
        </w:rPr>
        <w:t>-</w:t>
      </w:r>
      <w:r w:rsidRPr="00CA27E3">
        <w:rPr>
          <w:rFonts w:ascii="Sylfaen" w:hAnsi="Sylfaen"/>
          <w:sz w:val="24"/>
          <w:szCs w:val="24"/>
        </w:rPr>
        <w:t>12-րդ կետերին համապատասխան.</w:t>
      </w:r>
    </w:p>
    <w:p w14:paraId="2C81B403" w14:textId="77777777" w:rsidR="00CA27E3" w:rsidRPr="00CA27E3" w:rsidRDefault="00CA27E3" w:rsidP="00E5115A">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բ)</w:t>
      </w:r>
      <w:r w:rsidR="00647F3B" w:rsidRPr="00647F3B">
        <w:rPr>
          <w:rFonts w:ascii="Sylfaen" w:hAnsi="Sylfaen"/>
          <w:sz w:val="24"/>
          <w:szCs w:val="24"/>
        </w:rPr>
        <w:tab/>
      </w:r>
      <w:r w:rsidRPr="00CA27E3">
        <w:rPr>
          <w:rFonts w:ascii="Sylfaen" w:hAnsi="Sylfaen"/>
          <w:sz w:val="24"/>
          <w:szCs w:val="24"/>
        </w:rPr>
        <w:t>կոշտ հատակի մաքրման համար նախատեսված փոշեկուլի համար պետք է նշված լինի այն, որ լրակազմվող գլխադիրներով այն հարմար չէ գորգերի մաքրման համար.</w:t>
      </w:r>
    </w:p>
    <w:p w14:paraId="06E3B2F5" w14:textId="77777777" w:rsidR="00CA27E3" w:rsidRPr="00CA27E3" w:rsidRDefault="00CA27E3" w:rsidP="00E5115A">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գ)</w:t>
      </w:r>
      <w:r w:rsidR="00647F3B" w:rsidRPr="00647F3B">
        <w:rPr>
          <w:rFonts w:ascii="Sylfaen" w:hAnsi="Sylfaen"/>
          <w:sz w:val="24"/>
          <w:szCs w:val="24"/>
        </w:rPr>
        <w:tab/>
      </w:r>
      <w:r w:rsidRPr="00CA27E3">
        <w:rPr>
          <w:rFonts w:ascii="Sylfaen" w:hAnsi="Sylfaen"/>
          <w:sz w:val="24"/>
          <w:szCs w:val="24"/>
        </w:rPr>
        <w:t>գորգերի մաքրման համար նախատեսված փոշեկուլի համար պետք է նշված լինի այն, որ լրակազմվող գլխադիրներով այն հարմար չէ կոշտ հատակի մաքրման համար.</w:t>
      </w:r>
    </w:p>
    <w:p w14:paraId="685508A4" w14:textId="77777777" w:rsidR="00CA27E3" w:rsidRPr="00CA27E3" w:rsidRDefault="00CA27E3" w:rsidP="00E5115A">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դ)</w:t>
      </w:r>
      <w:r w:rsidR="00647F3B" w:rsidRPr="00647F3B">
        <w:rPr>
          <w:rFonts w:ascii="Sylfaen" w:hAnsi="Sylfaen"/>
          <w:sz w:val="24"/>
          <w:szCs w:val="24"/>
        </w:rPr>
        <w:tab/>
      </w:r>
      <w:r w:rsidRPr="00CA27E3">
        <w:rPr>
          <w:rFonts w:ascii="Sylfaen" w:hAnsi="Sylfaen"/>
          <w:sz w:val="24"/>
          <w:szCs w:val="24"/>
        </w:rPr>
        <w:t>այն սարքի համար, որը փոշեկուլի գործառույթի հետ մեկտեղ կարող է կատարել նա</w:t>
      </w:r>
      <w:r>
        <w:rPr>
          <w:rFonts w:ascii="Sylfaen" w:hAnsi="Sylfaen"/>
          <w:sz w:val="24"/>
          <w:szCs w:val="24"/>
        </w:rPr>
        <w:t>եւ</w:t>
      </w:r>
      <w:r w:rsidRPr="00CA27E3">
        <w:rPr>
          <w:rFonts w:ascii="Sylfaen" w:hAnsi="Sylfaen"/>
          <w:sz w:val="24"/>
          <w:szCs w:val="24"/>
        </w:rPr>
        <w:t xml:space="preserve"> այլ գործառույթներ, պետք է նշված լինի փոշեկուլի գործառույթով աշխատելիս սպառվող էլեկտրական հզորությունը, եթե այն սարքի անվանական սպառվող հզորությունից ցածր է.</w:t>
      </w:r>
    </w:p>
    <w:p w14:paraId="213958CB"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647F3B" w:rsidRPr="00647F3B">
        <w:rPr>
          <w:rFonts w:ascii="Sylfaen" w:hAnsi="Sylfaen"/>
          <w:sz w:val="24"/>
          <w:szCs w:val="24"/>
        </w:rPr>
        <w:tab/>
      </w:r>
      <w:r w:rsidRPr="00CA27E3">
        <w:rPr>
          <w:rFonts w:ascii="Sylfaen" w:hAnsi="Sylfaen"/>
          <w:sz w:val="24"/>
          <w:szCs w:val="24"/>
        </w:rPr>
        <w:t>պետք է նշված լինի, թե փորձարկումների ժամանակ փոշեկուլը հետ</w:t>
      </w:r>
      <w:r>
        <w:rPr>
          <w:rFonts w:ascii="Sylfaen" w:hAnsi="Sylfaen"/>
          <w:sz w:val="24"/>
          <w:szCs w:val="24"/>
        </w:rPr>
        <w:t>եւ</w:t>
      </w:r>
      <w:r w:rsidRPr="00CA27E3">
        <w:rPr>
          <w:rFonts w:ascii="Sylfaen" w:hAnsi="Sylfaen"/>
          <w:sz w:val="24"/>
          <w:szCs w:val="24"/>
        </w:rPr>
        <w:t>յալ 3 խմբերից որին պետք է դասվի ՝ ընդհանուր նշանակության փոշեկուլ, կոշտ հատակի համար նախատեսված փոշեկուլ կամ գորգի համար նախատեսված փոշեկուլ:</w:t>
      </w:r>
    </w:p>
    <w:p w14:paraId="301015B9"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15.</w:t>
      </w:r>
      <w:r w:rsidR="00647F3B" w:rsidRPr="00647F3B">
        <w:rPr>
          <w:rFonts w:ascii="Sylfaen" w:hAnsi="Sylfaen"/>
          <w:sz w:val="24"/>
          <w:szCs w:val="24"/>
        </w:rPr>
        <w:tab/>
      </w:r>
      <w:r w:rsidRPr="00CA27E3">
        <w:rPr>
          <w:rFonts w:ascii="Sylfaen" w:hAnsi="Sylfaen"/>
          <w:sz w:val="24"/>
          <w:szCs w:val="24"/>
        </w:rPr>
        <w:t>Տեխնիկական կանոնակարգի 25-րդ կետի «ա» ենթակետում նշված՝ փոշեկուլներին կից փաստաթղթերի լրակազմի մեջ լրացուցիչ պետք է ներառվի հետ</w:t>
      </w:r>
      <w:r>
        <w:rPr>
          <w:rFonts w:ascii="Sylfaen" w:hAnsi="Sylfaen"/>
          <w:sz w:val="24"/>
          <w:szCs w:val="24"/>
        </w:rPr>
        <w:t>եւ</w:t>
      </w:r>
      <w:r w:rsidRPr="00CA27E3">
        <w:rPr>
          <w:rFonts w:ascii="Sylfaen" w:hAnsi="Sylfaen"/>
          <w:sz w:val="24"/>
          <w:szCs w:val="24"/>
        </w:rPr>
        <w:t>յալ տեղեկատվությունը՝</w:t>
      </w:r>
    </w:p>
    <w:p w14:paraId="741E39F6"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647F3B" w:rsidRPr="00647F3B">
        <w:rPr>
          <w:rFonts w:ascii="Sylfaen" w:hAnsi="Sylfaen"/>
          <w:sz w:val="24"/>
          <w:szCs w:val="24"/>
        </w:rPr>
        <w:tab/>
      </w:r>
      <w:r w:rsidRPr="00CA27E3">
        <w:rPr>
          <w:rFonts w:ascii="Sylfaen" w:hAnsi="Sylfaen"/>
          <w:sz w:val="24"/>
          <w:szCs w:val="24"/>
        </w:rPr>
        <w:t>էներգիայի միջին տեսակարար ծախսի փորձարկումների ժամանակ սույն փաստաթղթի 5-րդ կետին համապատասխան որոշված մաքրման ցիկլերից յուրաքանչյուրի համար SE</w:t>
      </w:r>
      <w:r w:rsidRPr="00CA27E3">
        <w:rPr>
          <w:rFonts w:ascii="Sylfaen" w:hAnsi="Sylfaen"/>
          <w:sz w:val="24"/>
          <w:szCs w:val="24"/>
          <w:vertAlign w:val="subscript"/>
        </w:rPr>
        <w:t>hf</w:t>
      </w:r>
      <w:r w:rsidRPr="00CA27E3">
        <w:rPr>
          <w:rFonts w:ascii="Sylfaen" w:hAnsi="Sylfaen"/>
          <w:sz w:val="24"/>
          <w:szCs w:val="24"/>
        </w:rPr>
        <w:t>, P</w:t>
      </w:r>
      <w:r w:rsidRPr="00CA27E3">
        <w:rPr>
          <w:rFonts w:ascii="Sylfaen" w:hAnsi="Sylfaen"/>
          <w:sz w:val="24"/>
          <w:szCs w:val="24"/>
          <w:vertAlign w:val="subscript"/>
        </w:rPr>
        <w:t>hf</w:t>
      </w:r>
      <w:r w:rsidRPr="00CA27E3">
        <w:rPr>
          <w:rFonts w:ascii="Sylfaen" w:hAnsi="Sylfaen"/>
          <w:sz w:val="24"/>
          <w:szCs w:val="24"/>
        </w:rPr>
        <w:t>, NP</w:t>
      </w:r>
      <w:r w:rsidRPr="00CA27E3">
        <w:rPr>
          <w:rFonts w:ascii="Sylfaen" w:hAnsi="Sylfaen"/>
          <w:sz w:val="24"/>
          <w:szCs w:val="24"/>
          <w:vertAlign w:val="subscript"/>
        </w:rPr>
        <w:t>hf</w:t>
      </w:r>
      <w:r w:rsidRPr="00CA27E3">
        <w:rPr>
          <w:rFonts w:ascii="Sylfaen" w:hAnsi="Sylfaen"/>
          <w:sz w:val="24"/>
          <w:szCs w:val="24"/>
        </w:rPr>
        <w:t>, t</w:t>
      </w:r>
      <w:r w:rsidRPr="00CA27E3">
        <w:rPr>
          <w:rFonts w:ascii="Sylfaen" w:hAnsi="Sylfaen"/>
          <w:sz w:val="24"/>
          <w:szCs w:val="24"/>
          <w:vertAlign w:val="subscript"/>
        </w:rPr>
        <w:t>hf</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A</w:t>
      </w:r>
      <w:r w:rsidRPr="00CA27E3">
        <w:rPr>
          <w:rFonts w:ascii="Sylfaen" w:hAnsi="Sylfaen"/>
          <w:sz w:val="24"/>
          <w:szCs w:val="24"/>
          <w:vertAlign w:val="subscript"/>
        </w:rPr>
        <w:t>hf</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(կամ) SE</w:t>
      </w:r>
      <w:r w:rsidRPr="00CA27E3">
        <w:rPr>
          <w:rFonts w:ascii="Sylfaen" w:hAnsi="Sylfaen"/>
          <w:sz w:val="24"/>
          <w:szCs w:val="24"/>
          <w:vertAlign w:val="subscript"/>
        </w:rPr>
        <w:t>c</w:t>
      </w:r>
      <w:r w:rsidRPr="00CA27E3">
        <w:rPr>
          <w:rFonts w:ascii="Sylfaen" w:hAnsi="Sylfaen"/>
          <w:sz w:val="24"/>
          <w:szCs w:val="24"/>
        </w:rPr>
        <w:t>, P</w:t>
      </w:r>
      <w:r w:rsidRPr="00CA27E3">
        <w:rPr>
          <w:rFonts w:ascii="Sylfaen" w:hAnsi="Sylfaen"/>
          <w:sz w:val="24"/>
          <w:szCs w:val="24"/>
          <w:vertAlign w:val="subscript"/>
        </w:rPr>
        <w:t>c</w:t>
      </w:r>
      <w:r w:rsidRPr="00CA27E3">
        <w:rPr>
          <w:rFonts w:ascii="Sylfaen" w:hAnsi="Sylfaen"/>
          <w:sz w:val="24"/>
          <w:szCs w:val="24"/>
        </w:rPr>
        <w:t>, NP</w:t>
      </w:r>
      <w:r w:rsidRPr="00CA27E3">
        <w:rPr>
          <w:rFonts w:ascii="Sylfaen" w:hAnsi="Sylfaen"/>
          <w:sz w:val="24"/>
          <w:szCs w:val="24"/>
          <w:vertAlign w:val="subscript"/>
        </w:rPr>
        <w:t>c</w:t>
      </w:r>
      <w:r w:rsidRPr="00CA27E3">
        <w:rPr>
          <w:rFonts w:ascii="Sylfaen" w:hAnsi="Sylfaen"/>
          <w:sz w:val="24"/>
          <w:szCs w:val="24"/>
        </w:rPr>
        <w:t>, t</w:t>
      </w:r>
      <w:r w:rsidRPr="00CA27E3">
        <w:rPr>
          <w:rFonts w:ascii="Sylfaen" w:hAnsi="Sylfaen"/>
          <w:sz w:val="24"/>
          <w:szCs w:val="24"/>
          <w:vertAlign w:val="subscript"/>
        </w:rPr>
        <w:t>c</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A</w:t>
      </w:r>
      <w:r w:rsidRPr="00CA27E3">
        <w:rPr>
          <w:rFonts w:ascii="Sylfaen" w:hAnsi="Sylfaen"/>
          <w:sz w:val="24"/>
          <w:szCs w:val="24"/>
          <w:vertAlign w:val="subscript"/>
        </w:rPr>
        <w:t>c</w:t>
      </w:r>
      <w:r w:rsidRPr="00CA27E3">
        <w:rPr>
          <w:rFonts w:ascii="Sylfaen" w:hAnsi="Sylfaen"/>
          <w:sz w:val="24"/>
          <w:szCs w:val="24"/>
        </w:rPr>
        <w:t xml:space="preserve"> արժեքները.</w:t>
      </w:r>
    </w:p>
    <w:p w14:paraId="46A297D0"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lastRenderedPageBreak/>
        <w:t>բ)</w:t>
      </w:r>
      <w:r w:rsidR="00647F3B" w:rsidRPr="00647F3B">
        <w:rPr>
          <w:rFonts w:ascii="Sylfaen" w:hAnsi="Sylfaen"/>
          <w:sz w:val="24"/>
          <w:szCs w:val="24"/>
        </w:rPr>
        <w:tab/>
      </w:r>
      <w:r w:rsidRPr="00CA27E3">
        <w:rPr>
          <w:rFonts w:ascii="Sylfaen" w:hAnsi="Sylfaen"/>
          <w:sz w:val="24"/>
          <w:szCs w:val="24"/>
        </w:rPr>
        <w:t>գորգի վրա փոշու հավաքման արդյունավետության փորձարկումների ժամանակ սույն պահանջների 7-րդ կետին համապատասխան որոշված dpu</w:t>
      </w:r>
      <w:r w:rsidRPr="00CA27E3">
        <w:rPr>
          <w:rFonts w:ascii="Sylfaen" w:hAnsi="Sylfaen"/>
          <w:sz w:val="24"/>
          <w:szCs w:val="24"/>
          <w:vertAlign w:val="subscript"/>
        </w:rPr>
        <w:t>c</w:t>
      </w:r>
      <w:r w:rsidRPr="00CA27E3">
        <w:rPr>
          <w:rFonts w:ascii="Sylfaen" w:hAnsi="Sylfaen"/>
          <w:sz w:val="24"/>
          <w:szCs w:val="24"/>
        </w:rPr>
        <w:t>, dpu</w:t>
      </w:r>
      <w:r w:rsidRPr="00CA27E3">
        <w:rPr>
          <w:rFonts w:ascii="Sylfaen" w:hAnsi="Sylfaen"/>
          <w:sz w:val="24"/>
          <w:szCs w:val="24"/>
          <w:vertAlign w:val="subscript"/>
        </w:rPr>
        <w:t>cal</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dpu</w:t>
      </w:r>
      <w:r w:rsidRPr="00CA27E3">
        <w:rPr>
          <w:rFonts w:ascii="Sylfaen" w:hAnsi="Sylfaen"/>
          <w:sz w:val="24"/>
          <w:szCs w:val="24"/>
          <w:vertAlign w:val="subscript"/>
        </w:rPr>
        <w:t>ref</w:t>
      </w:r>
      <w:r w:rsidRPr="00CA27E3">
        <w:rPr>
          <w:rFonts w:ascii="Sylfaen" w:hAnsi="Sylfaen"/>
          <w:sz w:val="24"/>
          <w:szCs w:val="24"/>
        </w:rPr>
        <w:t xml:space="preserve"> մաքրման ցիկլերից յուրաքանչյուրի համար dpu</w:t>
      </w:r>
      <w:r w:rsidRPr="00CA27E3">
        <w:rPr>
          <w:rFonts w:ascii="Sylfaen" w:hAnsi="Sylfaen"/>
          <w:sz w:val="24"/>
          <w:szCs w:val="24"/>
          <w:vertAlign w:val="subscript"/>
        </w:rPr>
        <w:t>m</w:t>
      </w:r>
      <w:r w:rsidRPr="00CA27E3">
        <w:rPr>
          <w:rFonts w:ascii="Sylfaen" w:hAnsi="Sylfaen"/>
          <w:sz w:val="24"/>
          <w:szCs w:val="24"/>
        </w:rPr>
        <w:t xml:space="preserve"> արժեքները.</w:t>
      </w:r>
    </w:p>
    <w:p w14:paraId="66A6F3BB"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647F3B" w:rsidRPr="00647F3B">
        <w:rPr>
          <w:rFonts w:ascii="Sylfaen" w:hAnsi="Sylfaen"/>
          <w:sz w:val="24"/>
          <w:szCs w:val="24"/>
        </w:rPr>
        <w:tab/>
      </w:r>
      <w:r w:rsidRPr="00CA27E3">
        <w:rPr>
          <w:rFonts w:ascii="Sylfaen" w:hAnsi="Sylfaen"/>
          <w:sz w:val="24"/>
          <w:szCs w:val="24"/>
        </w:rPr>
        <w:t xml:space="preserve">սույն պահանջների 11-րդ կետին համապատասխան՝ էլեկտրաշարժիչի ռեսուրսի փորձարկումների ժամանակ անցավազքի ընդհանուր ժամանակը, չափվող օդային հոսքը, նոսրացման աստիճանը </w:t>
      </w:r>
      <w:r>
        <w:rPr>
          <w:rFonts w:ascii="Sylfaen" w:hAnsi="Sylfaen"/>
          <w:sz w:val="24"/>
          <w:szCs w:val="24"/>
        </w:rPr>
        <w:t>եւ</w:t>
      </w:r>
      <w:r w:rsidRPr="00CA27E3">
        <w:rPr>
          <w:rFonts w:ascii="Sylfaen" w:hAnsi="Sylfaen"/>
          <w:sz w:val="24"/>
          <w:szCs w:val="24"/>
        </w:rPr>
        <w:t xml:space="preserve"> սպառվող հզորությունը:</w:t>
      </w:r>
    </w:p>
    <w:p w14:paraId="2DE13FBA"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p>
    <w:p w14:paraId="35568089" w14:textId="77777777" w:rsidR="00CA27E3" w:rsidRPr="00CA27E3" w:rsidRDefault="00CA27E3" w:rsidP="00647F3B">
      <w:pPr>
        <w:pStyle w:val="Bodytext212"/>
        <w:shd w:val="clear" w:color="auto" w:fill="auto"/>
        <w:spacing w:after="160" w:line="360" w:lineRule="auto"/>
        <w:ind w:left="567" w:right="566" w:firstLine="0"/>
        <w:jc w:val="center"/>
        <w:rPr>
          <w:rFonts w:ascii="Sylfaen" w:hAnsi="Sylfaen"/>
          <w:sz w:val="24"/>
          <w:szCs w:val="24"/>
        </w:rPr>
      </w:pPr>
      <w:r w:rsidRPr="00CA27E3">
        <w:rPr>
          <w:rFonts w:ascii="Sylfaen" w:hAnsi="Sylfaen"/>
          <w:sz w:val="24"/>
          <w:szCs w:val="24"/>
        </w:rPr>
        <w:t>VI. Փոշեկուլների էներգետիկ արդյունավետության պարամետրերի թույլատրելի շեղումները դրանք շրջանառության մեջ դրելուց հետո փորձարկումներ (չափումներ) անցկացնելիս</w:t>
      </w:r>
    </w:p>
    <w:p w14:paraId="528DE9ED"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16.</w:t>
      </w:r>
      <w:r w:rsidR="00647F3B" w:rsidRPr="00647F3B">
        <w:rPr>
          <w:rFonts w:ascii="Sylfaen" w:hAnsi="Sylfaen"/>
          <w:sz w:val="24"/>
          <w:szCs w:val="24"/>
        </w:rPr>
        <w:tab/>
      </w:r>
      <w:r w:rsidRPr="00CA27E3">
        <w:rPr>
          <w:rFonts w:ascii="Sylfaen" w:hAnsi="Sylfaen"/>
          <w:sz w:val="24"/>
          <w:szCs w:val="24"/>
        </w:rPr>
        <w:t>Փոշեկուլները շրջանառության մեջ դնելուց հետո փորձարկումներ (չափումներ) անցկացնելիս պետք է փորձարկվի փոշեկուլի յուրաքանչյուր մոդելի 1 տիպային օրինակ (նմուշ)։</w:t>
      </w:r>
    </w:p>
    <w:p w14:paraId="295400F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Փոշեկուլի մոդելը համարվում է սույն պահանջներին համապատասխանող, եթե փոշեկուլի պարամետրերի </w:t>
      </w:r>
      <w:r>
        <w:rPr>
          <w:rFonts w:ascii="Sylfaen" w:hAnsi="Sylfaen"/>
          <w:sz w:val="24"/>
          <w:szCs w:val="24"/>
        </w:rPr>
        <w:t>եւ</w:t>
      </w:r>
      <w:r w:rsidRPr="00CA27E3">
        <w:rPr>
          <w:rFonts w:ascii="Sylfaen" w:hAnsi="Sylfaen"/>
          <w:sz w:val="24"/>
          <w:szCs w:val="24"/>
        </w:rPr>
        <w:t xml:space="preserve"> բնութագրերի չափված արժեքները համապատասխանում են սույն պահանջների III բաժնի պահանջներին </w:t>
      </w:r>
      <w:r>
        <w:rPr>
          <w:rFonts w:ascii="Sylfaen" w:hAnsi="Sylfaen"/>
          <w:sz w:val="24"/>
          <w:szCs w:val="24"/>
        </w:rPr>
        <w:t>եւ</w:t>
      </w:r>
      <w:r w:rsidRPr="00CA27E3">
        <w:rPr>
          <w:rFonts w:ascii="Sylfaen" w:hAnsi="Sylfaen"/>
          <w:sz w:val="24"/>
          <w:szCs w:val="24"/>
        </w:rPr>
        <w:t xml:space="preserve"> արտադրողի հայտարարած</w:t>
      </w:r>
      <w:r>
        <w:rPr>
          <w:rFonts w:ascii="Sylfaen" w:hAnsi="Sylfaen"/>
          <w:sz w:val="24"/>
          <w:szCs w:val="24"/>
        </w:rPr>
        <w:t xml:space="preserve"> </w:t>
      </w:r>
      <w:r w:rsidRPr="00CA27E3">
        <w:rPr>
          <w:rFonts w:ascii="Sylfaen" w:hAnsi="Sylfaen"/>
          <w:sz w:val="24"/>
          <w:szCs w:val="24"/>
        </w:rPr>
        <w:t>անվանական արժեքներին՝ աղյուսակում նշված թույլատրելիաշեղումների սահմաններում:</w:t>
      </w:r>
    </w:p>
    <w:p w14:paraId="16B6C63A" w14:textId="77777777" w:rsidR="00E5115A" w:rsidRDefault="00E5115A">
      <w:pPr>
        <w:rPr>
          <w:rFonts w:ascii="Sylfaen" w:eastAsia="Times New Roman" w:hAnsi="Sylfaen" w:cs="Times New Roman"/>
        </w:rPr>
      </w:pPr>
      <w:r>
        <w:rPr>
          <w:rFonts w:ascii="Sylfaen" w:hAnsi="Sylfaen"/>
        </w:rPr>
        <w:br w:type="page"/>
      </w:r>
    </w:p>
    <w:p w14:paraId="7CDF4A27" w14:textId="77777777" w:rsidR="00CA27E3" w:rsidRPr="00CA27E3" w:rsidRDefault="00CA27E3" w:rsidP="00CA27E3">
      <w:pPr>
        <w:pStyle w:val="Bodytext212"/>
        <w:shd w:val="clear" w:color="auto" w:fill="auto"/>
        <w:spacing w:after="160" w:line="360" w:lineRule="auto"/>
        <w:ind w:firstLine="567"/>
        <w:jc w:val="right"/>
        <w:rPr>
          <w:rFonts w:ascii="Sylfaen" w:hAnsi="Sylfaen"/>
          <w:sz w:val="24"/>
          <w:szCs w:val="24"/>
        </w:rPr>
      </w:pPr>
      <w:r w:rsidRPr="00CA27E3">
        <w:rPr>
          <w:rFonts w:ascii="Sylfaen" w:hAnsi="Sylfaen"/>
          <w:sz w:val="24"/>
          <w:szCs w:val="24"/>
        </w:rPr>
        <w:lastRenderedPageBreak/>
        <w:t>Աղյուսակ</w:t>
      </w:r>
    </w:p>
    <w:p w14:paraId="1D2CA505"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Թույլատրելի շեղումներ</w:t>
      </w:r>
    </w:p>
    <w:tbl>
      <w:tblPr>
        <w:tblOverlap w:val="never"/>
        <w:tblW w:w="9581" w:type="dxa"/>
        <w:jc w:val="center"/>
        <w:tblLayout w:type="fixed"/>
        <w:tblCellMar>
          <w:left w:w="10" w:type="dxa"/>
          <w:right w:w="10" w:type="dxa"/>
        </w:tblCellMar>
        <w:tblLook w:val="04A0" w:firstRow="1" w:lastRow="0" w:firstColumn="1" w:lastColumn="0" w:noHBand="0" w:noVBand="1"/>
      </w:tblPr>
      <w:tblGrid>
        <w:gridCol w:w="3648"/>
        <w:gridCol w:w="5933"/>
      </w:tblGrid>
      <w:tr w:rsidR="00CA27E3" w:rsidRPr="00D83000" w14:paraId="1A8BA173" w14:textId="77777777" w:rsidTr="00CA27E3">
        <w:trPr>
          <w:jc w:val="center"/>
        </w:trPr>
        <w:tc>
          <w:tcPr>
            <w:tcW w:w="3648" w:type="dxa"/>
            <w:tcBorders>
              <w:top w:val="single" w:sz="4" w:space="0" w:color="auto"/>
              <w:left w:val="single" w:sz="4" w:space="0" w:color="auto"/>
            </w:tcBorders>
            <w:shd w:val="clear" w:color="auto" w:fill="FFFFFF"/>
            <w:vAlign w:val="bottom"/>
          </w:tcPr>
          <w:p w14:paraId="54C36531"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Չափվող պարամետրը</w:t>
            </w:r>
          </w:p>
        </w:tc>
        <w:tc>
          <w:tcPr>
            <w:tcW w:w="5933" w:type="dxa"/>
            <w:tcBorders>
              <w:top w:val="single" w:sz="4" w:space="0" w:color="auto"/>
              <w:left w:val="single" w:sz="4" w:space="0" w:color="auto"/>
              <w:right w:val="single" w:sz="4" w:space="0" w:color="auto"/>
            </w:tcBorders>
            <w:shd w:val="clear" w:color="auto" w:fill="FFFFFF"/>
            <w:vAlign w:val="bottom"/>
          </w:tcPr>
          <w:p w14:paraId="670DE15D"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Թույլատրելի շեղումները*</w:t>
            </w:r>
          </w:p>
        </w:tc>
      </w:tr>
      <w:tr w:rsidR="00CA27E3" w:rsidRPr="00D83000" w14:paraId="6EAC0563" w14:textId="77777777" w:rsidTr="00CA27E3">
        <w:trPr>
          <w:jc w:val="center"/>
        </w:trPr>
        <w:tc>
          <w:tcPr>
            <w:tcW w:w="3648" w:type="dxa"/>
            <w:tcBorders>
              <w:top w:val="single" w:sz="4" w:space="0" w:color="auto"/>
            </w:tcBorders>
            <w:shd w:val="clear" w:color="auto" w:fill="FFFFFF"/>
            <w:vAlign w:val="center"/>
          </w:tcPr>
          <w:p w14:paraId="79BD8B7F" w14:textId="77777777" w:rsidR="00CA27E3" w:rsidRPr="00D83000" w:rsidRDefault="00CA27E3" w:rsidP="00E5115A">
            <w:pPr>
              <w:pStyle w:val="Bodytext212"/>
              <w:shd w:val="clear" w:color="auto" w:fill="auto"/>
              <w:spacing w:after="120" w:line="240" w:lineRule="auto"/>
              <w:ind w:left="49" w:firstLine="0"/>
              <w:rPr>
                <w:rFonts w:ascii="Sylfaen" w:hAnsi="Sylfaen"/>
                <w:sz w:val="20"/>
                <w:szCs w:val="20"/>
              </w:rPr>
            </w:pPr>
            <w:r w:rsidRPr="00D83000">
              <w:rPr>
                <w:rFonts w:ascii="Sylfaen" w:hAnsi="Sylfaen"/>
                <w:sz w:val="20"/>
                <w:szCs w:val="20"/>
              </w:rPr>
              <w:t>Էլեկտրաէներգիայի տարեկան սպառումը</w:t>
            </w:r>
          </w:p>
        </w:tc>
        <w:tc>
          <w:tcPr>
            <w:tcW w:w="5933" w:type="dxa"/>
            <w:tcBorders>
              <w:top w:val="single" w:sz="4" w:space="0" w:color="auto"/>
            </w:tcBorders>
            <w:shd w:val="clear" w:color="auto" w:fill="FFFFFF"/>
            <w:vAlign w:val="center"/>
          </w:tcPr>
          <w:p w14:paraId="779D755A" w14:textId="77777777" w:rsidR="00CA27E3" w:rsidRPr="00D83000" w:rsidRDefault="00CA27E3" w:rsidP="00E5115A">
            <w:pPr>
              <w:pStyle w:val="Bodytext212"/>
              <w:shd w:val="clear" w:color="auto" w:fill="auto"/>
              <w:spacing w:after="120" w:line="240" w:lineRule="auto"/>
              <w:ind w:left="69" w:right="102" w:firstLine="0"/>
              <w:jc w:val="both"/>
              <w:rPr>
                <w:rFonts w:ascii="Sylfaen" w:hAnsi="Sylfaen"/>
                <w:sz w:val="20"/>
                <w:szCs w:val="20"/>
              </w:rPr>
            </w:pPr>
            <w:r w:rsidRPr="00D83000">
              <w:rPr>
                <w:rFonts w:ascii="Sylfaen" w:hAnsi="Sylfaen"/>
                <w:sz w:val="20"/>
                <w:szCs w:val="20"/>
              </w:rPr>
              <w:t>չափված մեծության արժեքը չպետք է գերազանցի AE անվանական արժեքն ավելի քան 10 %-ով</w:t>
            </w:r>
          </w:p>
        </w:tc>
      </w:tr>
      <w:tr w:rsidR="00CA27E3" w:rsidRPr="00D83000" w14:paraId="228F7F22" w14:textId="77777777" w:rsidTr="00CA27E3">
        <w:trPr>
          <w:jc w:val="center"/>
        </w:trPr>
        <w:tc>
          <w:tcPr>
            <w:tcW w:w="3648" w:type="dxa"/>
            <w:shd w:val="clear" w:color="auto" w:fill="FFFFFF"/>
            <w:vAlign w:val="center"/>
          </w:tcPr>
          <w:p w14:paraId="5857A55E" w14:textId="77777777" w:rsidR="00CA27E3" w:rsidRPr="00D83000" w:rsidRDefault="00CA27E3" w:rsidP="00E5115A">
            <w:pPr>
              <w:pStyle w:val="Bodytext212"/>
              <w:shd w:val="clear" w:color="auto" w:fill="auto"/>
              <w:spacing w:after="120" w:line="240" w:lineRule="auto"/>
              <w:ind w:left="49" w:firstLine="0"/>
              <w:rPr>
                <w:rFonts w:ascii="Sylfaen" w:hAnsi="Sylfaen"/>
                <w:sz w:val="20"/>
                <w:szCs w:val="20"/>
              </w:rPr>
            </w:pPr>
            <w:r w:rsidRPr="00D83000">
              <w:rPr>
                <w:rFonts w:ascii="Sylfaen" w:hAnsi="Sylfaen"/>
                <w:sz w:val="20"/>
                <w:szCs w:val="20"/>
              </w:rPr>
              <w:t>Գորգի վրա փոշու հավաքման արդյունավետությունը</w:t>
            </w:r>
          </w:p>
        </w:tc>
        <w:tc>
          <w:tcPr>
            <w:tcW w:w="5933" w:type="dxa"/>
            <w:shd w:val="clear" w:color="auto" w:fill="FFFFFF"/>
            <w:vAlign w:val="bottom"/>
          </w:tcPr>
          <w:p w14:paraId="356FF179" w14:textId="77777777" w:rsidR="00CA27E3" w:rsidRPr="00D83000" w:rsidRDefault="00CA27E3" w:rsidP="00E5115A">
            <w:pPr>
              <w:pStyle w:val="Bodytext212"/>
              <w:shd w:val="clear" w:color="auto" w:fill="auto"/>
              <w:spacing w:after="120" w:line="240" w:lineRule="auto"/>
              <w:ind w:left="69" w:right="102" w:firstLine="0"/>
              <w:jc w:val="both"/>
              <w:rPr>
                <w:rFonts w:ascii="Sylfaen" w:hAnsi="Sylfaen"/>
                <w:sz w:val="20"/>
                <w:szCs w:val="20"/>
              </w:rPr>
            </w:pPr>
            <w:r w:rsidRPr="00D83000">
              <w:rPr>
                <w:rFonts w:ascii="Sylfaen" w:hAnsi="Sylfaen"/>
                <w:sz w:val="20"/>
                <w:szCs w:val="20"/>
              </w:rPr>
              <w:t>չափված մեծության արժեքը չպետք է պակաս լինի անվանական արժեքից ավելի քան 0,03-ով</w:t>
            </w:r>
          </w:p>
        </w:tc>
      </w:tr>
      <w:tr w:rsidR="00CA27E3" w:rsidRPr="00D83000" w14:paraId="4C89DD6D" w14:textId="77777777" w:rsidTr="00CA27E3">
        <w:trPr>
          <w:jc w:val="center"/>
        </w:trPr>
        <w:tc>
          <w:tcPr>
            <w:tcW w:w="3648" w:type="dxa"/>
            <w:shd w:val="clear" w:color="auto" w:fill="FFFFFF"/>
            <w:vAlign w:val="center"/>
          </w:tcPr>
          <w:p w14:paraId="760CFC76" w14:textId="77777777" w:rsidR="00CA27E3" w:rsidRPr="00D83000" w:rsidRDefault="00CA27E3" w:rsidP="00E5115A">
            <w:pPr>
              <w:pStyle w:val="Bodytext212"/>
              <w:shd w:val="clear" w:color="auto" w:fill="auto"/>
              <w:spacing w:after="120" w:line="240" w:lineRule="auto"/>
              <w:ind w:left="49" w:firstLine="0"/>
              <w:rPr>
                <w:rFonts w:ascii="Sylfaen" w:hAnsi="Sylfaen"/>
                <w:sz w:val="20"/>
                <w:szCs w:val="20"/>
              </w:rPr>
            </w:pPr>
            <w:r w:rsidRPr="00D83000">
              <w:rPr>
                <w:rFonts w:ascii="Sylfaen" w:hAnsi="Sylfaen"/>
                <w:sz w:val="20"/>
                <w:szCs w:val="20"/>
              </w:rPr>
              <w:t>Կոշտ հատակի վրա փոշու հավաքման արդյունավետությունը</w:t>
            </w:r>
          </w:p>
        </w:tc>
        <w:tc>
          <w:tcPr>
            <w:tcW w:w="5933" w:type="dxa"/>
            <w:shd w:val="clear" w:color="auto" w:fill="FFFFFF"/>
          </w:tcPr>
          <w:p w14:paraId="6B3E3526" w14:textId="77777777" w:rsidR="00CA27E3" w:rsidRPr="00D83000" w:rsidRDefault="00CA27E3" w:rsidP="00E5115A">
            <w:pPr>
              <w:pStyle w:val="Bodytext212"/>
              <w:shd w:val="clear" w:color="auto" w:fill="auto"/>
              <w:spacing w:after="120" w:line="240" w:lineRule="auto"/>
              <w:ind w:left="69" w:right="102" w:firstLine="0"/>
              <w:jc w:val="both"/>
              <w:rPr>
                <w:rFonts w:ascii="Sylfaen" w:hAnsi="Sylfaen"/>
                <w:sz w:val="20"/>
                <w:szCs w:val="20"/>
              </w:rPr>
            </w:pPr>
            <w:r w:rsidRPr="00D83000">
              <w:rPr>
                <w:rFonts w:ascii="Sylfaen" w:hAnsi="Sylfaen"/>
                <w:sz w:val="20"/>
                <w:szCs w:val="20"/>
              </w:rPr>
              <w:t>չափված մեծության արժեքը չպետք է պակաս լինի անվանական արժեքից ավելի քան 0,03-ով</w:t>
            </w:r>
          </w:p>
        </w:tc>
      </w:tr>
      <w:tr w:rsidR="00CA27E3" w:rsidRPr="00D83000" w14:paraId="35CABA22" w14:textId="77777777" w:rsidTr="00CA27E3">
        <w:trPr>
          <w:jc w:val="center"/>
        </w:trPr>
        <w:tc>
          <w:tcPr>
            <w:tcW w:w="3648" w:type="dxa"/>
            <w:shd w:val="clear" w:color="auto" w:fill="FFFFFF"/>
            <w:vAlign w:val="center"/>
          </w:tcPr>
          <w:p w14:paraId="60008AB8" w14:textId="77777777" w:rsidR="00CA27E3" w:rsidRPr="00D83000" w:rsidRDefault="00CA27E3" w:rsidP="00E5115A">
            <w:pPr>
              <w:pStyle w:val="Bodytext212"/>
              <w:shd w:val="clear" w:color="auto" w:fill="auto"/>
              <w:spacing w:after="120" w:line="240" w:lineRule="auto"/>
              <w:ind w:left="49" w:firstLine="0"/>
              <w:rPr>
                <w:rFonts w:ascii="Sylfaen" w:hAnsi="Sylfaen"/>
                <w:sz w:val="20"/>
                <w:szCs w:val="20"/>
              </w:rPr>
            </w:pPr>
            <w:r w:rsidRPr="00D83000">
              <w:rPr>
                <w:rFonts w:ascii="Sylfaen" w:hAnsi="Sylfaen"/>
                <w:sz w:val="20"/>
                <w:szCs w:val="20"/>
              </w:rPr>
              <w:t>Փոշու երկրորդային արտանետումը</w:t>
            </w:r>
          </w:p>
        </w:tc>
        <w:tc>
          <w:tcPr>
            <w:tcW w:w="5933" w:type="dxa"/>
            <w:shd w:val="clear" w:color="auto" w:fill="FFFFFF"/>
          </w:tcPr>
          <w:p w14:paraId="0FD692CF" w14:textId="77777777" w:rsidR="00CA27E3" w:rsidRPr="00D83000" w:rsidRDefault="00CA27E3" w:rsidP="00E5115A">
            <w:pPr>
              <w:pStyle w:val="Bodytext212"/>
              <w:shd w:val="clear" w:color="auto" w:fill="auto"/>
              <w:spacing w:after="120" w:line="240" w:lineRule="auto"/>
              <w:ind w:left="69" w:right="102" w:firstLine="0"/>
              <w:jc w:val="both"/>
              <w:rPr>
                <w:rFonts w:ascii="Sylfaen" w:hAnsi="Sylfaen"/>
                <w:sz w:val="20"/>
                <w:szCs w:val="20"/>
              </w:rPr>
            </w:pPr>
            <w:r w:rsidRPr="00D83000">
              <w:rPr>
                <w:rFonts w:ascii="Sylfaen" w:hAnsi="Sylfaen"/>
                <w:sz w:val="20"/>
                <w:szCs w:val="20"/>
              </w:rPr>
              <w:t>չափված մեծության արժեքը չպետք է գերազանցի անվանական արժեքն ավելի քան 15 %-ով</w:t>
            </w:r>
          </w:p>
        </w:tc>
      </w:tr>
      <w:tr w:rsidR="00CA27E3" w:rsidRPr="00D83000" w14:paraId="63D579DD" w14:textId="77777777" w:rsidTr="00CA27E3">
        <w:trPr>
          <w:jc w:val="center"/>
        </w:trPr>
        <w:tc>
          <w:tcPr>
            <w:tcW w:w="3648" w:type="dxa"/>
            <w:shd w:val="clear" w:color="auto" w:fill="FFFFFF"/>
            <w:vAlign w:val="bottom"/>
          </w:tcPr>
          <w:p w14:paraId="3D538743" w14:textId="77777777" w:rsidR="00CA27E3" w:rsidRPr="00D83000" w:rsidRDefault="00CA27E3" w:rsidP="00E5115A">
            <w:pPr>
              <w:pStyle w:val="Bodytext212"/>
              <w:shd w:val="clear" w:color="auto" w:fill="auto"/>
              <w:spacing w:after="120" w:line="240" w:lineRule="auto"/>
              <w:ind w:left="49" w:firstLine="0"/>
              <w:rPr>
                <w:rFonts w:ascii="Sylfaen" w:hAnsi="Sylfaen"/>
                <w:sz w:val="20"/>
                <w:szCs w:val="20"/>
              </w:rPr>
            </w:pPr>
            <w:r w:rsidRPr="00D83000">
              <w:rPr>
                <w:rFonts w:ascii="Sylfaen" w:hAnsi="Sylfaen"/>
                <w:sz w:val="20"/>
                <w:szCs w:val="20"/>
              </w:rPr>
              <w:t>Ձայնային հզորության մակարդակը</w:t>
            </w:r>
          </w:p>
        </w:tc>
        <w:tc>
          <w:tcPr>
            <w:tcW w:w="5933" w:type="dxa"/>
            <w:shd w:val="clear" w:color="auto" w:fill="FFFFFF"/>
            <w:vAlign w:val="bottom"/>
          </w:tcPr>
          <w:p w14:paraId="4878F82C" w14:textId="77777777" w:rsidR="00CA27E3" w:rsidRPr="00D83000" w:rsidRDefault="00CA27E3" w:rsidP="00E5115A">
            <w:pPr>
              <w:pStyle w:val="Bodytext212"/>
              <w:shd w:val="clear" w:color="auto" w:fill="auto"/>
              <w:spacing w:after="120" w:line="240" w:lineRule="auto"/>
              <w:ind w:left="69" w:right="102" w:firstLine="0"/>
              <w:jc w:val="both"/>
              <w:rPr>
                <w:rFonts w:ascii="Sylfaen" w:hAnsi="Sylfaen"/>
                <w:sz w:val="20"/>
                <w:szCs w:val="20"/>
              </w:rPr>
            </w:pPr>
            <w:r w:rsidRPr="00D83000">
              <w:rPr>
                <w:rFonts w:ascii="Sylfaen" w:hAnsi="Sylfaen"/>
                <w:sz w:val="20"/>
                <w:szCs w:val="20"/>
              </w:rPr>
              <w:t>չափված մեծության արժեքը չպետք է գերազանցի անվանական արժեքը</w:t>
            </w:r>
          </w:p>
        </w:tc>
      </w:tr>
      <w:tr w:rsidR="00CA27E3" w:rsidRPr="00D83000" w14:paraId="5B700988" w14:textId="77777777" w:rsidTr="00CA27E3">
        <w:trPr>
          <w:jc w:val="center"/>
        </w:trPr>
        <w:tc>
          <w:tcPr>
            <w:tcW w:w="3648" w:type="dxa"/>
            <w:shd w:val="clear" w:color="auto" w:fill="FFFFFF"/>
            <w:vAlign w:val="center"/>
          </w:tcPr>
          <w:p w14:paraId="0FB0F0E0" w14:textId="77777777" w:rsidR="00CA27E3" w:rsidRPr="00D83000" w:rsidRDefault="00CA27E3" w:rsidP="00E5115A">
            <w:pPr>
              <w:pStyle w:val="Bodytext212"/>
              <w:shd w:val="clear" w:color="auto" w:fill="auto"/>
              <w:spacing w:after="120" w:line="240" w:lineRule="auto"/>
              <w:ind w:left="49" w:firstLine="0"/>
              <w:rPr>
                <w:rFonts w:ascii="Sylfaen" w:hAnsi="Sylfaen"/>
                <w:sz w:val="20"/>
                <w:szCs w:val="20"/>
              </w:rPr>
            </w:pPr>
            <w:r w:rsidRPr="00D83000">
              <w:rPr>
                <w:rFonts w:ascii="Sylfaen" w:hAnsi="Sylfaen"/>
                <w:sz w:val="20"/>
                <w:szCs w:val="20"/>
              </w:rPr>
              <w:t>Էլեկտրաշարժիչի ռեսուրսը</w:t>
            </w:r>
          </w:p>
        </w:tc>
        <w:tc>
          <w:tcPr>
            <w:tcW w:w="5933" w:type="dxa"/>
            <w:shd w:val="clear" w:color="auto" w:fill="FFFFFF"/>
            <w:vAlign w:val="bottom"/>
          </w:tcPr>
          <w:p w14:paraId="12156FD5" w14:textId="77777777" w:rsidR="00CA27E3" w:rsidRPr="00D83000" w:rsidRDefault="00CA27E3" w:rsidP="00E5115A">
            <w:pPr>
              <w:pStyle w:val="Bodytext212"/>
              <w:shd w:val="clear" w:color="auto" w:fill="auto"/>
              <w:spacing w:after="120" w:line="240" w:lineRule="auto"/>
              <w:ind w:left="69" w:right="102" w:firstLine="0"/>
              <w:jc w:val="both"/>
              <w:rPr>
                <w:rFonts w:ascii="Sylfaen" w:hAnsi="Sylfaen"/>
                <w:sz w:val="20"/>
                <w:szCs w:val="20"/>
              </w:rPr>
            </w:pPr>
            <w:r w:rsidRPr="00D83000">
              <w:rPr>
                <w:rFonts w:ascii="Sylfaen" w:hAnsi="Sylfaen"/>
                <w:sz w:val="20"/>
                <w:szCs w:val="20"/>
              </w:rPr>
              <w:t>չափված մեծության արժեքը չպետք է պակաս լինի անվանական արժեքից ավելի քան 5 %-ով</w:t>
            </w:r>
          </w:p>
        </w:tc>
      </w:tr>
      <w:tr w:rsidR="00CA27E3" w:rsidRPr="00D83000" w14:paraId="1E97D646" w14:textId="77777777" w:rsidTr="00CA27E3">
        <w:trPr>
          <w:jc w:val="center"/>
        </w:trPr>
        <w:tc>
          <w:tcPr>
            <w:tcW w:w="9581" w:type="dxa"/>
            <w:gridSpan w:val="2"/>
            <w:shd w:val="clear" w:color="auto" w:fill="FFFFFF"/>
            <w:vAlign w:val="center"/>
          </w:tcPr>
          <w:p w14:paraId="742A875C" w14:textId="77777777" w:rsidR="00CA27E3" w:rsidRPr="00D83000" w:rsidRDefault="00CA27E3" w:rsidP="00647F3B">
            <w:pPr>
              <w:pStyle w:val="Bodytext212"/>
              <w:shd w:val="clear" w:color="auto" w:fill="auto"/>
              <w:spacing w:after="160" w:line="360" w:lineRule="auto"/>
              <w:ind w:firstLine="0"/>
              <w:jc w:val="both"/>
              <w:rPr>
                <w:rFonts w:ascii="Sylfaen" w:hAnsi="Sylfaen"/>
                <w:sz w:val="20"/>
                <w:szCs w:val="20"/>
              </w:rPr>
            </w:pPr>
            <w:r w:rsidRPr="00D83000">
              <w:rPr>
                <w:rFonts w:ascii="Sylfaen" w:hAnsi="Sylfaen"/>
                <w:sz w:val="20"/>
                <w:szCs w:val="20"/>
              </w:rPr>
              <w:t>(*) Անվանական արժեք ասելով պետք է հասկանալ արտադրողի հայտարարած արժեքը</w:t>
            </w:r>
          </w:p>
        </w:tc>
      </w:tr>
    </w:tbl>
    <w:p w14:paraId="42040D07" w14:textId="77777777" w:rsidR="00D83000" w:rsidRDefault="00D83000" w:rsidP="00CA27E3">
      <w:pPr>
        <w:pStyle w:val="Bodytext212"/>
        <w:shd w:val="clear" w:color="auto" w:fill="auto"/>
        <w:spacing w:after="160" w:line="360" w:lineRule="auto"/>
        <w:ind w:firstLine="567"/>
        <w:jc w:val="both"/>
        <w:rPr>
          <w:rFonts w:ascii="Sylfaen" w:hAnsi="Sylfaen"/>
          <w:sz w:val="24"/>
          <w:szCs w:val="24"/>
        </w:rPr>
      </w:pPr>
    </w:p>
    <w:p w14:paraId="307497F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Այլ դեպքերում փորձարկումները (չափումները) պետք է անցկացվեն տվյալ մոդելի փոշեկուլի 3 լրացուցիչ օրինակների վրա: Փոշեկուլի մոդելը համարվում է սույն պահանջներին համապատասխանող, եթե փոշեկուլի այդ 3 լրացուցիչ օրինակների չափված պարամետրերի միջին արժեքները համապատասխանում են սույն կետի առաջին պարբերության մեջ նշված պահանջներին:</w:t>
      </w:r>
    </w:p>
    <w:p w14:paraId="03F6B115" w14:textId="77777777" w:rsidR="00CA27E3" w:rsidRPr="003D2C38"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Այլ դեպքերում փոշեկուլի տվյալ մոդելը հարկավոր է դիտարկել որպես տեխնիկական կանոնակարգի պահանջներին չհամապատասխանող։</w:t>
      </w:r>
    </w:p>
    <w:p w14:paraId="29F417A5" w14:textId="77777777" w:rsidR="00E5115A" w:rsidRPr="003D2C38" w:rsidRDefault="00E5115A" w:rsidP="00E5115A">
      <w:pPr>
        <w:pStyle w:val="Bodytext212"/>
        <w:shd w:val="clear" w:color="auto" w:fill="auto"/>
        <w:spacing w:after="160" w:line="360" w:lineRule="auto"/>
        <w:ind w:firstLine="0"/>
        <w:jc w:val="center"/>
        <w:rPr>
          <w:rFonts w:ascii="Sylfaen" w:hAnsi="Sylfaen"/>
          <w:sz w:val="24"/>
          <w:szCs w:val="24"/>
        </w:rPr>
      </w:pPr>
      <w:r w:rsidRPr="003D2C38">
        <w:rPr>
          <w:rFonts w:ascii="Sylfaen" w:hAnsi="Sylfaen"/>
          <w:sz w:val="24"/>
          <w:szCs w:val="24"/>
        </w:rPr>
        <w:t>___________</w:t>
      </w:r>
    </w:p>
    <w:p w14:paraId="143BE471" w14:textId="77777777" w:rsidR="00D83000" w:rsidRPr="00BF7FB9" w:rsidRDefault="00D83000" w:rsidP="00CA27E3">
      <w:pPr>
        <w:spacing w:after="160" w:line="360" w:lineRule="auto"/>
        <w:rPr>
          <w:rFonts w:ascii="Sylfaen" w:hAnsi="Sylfaen"/>
        </w:rPr>
      </w:pPr>
    </w:p>
    <w:p w14:paraId="58B7922D" w14:textId="77777777" w:rsidR="00647F3B" w:rsidRPr="003D2C38" w:rsidRDefault="00647F3B" w:rsidP="00CA27E3">
      <w:pPr>
        <w:spacing w:after="160" w:line="360" w:lineRule="auto"/>
        <w:rPr>
          <w:rFonts w:ascii="Sylfaen" w:hAnsi="Sylfaen"/>
        </w:rPr>
        <w:sectPr w:rsidR="00647F3B" w:rsidRPr="003D2C38" w:rsidSect="003C5DE2">
          <w:pgSz w:w="11907" w:h="16840" w:code="9"/>
          <w:pgMar w:top="1418" w:right="1418" w:bottom="1418" w:left="1418" w:header="0" w:footer="539" w:gutter="0"/>
          <w:pgNumType w:start="1"/>
          <w:cols w:space="720"/>
          <w:noEndnote/>
          <w:titlePg/>
          <w:docGrid w:linePitch="360"/>
        </w:sectPr>
      </w:pPr>
    </w:p>
    <w:p w14:paraId="156F9AFF" w14:textId="77777777" w:rsidR="00CA27E3" w:rsidRPr="00CA27E3" w:rsidRDefault="00CA27E3" w:rsidP="00647F3B">
      <w:pPr>
        <w:pStyle w:val="Bodytext212"/>
        <w:shd w:val="clear" w:color="auto" w:fill="auto"/>
        <w:spacing w:after="160" w:line="360" w:lineRule="auto"/>
        <w:ind w:left="3969" w:firstLine="0"/>
        <w:jc w:val="center"/>
        <w:rPr>
          <w:rFonts w:ascii="Sylfaen" w:hAnsi="Sylfaen"/>
          <w:sz w:val="24"/>
          <w:szCs w:val="24"/>
        </w:rPr>
      </w:pPr>
      <w:r w:rsidRPr="00CA27E3">
        <w:rPr>
          <w:rFonts w:ascii="Sylfaen" w:hAnsi="Sylfaen"/>
          <w:sz w:val="24"/>
          <w:szCs w:val="24"/>
        </w:rPr>
        <w:lastRenderedPageBreak/>
        <w:t>ՀԱՎԵԼՎԱԾ ԹԻՎ 17</w:t>
      </w:r>
    </w:p>
    <w:p w14:paraId="7599E986" w14:textId="77777777" w:rsidR="00CA27E3" w:rsidRPr="00CA27E3" w:rsidRDefault="00CA27E3" w:rsidP="00647F3B">
      <w:pPr>
        <w:pStyle w:val="Bodytext212"/>
        <w:shd w:val="clear" w:color="auto" w:fill="auto"/>
        <w:spacing w:after="160" w:line="360" w:lineRule="auto"/>
        <w:ind w:left="3969" w:firstLine="0"/>
        <w:jc w:val="center"/>
        <w:rPr>
          <w:rFonts w:ascii="Sylfaen" w:hAnsi="Sylfaen"/>
          <w:sz w:val="24"/>
          <w:szCs w:val="24"/>
        </w:rPr>
      </w:pPr>
      <w:r w:rsidRPr="00CA27E3">
        <w:rPr>
          <w:rFonts w:ascii="Sylfaen" w:hAnsi="Sylfaen"/>
          <w:sz w:val="24"/>
          <w:szCs w:val="24"/>
        </w:rPr>
        <w:t xml:space="preserve">«Էներգասպառող սարքվածքների </w:t>
      </w:r>
      <w:r w:rsidR="00E5115A" w:rsidRPr="00E5115A">
        <w:rPr>
          <w:rFonts w:ascii="Sylfaen" w:hAnsi="Sylfaen"/>
          <w:sz w:val="24"/>
          <w:szCs w:val="24"/>
        </w:rPr>
        <w:br/>
      </w:r>
      <w:r w:rsidRPr="00CA27E3">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E5115A" w:rsidRPr="00E5115A">
        <w:rPr>
          <w:rFonts w:ascii="Sylfaen" w:hAnsi="Sylfaen"/>
          <w:sz w:val="24"/>
          <w:szCs w:val="24"/>
        </w:rPr>
        <w:br/>
      </w:r>
      <w:r w:rsidRPr="00CA27E3">
        <w:rPr>
          <w:rFonts w:ascii="Sylfaen" w:hAnsi="Sylfaen"/>
          <w:sz w:val="24"/>
          <w:szCs w:val="24"/>
        </w:rPr>
        <w:t>(ԵԱՏՄ ՏԿ</w:t>
      </w:r>
      <w:r w:rsidR="00647F3B" w:rsidRPr="00647F3B">
        <w:rPr>
          <w:rFonts w:ascii="Sylfaen" w:hAnsi="Sylfaen"/>
          <w:sz w:val="24"/>
          <w:szCs w:val="24"/>
        </w:rPr>
        <w:tab/>
      </w:r>
      <w:r w:rsidRPr="00CA27E3">
        <w:rPr>
          <w:rFonts w:ascii="Sylfaen" w:hAnsi="Sylfaen"/>
          <w:sz w:val="24"/>
          <w:szCs w:val="24"/>
        </w:rPr>
        <w:t>/20</w:t>
      </w:r>
      <w:r w:rsidR="00647F3B" w:rsidRPr="00647F3B">
        <w:rPr>
          <w:rFonts w:ascii="Sylfaen" w:hAnsi="Sylfaen"/>
          <w:sz w:val="24"/>
          <w:szCs w:val="24"/>
        </w:rPr>
        <w:tab/>
      </w:r>
      <w:r w:rsidRPr="00CA27E3">
        <w:rPr>
          <w:rFonts w:ascii="Sylfaen" w:hAnsi="Sylfaen"/>
          <w:sz w:val="24"/>
          <w:szCs w:val="24"/>
        </w:rPr>
        <w:t>)</w:t>
      </w:r>
    </w:p>
    <w:p w14:paraId="2CA09F0F" w14:textId="77777777" w:rsidR="00CA27E3" w:rsidRPr="00CA27E3" w:rsidRDefault="00CA27E3" w:rsidP="00CA27E3">
      <w:pPr>
        <w:pStyle w:val="Bodytext212"/>
        <w:shd w:val="clear" w:color="auto" w:fill="auto"/>
        <w:spacing w:after="160" w:line="360" w:lineRule="auto"/>
        <w:ind w:left="3402" w:firstLine="0"/>
        <w:jc w:val="center"/>
        <w:rPr>
          <w:rFonts w:ascii="Sylfaen" w:hAnsi="Sylfaen"/>
          <w:sz w:val="24"/>
          <w:szCs w:val="24"/>
        </w:rPr>
      </w:pPr>
    </w:p>
    <w:p w14:paraId="2902D326" w14:textId="77777777" w:rsidR="00CA27E3" w:rsidRPr="00647F3B" w:rsidRDefault="00CA27E3" w:rsidP="00647F3B">
      <w:pPr>
        <w:pStyle w:val="Bodytext31"/>
        <w:shd w:val="clear" w:color="auto" w:fill="auto"/>
        <w:spacing w:before="0" w:after="160" w:line="360" w:lineRule="auto"/>
        <w:ind w:left="567" w:right="566"/>
        <w:rPr>
          <w:rStyle w:val="Bodytext3Spacing2pt"/>
          <w:rFonts w:ascii="Sylfaen" w:hAnsi="Sylfaen"/>
          <w:b/>
          <w:bCs/>
          <w:spacing w:val="0"/>
          <w:sz w:val="24"/>
          <w:szCs w:val="24"/>
        </w:rPr>
      </w:pPr>
      <w:r w:rsidRPr="00647F3B">
        <w:rPr>
          <w:rStyle w:val="Bodytext3Spacing2pt"/>
          <w:rFonts w:ascii="Sylfaen" w:hAnsi="Sylfaen"/>
          <w:b/>
          <w:spacing w:val="0"/>
          <w:sz w:val="24"/>
          <w:szCs w:val="24"/>
        </w:rPr>
        <w:t>ՊԱՀԱՆՋՆԵՐ</w:t>
      </w:r>
    </w:p>
    <w:p w14:paraId="6C6B2454" w14:textId="77777777" w:rsidR="00CA27E3" w:rsidRPr="00CA27E3" w:rsidRDefault="00CA27E3" w:rsidP="00647F3B">
      <w:pPr>
        <w:pStyle w:val="Bodytext31"/>
        <w:shd w:val="clear" w:color="auto" w:fill="auto"/>
        <w:spacing w:before="0" w:after="160" w:line="360" w:lineRule="auto"/>
        <w:ind w:left="567" w:right="566"/>
        <w:rPr>
          <w:rFonts w:ascii="Sylfaen" w:hAnsi="Sylfaen"/>
          <w:sz w:val="24"/>
          <w:szCs w:val="24"/>
        </w:rPr>
      </w:pPr>
      <w:r w:rsidRPr="00CA27E3">
        <w:rPr>
          <w:rFonts w:ascii="Sylfaen" w:hAnsi="Sylfaen"/>
          <w:sz w:val="24"/>
          <w:szCs w:val="24"/>
        </w:rPr>
        <w:t xml:space="preserve">համակարգիչների </w:t>
      </w:r>
      <w:r>
        <w:rPr>
          <w:rFonts w:ascii="Sylfaen" w:hAnsi="Sylfaen"/>
          <w:sz w:val="24"/>
          <w:szCs w:val="24"/>
        </w:rPr>
        <w:t>եւ</w:t>
      </w:r>
      <w:r w:rsidRPr="00CA27E3">
        <w:rPr>
          <w:rFonts w:ascii="Sylfaen" w:hAnsi="Sylfaen"/>
          <w:sz w:val="24"/>
          <w:szCs w:val="24"/>
        </w:rPr>
        <w:t xml:space="preserve"> կենցաղային նշանակության սերվերների էներգետիկ արդյունավետությանը ներկայացվող</w:t>
      </w:r>
    </w:p>
    <w:p w14:paraId="655DAE50" w14:textId="77777777" w:rsidR="00CA27E3" w:rsidRPr="00CA27E3" w:rsidRDefault="00CA27E3" w:rsidP="00CA27E3">
      <w:pPr>
        <w:pStyle w:val="Bodytext31"/>
        <w:shd w:val="clear" w:color="auto" w:fill="auto"/>
        <w:spacing w:before="0" w:after="160" w:line="360" w:lineRule="auto"/>
        <w:ind w:left="1701" w:right="1693"/>
        <w:rPr>
          <w:rFonts w:ascii="Sylfaen" w:hAnsi="Sylfaen"/>
          <w:sz w:val="24"/>
          <w:szCs w:val="24"/>
        </w:rPr>
      </w:pPr>
    </w:p>
    <w:p w14:paraId="55F52062"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I. Կիրառման ոլորտը</w:t>
      </w:r>
    </w:p>
    <w:p w14:paraId="37E829F7"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w:t>
      </w:r>
      <w:r w:rsidR="00647F3B" w:rsidRPr="00647F3B">
        <w:rPr>
          <w:rFonts w:ascii="Sylfaen" w:hAnsi="Sylfaen"/>
          <w:sz w:val="24"/>
          <w:szCs w:val="24"/>
        </w:rPr>
        <w:tab/>
      </w:r>
      <w:r w:rsidRPr="00CA27E3">
        <w:rPr>
          <w:rFonts w:ascii="Sylfaen" w:hAnsi="Sylfaen"/>
          <w:sz w:val="24"/>
          <w:szCs w:val="24"/>
        </w:rPr>
        <w:t xml:space="preserve">Սույն պահանջները տարածվում են Եվրասիական տնտեսական միության (այսուհետ՝ Միություն) մաքսային տարածքում շրջանառության մեջ դրվող՝ անմիջապես փոփոխական հոսանքի ցանցից, այդ թվում՝ էլեկտրասնուցման արտաքին կամ ներքին աղբյուրից սնուցման համար նախատեսված համակարգիչների </w:t>
      </w:r>
      <w:r>
        <w:rPr>
          <w:rFonts w:ascii="Sylfaen" w:hAnsi="Sylfaen"/>
          <w:sz w:val="24"/>
          <w:szCs w:val="24"/>
        </w:rPr>
        <w:t>եւ</w:t>
      </w:r>
      <w:r w:rsidRPr="00CA27E3">
        <w:rPr>
          <w:rFonts w:ascii="Sylfaen" w:hAnsi="Sylfaen"/>
          <w:sz w:val="24"/>
          <w:szCs w:val="24"/>
        </w:rPr>
        <w:t xml:space="preserve"> կենցաղային նշանակության սերվերների վրա (այսուհետ՝ համակարգիչներ </w:t>
      </w:r>
      <w:r>
        <w:rPr>
          <w:rFonts w:ascii="Sylfaen" w:hAnsi="Sylfaen"/>
          <w:sz w:val="24"/>
          <w:szCs w:val="24"/>
        </w:rPr>
        <w:t>եւ</w:t>
      </w:r>
      <w:r w:rsidRPr="00CA27E3">
        <w:rPr>
          <w:rFonts w:ascii="Sylfaen" w:hAnsi="Sylfaen"/>
          <w:sz w:val="24"/>
          <w:szCs w:val="24"/>
        </w:rPr>
        <w:t xml:space="preserve"> սերվերներ)՝</w:t>
      </w:r>
    </w:p>
    <w:p w14:paraId="609EC4D1"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647F3B" w:rsidRPr="00647F3B">
        <w:rPr>
          <w:rFonts w:ascii="Sylfaen" w:hAnsi="Sylfaen"/>
          <w:sz w:val="24"/>
          <w:szCs w:val="24"/>
        </w:rPr>
        <w:tab/>
      </w:r>
      <w:r w:rsidRPr="00CA27E3">
        <w:rPr>
          <w:rFonts w:ascii="Sylfaen" w:hAnsi="Sylfaen"/>
          <w:sz w:val="24"/>
          <w:szCs w:val="24"/>
        </w:rPr>
        <w:t>սեղանի համակարգիչներ.</w:t>
      </w:r>
    </w:p>
    <w:p w14:paraId="45F168D5"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647F3B" w:rsidRPr="00647F3B">
        <w:rPr>
          <w:rFonts w:ascii="Sylfaen" w:hAnsi="Sylfaen"/>
          <w:sz w:val="24"/>
          <w:szCs w:val="24"/>
        </w:rPr>
        <w:tab/>
      </w:r>
      <w:r w:rsidRPr="00CA27E3">
        <w:rPr>
          <w:rFonts w:ascii="Sylfaen" w:hAnsi="Sylfaen"/>
          <w:sz w:val="24"/>
          <w:szCs w:val="24"/>
        </w:rPr>
        <w:t>միաբլոկ սեղանի համակարգիչներ.</w:t>
      </w:r>
    </w:p>
    <w:p w14:paraId="594F843A"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647F3B" w:rsidRPr="00647F3B">
        <w:rPr>
          <w:rFonts w:ascii="Sylfaen" w:hAnsi="Sylfaen"/>
          <w:sz w:val="24"/>
          <w:szCs w:val="24"/>
        </w:rPr>
        <w:tab/>
      </w:r>
      <w:r w:rsidRPr="00CA27E3">
        <w:rPr>
          <w:rFonts w:ascii="Sylfaen" w:hAnsi="Sylfaen"/>
          <w:sz w:val="24"/>
          <w:szCs w:val="24"/>
        </w:rPr>
        <w:t xml:space="preserve">նոութբուքեր (այդ թվում՝ պլանշետային համակարգիչներ, կոմպակտ պլանշետային համակարգիչներ </w:t>
      </w:r>
      <w:r>
        <w:rPr>
          <w:rFonts w:ascii="Sylfaen" w:hAnsi="Sylfaen"/>
          <w:sz w:val="24"/>
          <w:szCs w:val="24"/>
        </w:rPr>
        <w:t>եւ</w:t>
      </w:r>
      <w:r w:rsidRPr="00CA27E3">
        <w:rPr>
          <w:rFonts w:ascii="Sylfaen" w:hAnsi="Sylfaen"/>
          <w:sz w:val="24"/>
          <w:szCs w:val="24"/>
        </w:rPr>
        <w:t xml:space="preserve"> շարժական «բարակ կլիենտներ»).</w:t>
      </w:r>
    </w:p>
    <w:p w14:paraId="5A907E89"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647F3B" w:rsidRPr="00BF7FB9">
        <w:rPr>
          <w:rFonts w:ascii="Sylfaen" w:hAnsi="Sylfaen"/>
          <w:sz w:val="24"/>
          <w:szCs w:val="24"/>
        </w:rPr>
        <w:tab/>
      </w:r>
      <w:r w:rsidRPr="00CA27E3">
        <w:rPr>
          <w:rFonts w:ascii="Sylfaen" w:hAnsi="Sylfaen"/>
          <w:sz w:val="24"/>
          <w:szCs w:val="24"/>
        </w:rPr>
        <w:t>շարժական «բարակ կլիենտներ».</w:t>
      </w:r>
    </w:p>
    <w:p w14:paraId="745322F6"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647F3B" w:rsidRPr="00647F3B">
        <w:rPr>
          <w:rFonts w:ascii="Sylfaen" w:hAnsi="Sylfaen"/>
          <w:sz w:val="24"/>
          <w:szCs w:val="24"/>
        </w:rPr>
        <w:tab/>
      </w:r>
      <w:r w:rsidRPr="00CA27E3">
        <w:rPr>
          <w:rFonts w:ascii="Sylfaen" w:hAnsi="Sylfaen"/>
          <w:sz w:val="24"/>
          <w:szCs w:val="24"/>
        </w:rPr>
        <w:t>աշխատանքային կայաններ.</w:t>
      </w:r>
    </w:p>
    <w:p w14:paraId="3471255D"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lastRenderedPageBreak/>
        <w:t>զ)</w:t>
      </w:r>
      <w:r w:rsidR="00647F3B" w:rsidRPr="00647F3B">
        <w:rPr>
          <w:rFonts w:ascii="Sylfaen" w:hAnsi="Sylfaen"/>
          <w:sz w:val="24"/>
          <w:szCs w:val="24"/>
        </w:rPr>
        <w:tab/>
      </w:r>
      <w:r w:rsidRPr="00CA27E3">
        <w:rPr>
          <w:rFonts w:ascii="Sylfaen" w:hAnsi="Sylfaen"/>
          <w:sz w:val="24"/>
          <w:szCs w:val="24"/>
        </w:rPr>
        <w:t>շարժական աշխատանքային կայաններ.</w:t>
      </w:r>
    </w:p>
    <w:p w14:paraId="73B32D22"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է)</w:t>
      </w:r>
      <w:r w:rsidR="00647F3B" w:rsidRPr="00647F3B">
        <w:rPr>
          <w:rFonts w:ascii="Sylfaen" w:hAnsi="Sylfaen"/>
          <w:sz w:val="24"/>
          <w:szCs w:val="24"/>
        </w:rPr>
        <w:tab/>
      </w:r>
      <w:r w:rsidRPr="00CA27E3">
        <w:rPr>
          <w:rFonts w:ascii="Sylfaen" w:hAnsi="Sylfaen"/>
          <w:sz w:val="24"/>
          <w:szCs w:val="24"/>
        </w:rPr>
        <w:t>փոքր սերվերներ.</w:t>
      </w:r>
    </w:p>
    <w:p w14:paraId="3BD77513"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ը)</w:t>
      </w:r>
      <w:r w:rsidR="00647F3B" w:rsidRPr="00647F3B">
        <w:rPr>
          <w:rFonts w:ascii="Sylfaen" w:hAnsi="Sylfaen"/>
          <w:sz w:val="24"/>
          <w:szCs w:val="24"/>
        </w:rPr>
        <w:tab/>
      </w:r>
      <w:r w:rsidRPr="00CA27E3">
        <w:rPr>
          <w:rFonts w:ascii="Sylfaen" w:hAnsi="Sylfaen"/>
          <w:sz w:val="24"/>
          <w:szCs w:val="24"/>
        </w:rPr>
        <w:t>համակարգիչ-սերվերներ:</w:t>
      </w:r>
    </w:p>
    <w:p w14:paraId="53B3405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Սույն պահանջները չեն տարածվում հետ</w:t>
      </w:r>
      <w:r>
        <w:rPr>
          <w:rFonts w:ascii="Sylfaen" w:hAnsi="Sylfaen"/>
          <w:sz w:val="24"/>
          <w:szCs w:val="24"/>
        </w:rPr>
        <w:t>եւ</w:t>
      </w:r>
      <w:r w:rsidRPr="00CA27E3">
        <w:rPr>
          <w:rFonts w:ascii="Sylfaen" w:hAnsi="Sylfaen"/>
          <w:sz w:val="24"/>
          <w:szCs w:val="24"/>
        </w:rPr>
        <w:t>յալ արտադրատեսակների վրա՝</w:t>
      </w:r>
    </w:p>
    <w:p w14:paraId="1EB7BBF9"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647F3B" w:rsidRPr="00647F3B">
        <w:rPr>
          <w:rFonts w:ascii="Sylfaen" w:hAnsi="Sylfaen"/>
          <w:sz w:val="24"/>
          <w:szCs w:val="24"/>
        </w:rPr>
        <w:tab/>
      </w:r>
      <w:r w:rsidRPr="00CA27E3">
        <w:rPr>
          <w:rFonts w:ascii="Sylfaen" w:hAnsi="Sylfaen"/>
          <w:sz w:val="24"/>
          <w:szCs w:val="24"/>
        </w:rPr>
        <w:t xml:space="preserve">բլեյդ-համակարգեր </w:t>
      </w:r>
      <w:r>
        <w:rPr>
          <w:rFonts w:ascii="Sylfaen" w:hAnsi="Sylfaen"/>
          <w:sz w:val="24"/>
          <w:szCs w:val="24"/>
        </w:rPr>
        <w:t>եւ</w:t>
      </w:r>
      <w:r w:rsidRPr="00CA27E3">
        <w:rPr>
          <w:rFonts w:ascii="Sylfaen" w:hAnsi="Sylfaen"/>
          <w:sz w:val="24"/>
          <w:szCs w:val="24"/>
        </w:rPr>
        <w:t xml:space="preserve"> դրանց բաղադրիչները.</w:t>
      </w:r>
    </w:p>
    <w:p w14:paraId="09B2F0B0"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647F3B" w:rsidRPr="00647F3B">
        <w:rPr>
          <w:rFonts w:ascii="Sylfaen" w:hAnsi="Sylfaen"/>
          <w:sz w:val="24"/>
          <w:szCs w:val="24"/>
        </w:rPr>
        <w:tab/>
      </w:r>
      <w:r w:rsidRPr="00CA27E3">
        <w:rPr>
          <w:rFonts w:ascii="Sylfaen" w:hAnsi="Sylfaen"/>
          <w:sz w:val="24"/>
          <w:szCs w:val="24"/>
        </w:rPr>
        <w:t>հավելվածների սերվերներ.</w:t>
      </w:r>
    </w:p>
    <w:p w14:paraId="30C85061"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647F3B" w:rsidRPr="00647F3B">
        <w:rPr>
          <w:rFonts w:ascii="Sylfaen" w:hAnsi="Sylfaen"/>
          <w:sz w:val="24"/>
          <w:szCs w:val="24"/>
        </w:rPr>
        <w:tab/>
      </w:r>
      <w:r w:rsidRPr="00CA27E3">
        <w:rPr>
          <w:rFonts w:ascii="Sylfaen" w:hAnsi="Sylfaen"/>
          <w:sz w:val="24"/>
          <w:szCs w:val="24"/>
        </w:rPr>
        <w:t>բազմահանգույց սերվերներ.</w:t>
      </w:r>
    </w:p>
    <w:p w14:paraId="0FC054CF"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647F3B" w:rsidRPr="00647F3B">
        <w:rPr>
          <w:rFonts w:ascii="Sylfaen" w:hAnsi="Sylfaen"/>
          <w:sz w:val="24"/>
          <w:szCs w:val="24"/>
        </w:rPr>
        <w:tab/>
      </w:r>
      <w:r w:rsidRPr="00CA27E3">
        <w:rPr>
          <w:rFonts w:ascii="Sylfaen" w:hAnsi="Sylfaen"/>
          <w:sz w:val="24"/>
          <w:szCs w:val="24"/>
        </w:rPr>
        <w:t>ավելի քան 4 պրոցեսորային միացքներով համակարգիչ-սերվերներ.</w:t>
      </w:r>
    </w:p>
    <w:p w14:paraId="60824C2F"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647F3B" w:rsidRPr="00647F3B">
        <w:rPr>
          <w:rFonts w:ascii="Sylfaen" w:hAnsi="Sylfaen"/>
          <w:sz w:val="24"/>
          <w:szCs w:val="24"/>
        </w:rPr>
        <w:tab/>
      </w:r>
      <w:r w:rsidRPr="00CA27E3">
        <w:rPr>
          <w:rFonts w:ascii="Sylfaen" w:hAnsi="Sylfaen"/>
          <w:sz w:val="24"/>
          <w:szCs w:val="24"/>
        </w:rPr>
        <w:t>խաղաբարձակներ.</w:t>
      </w:r>
    </w:p>
    <w:p w14:paraId="01B18FC1" w14:textId="77777777" w:rsidR="00CA27E3" w:rsidRPr="00CA27E3" w:rsidRDefault="00CA27E3" w:rsidP="00647F3B">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զ)</w:t>
      </w:r>
      <w:r w:rsidR="00647F3B" w:rsidRPr="00647F3B">
        <w:rPr>
          <w:rFonts w:ascii="Sylfaen" w:hAnsi="Sylfaen"/>
          <w:sz w:val="24"/>
          <w:szCs w:val="24"/>
        </w:rPr>
        <w:tab/>
      </w:r>
      <w:r w:rsidRPr="00CA27E3">
        <w:rPr>
          <w:rFonts w:ascii="Sylfaen" w:hAnsi="Sylfaen"/>
          <w:sz w:val="24"/>
          <w:szCs w:val="24"/>
        </w:rPr>
        <w:t>դոկ-կայաններ:</w:t>
      </w:r>
    </w:p>
    <w:p w14:paraId="13E48913" w14:textId="77777777" w:rsidR="00CA27E3" w:rsidRPr="00E5115A" w:rsidRDefault="00CA27E3" w:rsidP="00CA27E3">
      <w:pPr>
        <w:pStyle w:val="Bodytext212"/>
        <w:shd w:val="clear" w:color="auto" w:fill="auto"/>
        <w:spacing w:after="160" w:line="360" w:lineRule="auto"/>
        <w:ind w:firstLine="567"/>
        <w:jc w:val="both"/>
        <w:rPr>
          <w:rFonts w:ascii="Sylfaen" w:hAnsi="Sylfaen"/>
          <w:spacing w:val="-6"/>
          <w:sz w:val="24"/>
          <w:szCs w:val="24"/>
        </w:rPr>
      </w:pPr>
      <w:r w:rsidRPr="00CA27E3">
        <w:rPr>
          <w:rFonts w:ascii="Sylfaen" w:hAnsi="Sylfaen"/>
          <w:sz w:val="24"/>
          <w:szCs w:val="24"/>
        </w:rPr>
        <w:t xml:space="preserve">Եթե համակարգիչների </w:t>
      </w:r>
      <w:r>
        <w:rPr>
          <w:rFonts w:ascii="Sylfaen" w:hAnsi="Sylfaen"/>
          <w:sz w:val="24"/>
          <w:szCs w:val="24"/>
        </w:rPr>
        <w:t>եւ</w:t>
      </w:r>
      <w:r w:rsidRPr="00CA27E3">
        <w:rPr>
          <w:rFonts w:ascii="Sylfaen" w:hAnsi="Sylfaen"/>
          <w:sz w:val="24"/>
          <w:szCs w:val="24"/>
        </w:rPr>
        <w:t xml:space="preserve"> սերվերների մասով ընդունվել են Միության այլ տեխնիկական կանոնակարգեր (Մաքսային միության տեխնիկական </w:t>
      </w:r>
      <w:r w:rsidRPr="00E5115A">
        <w:rPr>
          <w:rFonts w:ascii="Sylfaen" w:hAnsi="Sylfaen"/>
          <w:spacing w:val="-6"/>
          <w:sz w:val="24"/>
          <w:szCs w:val="24"/>
        </w:rPr>
        <w:t>կանոնակարգեր), որոնցով սահմանվում են դրանց ներկայացվող պահանջները, ապա համակարգիչները եւ սերվերները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416B6CF4" w14:textId="77777777" w:rsidR="00CA27E3" w:rsidRPr="00CA27E3" w:rsidRDefault="00CA27E3" w:rsidP="00CA27E3">
      <w:pPr>
        <w:spacing w:after="160" w:line="360" w:lineRule="auto"/>
        <w:ind w:firstLine="567"/>
        <w:jc w:val="both"/>
        <w:rPr>
          <w:rFonts w:ascii="Sylfaen" w:hAnsi="Sylfaen"/>
        </w:rPr>
      </w:pPr>
    </w:p>
    <w:p w14:paraId="513FAF52"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II. Հիմնական հասկացությունները</w:t>
      </w:r>
    </w:p>
    <w:p w14:paraId="1335BF19"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2.</w:t>
      </w:r>
      <w:r w:rsidR="00003F9A" w:rsidRPr="00003F9A">
        <w:rPr>
          <w:rFonts w:ascii="Sylfaen" w:hAnsi="Sylfaen"/>
          <w:sz w:val="24"/>
          <w:szCs w:val="24"/>
        </w:rPr>
        <w:tab/>
      </w:r>
      <w:r w:rsidRPr="00CA27E3">
        <w:rPr>
          <w:rFonts w:ascii="Sylfaen" w:hAnsi="Sylfaen"/>
          <w:sz w:val="24"/>
          <w:szCs w:val="24"/>
        </w:rPr>
        <w:t>Սույն պահանջները կիրառելու նպատակներով օգտագործվում են</w:t>
      </w:r>
      <w:r>
        <w:rPr>
          <w:rFonts w:ascii="Sylfaen" w:hAnsi="Sylfaen"/>
          <w:sz w:val="24"/>
          <w:szCs w:val="24"/>
        </w:rPr>
        <w:t xml:space="preserve"> </w:t>
      </w:r>
      <w:r w:rsidRPr="00CA27E3">
        <w:rPr>
          <w:rFonts w:ascii="Sylfaen" w:hAnsi="Sylfaen"/>
          <w:sz w:val="24"/>
          <w:szCs w:val="24"/>
        </w:rPr>
        <w:t>հասկացություններ, որոնք ունեն հետ</w:t>
      </w:r>
      <w:r>
        <w:rPr>
          <w:rFonts w:ascii="Sylfaen" w:hAnsi="Sylfaen"/>
          <w:sz w:val="24"/>
          <w:szCs w:val="24"/>
        </w:rPr>
        <w:t>եւ</w:t>
      </w:r>
      <w:r w:rsidRPr="00CA27E3">
        <w:rPr>
          <w:rFonts w:ascii="Sylfaen" w:hAnsi="Sylfaen"/>
          <w:sz w:val="24"/>
          <w:szCs w:val="24"/>
        </w:rPr>
        <w:t>յալ իմաստը՝</w:t>
      </w:r>
    </w:p>
    <w:p w14:paraId="0FF0E18D" w14:textId="77777777" w:rsidR="00CA27E3" w:rsidRPr="00CA27E3" w:rsidRDefault="00E5115A" w:rsidP="00CA27E3">
      <w:pPr>
        <w:pStyle w:val="Bodytext212"/>
        <w:shd w:val="clear" w:color="auto" w:fill="auto"/>
        <w:spacing w:after="160" w:line="360" w:lineRule="auto"/>
        <w:ind w:firstLine="567"/>
        <w:jc w:val="both"/>
        <w:rPr>
          <w:rFonts w:ascii="Sylfaen" w:hAnsi="Sylfaen"/>
          <w:sz w:val="24"/>
          <w:szCs w:val="24"/>
        </w:rPr>
      </w:pPr>
      <w:r w:rsidRPr="00E5115A">
        <w:rPr>
          <w:rFonts w:ascii="Sylfaen" w:hAnsi="Sylfaen"/>
          <w:b/>
          <w:sz w:val="24"/>
          <w:szCs w:val="24"/>
        </w:rPr>
        <w:t>ակտիվացում</w:t>
      </w:r>
      <w:r w:rsidR="00CA27E3" w:rsidRPr="00E5115A">
        <w:rPr>
          <w:rFonts w:ascii="Sylfaen" w:hAnsi="Sylfaen"/>
          <w:b/>
          <w:sz w:val="24"/>
          <w:szCs w:val="24"/>
        </w:rPr>
        <w:t>՝</w:t>
      </w:r>
      <w:r w:rsidR="00CA27E3" w:rsidRPr="00CA27E3">
        <w:rPr>
          <w:rFonts w:ascii="Sylfaen" w:hAnsi="Sylfaen"/>
          <w:sz w:val="24"/>
          <w:szCs w:val="24"/>
        </w:rPr>
        <w:t xml:space="preserve"> օգտվողի կողմից, արտաքին իրադարձությամբ կամ ներգործությամբ սկզբնավորված կամ ըստ կարգացուցակի կատարվող իրադարձություն, ինչը ստիպում է համակարգչին քնի ռեժիմից կամ անջատման ռեժիմից անցնել ակտիվ աշխատանքային ռեժիմի: «Ակտիվացում» իրադարձությունը ներառում է, բայց դրանցով չի սահմանափակում՝ </w:t>
      </w:r>
    </w:p>
    <w:p w14:paraId="27098BE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մկնիկի շարժումը.</w:t>
      </w:r>
    </w:p>
    <w:p w14:paraId="3449FBA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ստեղնաշարի վրա ստեղնի սեղմումը.</w:t>
      </w:r>
    </w:p>
    <w:p w14:paraId="15483FD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կոնտրոլերի մուտքը.</w:t>
      </w:r>
    </w:p>
    <w:p w14:paraId="0FC5CC7D" w14:textId="77777777" w:rsidR="00CA27E3" w:rsidRPr="00CA27E3" w:rsidRDefault="00CA27E3" w:rsidP="00CA27E3">
      <w:pPr>
        <w:pStyle w:val="Bodytext212"/>
        <w:shd w:val="clear" w:color="auto" w:fill="auto"/>
        <w:spacing w:after="160" w:line="360" w:lineRule="auto"/>
        <w:ind w:firstLine="567"/>
        <w:rPr>
          <w:rFonts w:ascii="Sylfaen" w:hAnsi="Sylfaen"/>
          <w:sz w:val="24"/>
          <w:szCs w:val="24"/>
        </w:rPr>
      </w:pPr>
      <w:r w:rsidRPr="00CA27E3">
        <w:rPr>
          <w:rFonts w:ascii="Sylfaen" w:hAnsi="Sylfaen"/>
          <w:sz w:val="24"/>
          <w:szCs w:val="24"/>
        </w:rPr>
        <w:t>ըստ իրական ժամանակի՝ ժամերի իրադարձությունը.</w:t>
      </w:r>
    </w:p>
    <w:p w14:paraId="32427F6C" w14:textId="77777777" w:rsidR="00CA27E3" w:rsidRPr="00CA27E3" w:rsidRDefault="00CA27E3" w:rsidP="00CA27E3">
      <w:pPr>
        <w:pStyle w:val="Bodytext212"/>
        <w:shd w:val="clear" w:color="auto" w:fill="auto"/>
        <w:spacing w:after="160" w:line="360" w:lineRule="auto"/>
        <w:ind w:firstLine="567"/>
        <w:rPr>
          <w:rFonts w:ascii="Sylfaen" w:hAnsi="Sylfaen"/>
          <w:sz w:val="24"/>
          <w:szCs w:val="24"/>
        </w:rPr>
      </w:pPr>
      <w:r w:rsidRPr="00CA27E3">
        <w:rPr>
          <w:rFonts w:ascii="Sylfaen" w:hAnsi="Sylfaen"/>
          <w:sz w:val="24"/>
          <w:szCs w:val="24"/>
        </w:rPr>
        <w:t>կորպուսի վրա կոճակի սեղմումը.</w:t>
      </w:r>
    </w:p>
    <w:p w14:paraId="3C1F2BE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հեռակառավարման վահանակով, ցանցով կամ մոդեմով փոխանցվող ազդանշանները սկզբնավորած արտաքին իրադարձությունները.</w:t>
      </w:r>
    </w:p>
    <w:p w14:paraId="12E4E6D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ակտիվացում տեղային ցանցով (WOL)՝</w:t>
      </w:r>
      <w:r w:rsidRPr="00CA27E3">
        <w:rPr>
          <w:rFonts w:ascii="Sylfaen" w:hAnsi="Sylfaen"/>
          <w:sz w:val="24"/>
          <w:szCs w:val="24"/>
        </w:rPr>
        <w:t xml:space="preserve"> գործառույթ, որի օգնությամբ համակարգիչը Ethernet տեղային ցանցի միջոցով՝ քնի ռեժիմից կամ անջատման ռեժիմից (կամ ցածր էներգասպառման այլ համանման ռեժիմից) հրամանով միանում է.</w:t>
      </w:r>
    </w:p>
    <w:p w14:paraId="72785B02"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ակտիվ ռեժիմ</w:t>
      </w:r>
      <w:r w:rsidR="00CA27E3" w:rsidRPr="002D3977">
        <w:rPr>
          <w:rFonts w:ascii="Sylfaen" w:hAnsi="Sylfaen"/>
          <w:b/>
          <w:sz w:val="24"/>
          <w:szCs w:val="24"/>
        </w:rPr>
        <w:t>՝</w:t>
      </w:r>
      <w:r w:rsidR="00CA27E3" w:rsidRPr="00CA27E3">
        <w:rPr>
          <w:rFonts w:ascii="Sylfaen" w:hAnsi="Sylfaen"/>
          <w:sz w:val="24"/>
          <w:szCs w:val="24"/>
        </w:rPr>
        <w:t xml:space="preserve"> վիճակ, որում համակարգիչը՝ օգտվողի կողմից տվյալների նախնական կամ միաժամանակյա մուտքագրման արդյունքում կամ ցանցով նախնական կամ միաժամանակյա հրաման ստանալու արդյունքում՝ ի</w:t>
      </w:r>
      <w:r w:rsidRPr="002D3977">
        <w:rPr>
          <w:rFonts w:ascii="Sylfaen" w:hAnsi="Sylfaen"/>
          <w:sz w:val="24"/>
          <w:szCs w:val="24"/>
        </w:rPr>
        <w:t> </w:t>
      </w:r>
      <w:r w:rsidR="00CA27E3" w:rsidRPr="00CA27E3">
        <w:rPr>
          <w:rFonts w:ascii="Sylfaen" w:hAnsi="Sylfaen"/>
          <w:sz w:val="24"/>
          <w:szCs w:val="24"/>
        </w:rPr>
        <w:t>պատասխան, օգտակար աշխատանք է իրականացնում: Այդ վիճակը ներառում է ակտիվ մշակումը, սկավառակի վրա, օպերատիվ հիշողության կամ քեշ-հիշողության մեջ տվյալների որոնումը, այդ թվում՝ ցածր էներգասպառման ռեժիմի անցնելուց առաջ օգտվողի կողմից տվյալների մուտքագրման սպասման մեջ ոչ աշխատանքային վիճակում պարապուրդի ժամանակը.</w:t>
      </w:r>
    </w:p>
    <w:p w14:paraId="0E484F92"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Pr>
          <w:rFonts w:ascii="Sylfaen" w:hAnsi="Sylfaen"/>
          <w:b/>
          <w:sz w:val="24"/>
          <w:szCs w:val="24"/>
        </w:rPr>
        <w:t>Աուդիոքարտ</w:t>
      </w:r>
      <w:r w:rsidRPr="002D3977">
        <w:rPr>
          <w:rFonts w:ascii="Sylfaen" w:hAnsi="Sylfaen"/>
          <w:b/>
          <w:sz w:val="24"/>
          <w:szCs w:val="24"/>
        </w:rPr>
        <w:t xml:space="preserve"> (ձայնային քարտ)</w:t>
      </w:r>
      <w:r w:rsidR="00CA27E3" w:rsidRPr="002D3977">
        <w:rPr>
          <w:rFonts w:ascii="Sylfaen" w:hAnsi="Sylfaen"/>
          <w:b/>
          <w:sz w:val="24"/>
          <w:szCs w:val="24"/>
        </w:rPr>
        <w:t>՝</w:t>
      </w:r>
      <w:r w:rsidR="00CA27E3" w:rsidRPr="00CA27E3">
        <w:rPr>
          <w:rFonts w:ascii="Sylfaen" w:hAnsi="Sylfaen"/>
          <w:sz w:val="24"/>
          <w:szCs w:val="24"/>
        </w:rPr>
        <w:t xml:space="preserve"> համակարգչի մուտքային </w:t>
      </w:r>
      <w:r w:rsidR="00CA27E3">
        <w:rPr>
          <w:rFonts w:ascii="Sylfaen" w:hAnsi="Sylfaen"/>
          <w:sz w:val="24"/>
          <w:szCs w:val="24"/>
        </w:rPr>
        <w:t>եւ</w:t>
      </w:r>
      <w:r w:rsidR="00CA27E3" w:rsidRPr="00CA27E3">
        <w:rPr>
          <w:rFonts w:ascii="Sylfaen" w:hAnsi="Sylfaen"/>
          <w:sz w:val="24"/>
          <w:szCs w:val="24"/>
        </w:rPr>
        <w:t xml:space="preserve"> ելքային ձայնային ազդանշանները մշակող դիսկրետային ներքին բաղադրիչ.</w:t>
      </w:r>
    </w:p>
    <w:p w14:paraId="072140A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բլեյդ-համակարգ եւ</w:t>
      </w:r>
      <w:r w:rsidR="002D3977" w:rsidRPr="002D3977">
        <w:rPr>
          <w:rFonts w:ascii="Sylfaen" w:hAnsi="Sylfaen"/>
          <w:b/>
          <w:sz w:val="24"/>
          <w:szCs w:val="24"/>
        </w:rPr>
        <w:t xml:space="preserve"> բաղադրիչներ</w:t>
      </w:r>
      <w:r w:rsidRPr="00CA27E3">
        <w:rPr>
          <w:rFonts w:ascii="Sylfaen" w:hAnsi="Sylfaen"/>
          <w:sz w:val="24"/>
          <w:szCs w:val="24"/>
        </w:rPr>
        <w:t xml:space="preserve">՝ կորպուսից բաղկացած համակարգ (բլեյդ-շասսի), որում տեղակայված են տարբեր տեսակի բլեյդ-կուտակիչներ ու սերվերներ, </w:t>
      </w:r>
      <w:r>
        <w:rPr>
          <w:rFonts w:ascii="Sylfaen" w:hAnsi="Sylfaen"/>
          <w:sz w:val="24"/>
          <w:szCs w:val="24"/>
        </w:rPr>
        <w:t>եւ</w:t>
      </w:r>
      <w:r w:rsidRPr="00CA27E3">
        <w:rPr>
          <w:rFonts w:ascii="Sylfaen" w:hAnsi="Sylfaen"/>
          <w:sz w:val="24"/>
          <w:szCs w:val="24"/>
        </w:rPr>
        <w:t xml:space="preserve"> նախատեսված են ընդհանուր ռեսուրսներ, որոնցից կախված է սերվերների </w:t>
      </w:r>
      <w:r>
        <w:rPr>
          <w:rFonts w:ascii="Sylfaen" w:hAnsi="Sylfaen"/>
          <w:sz w:val="24"/>
          <w:szCs w:val="24"/>
        </w:rPr>
        <w:t>եւ</w:t>
      </w:r>
      <w:r w:rsidRPr="00CA27E3">
        <w:rPr>
          <w:rFonts w:ascii="Sylfaen" w:hAnsi="Sylfaen"/>
          <w:sz w:val="24"/>
          <w:szCs w:val="24"/>
        </w:rPr>
        <w:t xml:space="preserve"> պահպանման սարքվածքների աշխատանքները: Բլեյդ-համակարգերը մշակվել են որպես մի քանի համակարգիչ-սերվերներ կամ մի </w:t>
      </w:r>
      <w:r w:rsidRPr="00CA27E3">
        <w:rPr>
          <w:rFonts w:ascii="Sylfaen" w:hAnsi="Sylfaen"/>
          <w:sz w:val="24"/>
          <w:szCs w:val="24"/>
        </w:rPr>
        <w:lastRenderedPageBreak/>
        <w:t xml:space="preserve">քանի պահպանման սարքվածքներ մեկ կորպուսում միավորելու համար մասշտաբավորվող որոշում </w:t>
      </w:r>
      <w:r>
        <w:rPr>
          <w:rFonts w:ascii="Sylfaen" w:hAnsi="Sylfaen"/>
          <w:sz w:val="24"/>
          <w:szCs w:val="24"/>
        </w:rPr>
        <w:t>եւ</w:t>
      </w:r>
      <w:r w:rsidRPr="00CA27E3">
        <w:rPr>
          <w:rFonts w:ascii="Sylfaen" w:hAnsi="Sylfaen"/>
          <w:sz w:val="24"/>
          <w:szCs w:val="24"/>
        </w:rPr>
        <w:t xml:space="preserve"> նախատեսված են սարքվածքները (օրինակ` բլեյդ-սերվերները) արագ ավելացնելու կամ դրանք փոխարինելու (թեժ փոխարինմամբ) հնարավորությունն ապահովելու համար.</w:t>
      </w:r>
    </w:p>
    <w:p w14:paraId="21B8F086"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արտաքին սնուցման աղբյուր</w:t>
      </w:r>
      <w:r w:rsidR="00CA27E3" w:rsidRPr="002D3977">
        <w:rPr>
          <w:rFonts w:ascii="Sylfaen" w:hAnsi="Sylfaen"/>
          <w:b/>
          <w:sz w:val="24"/>
          <w:szCs w:val="24"/>
        </w:rPr>
        <w:t>՝</w:t>
      </w:r>
      <w:r w:rsidR="00CA27E3" w:rsidRPr="00CA27E3">
        <w:rPr>
          <w:rFonts w:ascii="Sylfaen" w:hAnsi="Sylfaen"/>
          <w:sz w:val="24"/>
          <w:szCs w:val="24"/>
        </w:rPr>
        <w:t xml:space="preserve"> սարքվածք, որը բավարարում է հետ</w:t>
      </w:r>
      <w:r w:rsidR="00CA27E3">
        <w:rPr>
          <w:rFonts w:ascii="Sylfaen" w:hAnsi="Sylfaen"/>
          <w:sz w:val="24"/>
          <w:szCs w:val="24"/>
        </w:rPr>
        <w:t>եւ</w:t>
      </w:r>
      <w:r w:rsidR="00CA27E3" w:rsidRPr="00CA27E3">
        <w:rPr>
          <w:rFonts w:ascii="Sylfaen" w:hAnsi="Sylfaen"/>
          <w:sz w:val="24"/>
          <w:szCs w:val="24"/>
        </w:rPr>
        <w:t>յալ բոլոր պայմանները՝</w:t>
      </w:r>
    </w:p>
    <w:p w14:paraId="4EF0199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նախատեսված է սնուցման ցանցի փոփոխական հոսանքի մուտքային լարումն ավելի ցածր ելքային լարման կերպափոխելու համար.</w:t>
      </w:r>
    </w:p>
    <w:p w14:paraId="6C11EE8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ունակ է իրականացնելու հաստատուն կամ փոփոխական հոսանքի մուտքային լարման կերպափոխումը ելքային լարման (հաստատուն կամ փոփոխական հոսանքի արտաքին սնուցման աղբյուրներ).</w:t>
      </w:r>
    </w:p>
    <w:p w14:paraId="06F8678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նախատեսված է հիմնական բեռնվածքի դեր կատարող՝ դրանից առանձին՝ սնուցվող էլեկտրական սարքավորման հետ օգտագործելու համար.</w:t>
      </w:r>
    </w:p>
    <w:p w14:paraId="02A80EE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ներառված է հիմնական բեռնվածքի սնուցվող սարքավորումից առանձին ֆիզիկական թաղանթի (կորպուսի) մեջ.</w:t>
      </w:r>
    </w:p>
    <w:p w14:paraId="045015C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սնուցվող սարքավորման հետ միացվում է հանովի կամ կոշտ ամրակցված միաժանի-բնիկային էլեկտրական միացումների, մալուխի, լարի, հաղորդալարի կամ միակցիչ այլ սարքվածքի միջոցով.</w:t>
      </w:r>
    </w:p>
    <w:p w14:paraId="0F610C3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անվանական ելքային հզորությունը չի գերազանցում 250 Վտ-ը.</w:t>
      </w:r>
    </w:p>
    <w:p w14:paraId="191DF03D" w14:textId="77777777" w:rsidR="00CA27E3" w:rsidRPr="00CA27E3" w:rsidRDefault="00CA27E3" w:rsidP="002D3977">
      <w:pPr>
        <w:pStyle w:val="Bodytext212"/>
        <w:shd w:val="clear" w:color="auto" w:fill="auto"/>
        <w:tabs>
          <w:tab w:val="left" w:pos="7938"/>
        </w:tabs>
        <w:spacing w:after="160" w:line="360" w:lineRule="auto"/>
        <w:ind w:firstLine="567"/>
        <w:jc w:val="both"/>
        <w:rPr>
          <w:rFonts w:ascii="Sylfaen" w:hAnsi="Sylfaen"/>
          <w:sz w:val="24"/>
          <w:szCs w:val="24"/>
        </w:rPr>
      </w:pPr>
      <w:r w:rsidRPr="00CA27E3">
        <w:rPr>
          <w:rFonts w:ascii="Sylfaen" w:hAnsi="Sylfaen"/>
          <w:sz w:val="24"/>
          <w:szCs w:val="24"/>
        </w:rPr>
        <w:t>ընդգրկվում է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2D3977" w:rsidRPr="002D3977">
        <w:rPr>
          <w:rFonts w:ascii="Sylfaen" w:hAnsi="Sylfaen"/>
          <w:sz w:val="24"/>
          <w:szCs w:val="24"/>
        </w:rPr>
        <w:tab/>
      </w:r>
      <w:r w:rsidRPr="00CA27E3">
        <w:rPr>
          <w:rFonts w:ascii="Sylfaen" w:hAnsi="Sylfaen"/>
          <w:sz w:val="24"/>
          <w:szCs w:val="24"/>
        </w:rPr>
        <w:t xml:space="preserve"> /20</w:t>
      </w:r>
      <w:r w:rsidR="002D3977" w:rsidRPr="002D3977">
        <w:rPr>
          <w:rFonts w:ascii="Sylfaen" w:hAnsi="Sylfaen"/>
          <w:sz w:val="24"/>
          <w:szCs w:val="24"/>
        </w:rPr>
        <w:tab/>
      </w:r>
      <w:r w:rsidRPr="00CA27E3">
        <w:rPr>
          <w:rFonts w:ascii="Sylfaen" w:hAnsi="Sylfaen"/>
          <w:sz w:val="24"/>
          <w:szCs w:val="24"/>
        </w:rPr>
        <w:t>) (այսուհետ՝ տեխնիկական կանոնակարգ) թիվ 10 հավելվածի կիրառման բնագավառում.</w:t>
      </w:r>
    </w:p>
    <w:p w14:paraId="2C961816"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ներքին հիշող սարք</w:t>
      </w:r>
      <w:r w:rsidR="00CA27E3" w:rsidRPr="002D3977">
        <w:rPr>
          <w:rFonts w:ascii="Sylfaen" w:hAnsi="Sylfaen"/>
          <w:b/>
          <w:sz w:val="24"/>
          <w:szCs w:val="24"/>
        </w:rPr>
        <w:t>՝</w:t>
      </w:r>
      <w:r w:rsidR="00CA27E3" w:rsidRPr="00CA27E3">
        <w:rPr>
          <w:rFonts w:ascii="Sylfaen" w:hAnsi="Sylfaen"/>
          <w:sz w:val="24"/>
          <w:szCs w:val="24"/>
        </w:rPr>
        <w:t xml:space="preserve"> տվյալնելի էներգաանկախ պահպանումն ապահովող համակարգչի բաղադրիչ.</w:t>
      </w:r>
    </w:p>
    <w:p w14:paraId="1526BD8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lastRenderedPageBreak/>
        <w:t>էլեկտ</w:t>
      </w:r>
      <w:r w:rsidR="002D3977" w:rsidRPr="002D3977">
        <w:rPr>
          <w:rFonts w:ascii="Sylfaen" w:hAnsi="Sylfaen"/>
          <w:b/>
          <w:sz w:val="24"/>
          <w:szCs w:val="24"/>
        </w:rPr>
        <w:t>րասնուցման ներկառուցված աղբյուր</w:t>
      </w:r>
      <w:r w:rsidRPr="00CA27E3">
        <w:rPr>
          <w:rFonts w:ascii="Sylfaen" w:hAnsi="Sylfaen"/>
          <w:sz w:val="24"/>
          <w:szCs w:val="24"/>
        </w:rPr>
        <w:t xml:space="preserve">՝ սարքվածք, որը նախատեսված է համակարգչի կամ համակարգիչ-սերվերի սնուցման նպատակով ցանցից փոփոխական հոսանքի լարումը հաստատուն հոսանքի լարման կերպափոխելու համար, </w:t>
      </w:r>
      <w:r>
        <w:rPr>
          <w:rFonts w:ascii="Sylfaen" w:hAnsi="Sylfaen"/>
          <w:sz w:val="24"/>
          <w:szCs w:val="24"/>
        </w:rPr>
        <w:t>եւ</w:t>
      </w:r>
      <w:r w:rsidRPr="00CA27E3">
        <w:rPr>
          <w:rFonts w:ascii="Sylfaen" w:hAnsi="Sylfaen"/>
          <w:sz w:val="24"/>
          <w:szCs w:val="24"/>
        </w:rPr>
        <w:t xml:space="preserve"> որն ունի հետ</w:t>
      </w:r>
      <w:r>
        <w:rPr>
          <w:rFonts w:ascii="Sylfaen" w:hAnsi="Sylfaen"/>
          <w:sz w:val="24"/>
          <w:szCs w:val="24"/>
        </w:rPr>
        <w:t>եւ</w:t>
      </w:r>
      <w:r w:rsidRPr="00CA27E3">
        <w:rPr>
          <w:rFonts w:ascii="Sylfaen" w:hAnsi="Sylfaen"/>
          <w:sz w:val="24"/>
          <w:szCs w:val="24"/>
        </w:rPr>
        <w:t>յալ բնութագրերը՝</w:t>
      </w:r>
    </w:p>
    <w:p w14:paraId="0A40ADD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տեղադրվում է համակարգչի կամ համակարգիչ-սերվերի կորպուսի ներսում, բայց համակարգչի կամ համակարգիչ-սերվերի հիմնական բաղադրիչներից առանձին.</w:t>
      </w:r>
    </w:p>
    <w:p w14:paraId="6E5A7E4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ցանցին միացվում է 1 մալուխի օգնությամբ՝ առանց սնուցման աղբյուրի </w:t>
      </w:r>
      <w:r>
        <w:rPr>
          <w:rFonts w:ascii="Sylfaen" w:hAnsi="Sylfaen"/>
          <w:sz w:val="24"/>
          <w:szCs w:val="24"/>
        </w:rPr>
        <w:t>եւ</w:t>
      </w:r>
      <w:r w:rsidRPr="00CA27E3">
        <w:rPr>
          <w:rFonts w:ascii="Sylfaen" w:hAnsi="Sylfaen"/>
          <w:sz w:val="24"/>
          <w:szCs w:val="24"/>
        </w:rPr>
        <w:t xml:space="preserve"> էլեկտրական ցանցի միջ</w:t>
      </w:r>
      <w:r>
        <w:rPr>
          <w:rFonts w:ascii="Sylfaen" w:hAnsi="Sylfaen"/>
          <w:sz w:val="24"/>
          <w:szCs w:val="24"/>
        </w:rPr>
        <w:t>եւ</w:t>
      </w:r>
      <w:r w:rsidRPr="00CA27E3">
        <w:rPr>
          <w:rFonts w:ascii="Sylfaen" w:hAnsi="Sylfaen"/>
          <w:sz w:val="24"/>
          <w:szCs w:val="24"/>
        </w:rPr>
        <w:t xml:space="preserve"> միջանկյալ սխեմաների.</w:t>
      </w:r>
    </w:p>
    <w:p w14:paraId="20ABC94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սնուցման աղբյուրից մինչ</w:t>
      </w:r>
      <w:r>
        <w:rPr>
          <w:rFonts w:ascii="Sylfaen" w:hAnsi="Sylfaen"/>
          <w:sz w:val="24"/>
          <w:szCs w:val="24"/>
        </w:rPr>
        <w:t>եւ</w:t>
      </w:r>
      <w:r w:rsidRPr="00CA27E3">
        <w:rPr>
          <w:rFonts w:ascii="Sylfaen" w:hAnsi="Sylfaen"/>
          <w:sz w:val="24"/>
          <w:szCs w:val="24"/>
        </w:rPr>
        <w:t xml:space="preserve"> համակարգչի կամ համակարգիչ-սերվերի բաղադրիչների բոլոր ուժային շղթաները, բացառությամբ սեղանի միաբլոկ համակարգչում դիսփլեյի վրա հաստատուն հոսանքի շղթայի, գտնվում են համակարգչի կորպուսի ներսում.</w:t>
      </w:r>
    </w:p>
    <w:p w14:paraId="795518F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սնուցման արտաքին աղբյուրից հաստատուն հոսանքի լարումը համակարգչում կամ համակարգիչ-սերվերում օգտագործվող մի քանի լարումների կերպափոխելու համար օգտագործվող «հաստատուն հոսանք-հաստատուն հոսանք» տիպի ներքին կերպափոխիչները չեն համարվում էլեկտրասնուցման ներկառուցված աղբյուր. </w:t>
      </w:r>
    </w:p>
    <w:p w14:paraId="50AC48DF"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հիպերվիզոր</w:t>
      </w:r>
      <w:r w:rsidR="00CA27E3" w:rsidRPr="002D3977">
        <w:rPr>
          <w:rFonts w:ascii="Sylfaen" w:hAnsi="Sylfaen"/>
          <w:b/>
          <w:sz w:val="24"/>
          <w:szCs w:val="24"/>
        </w:rPr>
        <w:t>՝</w:t>
      </w:r>
      <w:r w:rsidR="00CA27E3" w:rsidRPr="00CA27E3">
        <w:rPr>
          <w:rFonts w:ascii="Sylfaen" w:hAnsi="Sylfaen"/>
          <w:sz w:val="24"/>
          <w:szCs w:val="24"/>
        </w:rPr>
        <w:t xml:space="preserve"> ծրագիր, որն ապահովում կամ թույլ է տալիս համակարգչում մի քանի օպերացիոն համակարգերի զուգահեռ միաժամանակյա աշխատանքը.</w:t>
      </w:r>
    </w:p>
    <w:p w14:paraId="7C747E3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էլեկտրաէներգիայի տարեկան սպառում (E</w:t>
      </w:r>
      <w:r w:rsidRPr="002D3977">
        <w:rPr>
          <w:rFonts w:ascii="Sylfaen" w:hAnsi="Sylfaen"/>
          <w:b/>
          <w:sz w:val="24"/>
          <w:szCs w:val="24"/>
          <w:vertAlign w:val="subscript"/>
        </w:rPr>
        <w:t>TEC</w:t>
      </w:r>
      <w:r w:rsidR="002D3977" w:rsidRPr="002D3977">
        <w:rPr>
          <w:rFonts w:ascii="Sylfaen" w:hAnsi="Sylfaen"/>
          <w:b/>
          <w:sz w:val="24"/>
          <w:szCs w:val="24"/>
        </w:rPr>
        <w:t>)</w:t>
      </w:r>
      <w:r w:rsidRPr="002D3977">
        <w:rPr>
          <w:rFonts w:ascii="Sylfaen" w:hAnsi="Sylfaen"/>
          <w:b/>
          <w:sz w:val="24"/>
          <w:szCs w:val="24"/>
        </w:rPr>
        <w:t>՝</w:t>
      </w:r>
      <w:r w:rsidRPr="00CA27E3">
        <w:rPr>
          <w:rFonts w:ascii="Sylfaen" w:hAnsi="Sylfaen"/>
          <w:sz w:val="24"/>
          <w:szCs w:val="24"/>
        </w:rPr>
        <w:t xml:space="preserve"> էներգասպառման որոշակի ռեժիմներում </w:t>
      </w:r>
      <w:r>
        <w:rPr>
          <w:rFonts w:ascii="Sylfaen" w:hAnsi="Sylfaen"/>
          <w:sz w:val="24"/>
          <w:szCs w:val="24"/>
        </w:rPr>
        <w:t>եւ</w:t>
      </w:r>
      <w:r w:rsidRPr="00CA27E3">
        <w:rPr>
          <w:rFonts w:ascii="Sylfaen" w:hAnsi="Sylfaen"/>
          <w:sz w:val="24"/>
          <w:szCs w:val="24"/>
        </w:rPr>
        <w:t xml:space="preserve"> վիճակներում տրված ժամանակահատվածների ընթացքում սարքվածքով սպառվող էլեկտրաէներգիայի քանակ.</w:t>
      </w:r>
    </w:p>
    <w:p w14:paraId="1C1B9ADE"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երկհանգույց սերվեր</w:t>
      </w:r>
      <w:r w:rsidR="00CA27E3" w:rsidRPr="002D3977">
        <w:rPr>
          <w:rFonts w:ascii="Sylfaen" w:hAnsi="Sylfaen"/>
          <w:b/>
          <w:sz w:val="24"/>
          <w:szCs w:val="24"/>
        </w:rPr>
        <w:t>՝</w:t>
      </w:r>
      <w:r w:rsidR="00CA27E3" w:rsidRPr="00CA27E3">
        <w:rPr>
          <w:rFonts w:ascii="Sylfaen" w:hAnsi="Sylfaen"/>
          <w:sz w:val="24"/>
          <w:szCs w:val="24"/>
        </w:rPr>
        <w:t xml:space="preserve"> 2 սերվերային հանգույցներից բաղկացած բազմահանգույց կազմաձ</w:t>
      </w:r>
      <w:r w:rsidR="00CA27E3">
        <w:rPr>
          <w:rFonts w:ascii="Sylfaen" w:hAnsi="Sylfaen"/>
          <w:sz w:val="24"/>
          <w:szCs w:val="24"/>
        </w:rPr>
        <w:t>եւ</w:t>
      </w:r>
      <w:r w:rsidR="00CA27E3" w:rsidRPr="00CA27E3">
        <w:rPr>
          <w:rFonts w:ascii="Sylfaen" w:hAnsi="Sylfaen"/>
          <w:sz w:val="24"/>
          <w:szCs w:val="24"/>
        </w:rPr>
        <w:t>ով սերվեր.</w:t>
      </w:r>
    </w:p>
    <w:p w14:paraId="6A10ECD2"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դիսկրետային տեսաքարտ</w:t>
      </w:r>
      <w:r w:rsidR="00CA27E3" w:rsidRPr="002D3977">
        <w:rPr>
          <w:rFonts w:ascii="Sylfaen" w:hAnsi="Sylfaen"/>
          <w:b/>
          <w:sz w:val="24"/>
          <w:szCs w:val="24"/>
        </w:rPr>
        <w:t xml:space="preserve"> (dGfx)՝</w:t>
      </w:r>
      <w:r w:rsidR="00CA27E3" w:rsidRPr="00CA27E3">
        <w:rPr>
          <w:rFonts w:ascii="Sylfaen" w:hAnsi="Sylfaen"/>
          <w:sz w:val="24"/>
          <w:szCs w:val="24"/>
        </w:rPr>
        <w:t xml:space="preserve"> համակարգչի դիսկրետային ներքին բաղադրիչ, որը պարունակում է հետ</w:t>
      </w:r>
      <w:r w:rsidR="00CA27E3">
        <w:rPr>
          <w:rFonts w:ascii="Sylfaen" w:hAnsi="Sylfaen"/>
          <w:sz w:val="24"/>
          <w:szCs w:val="24"/>
        </w:rPr>
        <w:t>եւ</w:t>
      </w:r>
      <w:r w:rsidR="00CA27E3" w:rsidRPr="00CA27E3">
        <w:rPr>
          <w:rFonts w:ascii="Sylfaen" w:hAnsi="Sylfaen"/>
          <w:sz w:val="24"/>
          <w:szCs w:val="24"/>
        </w:rPr>
        <w:t xml:space="preserve">յալ կատեգորիաներից մեկին դասվող՝ </w:t>
      </w:r>
      <w:r w:rsidR="00CA27E3" w:rsidRPr="00CA27E3">
        <w:rPr>
          <w:rFonts w:ascii="Sylfaen" w:hAnsi="Sylfaen"/>
          <w:sz w:val="24"/>
          <w:szCs w:val="24"/>
        </w:rPr>
        <w:lastRenderedPageBreak/>
        <w:t xml:space="preserve">հիշողության կոնտրոլերի տեղային միջերեսով </w:t>
      </w:r>
      <w:r w:rsidR="00CA27E3">
        <w:rPr>
          <w:rFonts w:ascii="Sylfaen" w:hAnsi="Sylfaen"/>
          <w:sz w:val="24"/>
          <w:szCs w:val="24"/>
        </w:rPr>
        <w:t>եւ</w:t>
      </w:r>
      <w:r w:rsidR="00CA27E3" w:rsidRPr="00CA27E3">
        <w:rPr>
          <w:rFonts w:ascii="Sylfaen" w:hAnsi="Sylfaen"/>
          <w:sz w:val="24"/>
          <w:szCs w:val="24"/>
        </w:rPr>
        <w:t xml:space="preserve"> տեղային գրաֆիկական հիշողությամբ 1 կամ մի քանի գրաֆիկական պրոցեսորներ (GPU)՝</w:t>
      </w:r>
    </w:p>
    <w:p w14:paraId="265A1AA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G1 (FB_BW ≤ 16).</w:t>
      </w:r>
    </w:p>
    <w:p w14:paraId="69BCE40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G2 (16 &lt; FB_BW ≤ 32).</w:t>
      </w:r>
    </w:p>
    <w:p w14:paraId="0E86158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G3 (32 &lt; FB_BW ≤ 64).</w:t>
      </w:r>
    </w:p>
    <w:p w14:paraId="48F49C1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G4 (64 &lt; FB_BW ≤ 96).</w:t>
      </w:r>
    </w:p>
    <w:p w14:paraId="6B159D4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G5 (96 &lt; FB_BW ≤ 128).</w:t>
      </w:r>
    </w:p>
    <w:p w14:paraId="373EEAE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G6 (FB_BW &gt; 128 (տվյալների հաղորդաձողի կարգայնությունը &lt; 192 բիթ)).</w:t>
      </w:r>
    </w:p>
    <w:p w14:paraId="03C7935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G7 (FB_BW &gt; 128 (տվյալների հաղորդաձողի կարգայնությունը ≥ 192 բիթ)),</w:t>
      </w:r>
    </w:p>
    <w:p w14:paraId="1A6C3325" w14:textId="77777777" w:rsidR="00CA27E3" w:rsidRPr="002D3977" w:rsidRDefault="00CA27E3" w:rsidP="002D3977">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 «FB_BW»՝ կադրային բուֆերի թողունակությունն է (Գբ/վրկ), այսինքն տվյալների ծավալ, որը մշակվում է վայրկյանում 1 դիսկրետային տեսաքարտի (dGfx) բոլոր գրաֆիկական պրոցեսորներով, որը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w:t>
      </w:r>
    </w:p>
    <w:p w14:paraId="43F2D14E" w14:textId="77777777" w:rsidR="00CA27E3" w:rsidRPr="00CA27E3" w:rsidRDefault="00CA27E3" w:rsidP="00CA27E3">
      <w:pPr>
        <w:pStyle w:val="Bodytext100"/>
        <w:shd w:val="clear" w:color="auto" w:fill="auto"/>
        <w:spacing w:before="0" w:after="160" w:line="360" w:lineRule="auto"/>
        <w:jc w:val="left"/>
        <w:rPr>
          <w:rFonts w:ascii="Sylfaen" w:hAnsi="Sylfaen"/>
          <w:sz w:val="24"/>
          <w:szCs w:val="24"/>
        </w:rPr>
      </w:pPr>
      <m:oMathPara>
        <m:oMath>
          <m:r>
            <m:rPr>
              <m:sty m:val="p"/>
            </m:rPr>
            <w:rPr>
              <w:rFonts w:ascii="Cambria Math" w:hAnsi="Cambria Math"/>
              <w:sz w:val="20"/>
              <w:szCs w:val="20"/>
            </w:rPr>
            <m:t>FB_BW</m:t>
          </m:r>
          <m:r>
            <w:rPr>
              <w:rFonts w:ascii="Cambria Math" w:hAnsi="Cambria Math"/>
              <w:sz w:val="20"/>
              <w:szCs w:val="20"/>
            </w:rPr>
            <m:t>=</m:t>
          </m:r>
          <m:f>
            <m:fPr>
              <m:ctrlPr>
                <w:rPr>
                  <w:rFonts w:ascii="Cambria Math" w:hAnsi="Cambria Math"/>
                  <w:i/>
                  <w:sz w:val="20"/>
                  <w:szCs w:val="20"/>
                </w:rPr>
              </m:ctrlPr>
            </m:fPr>
            <m:num>
              <m:r>
                <w:rPr>
                  <w:rFonts w:ascii="Sylfaen" w:hAnsi="Sylfaen" w:cs="Sylfaen"/>
                  <w:sz w:val="20"/>
                  <w:szCs w:val="20"/>
                </w:rPr>
                <m:t>տվյալների</m:t>
              </m:r>
              <m:r>
                <w:rPr>
                  <w:rFonts w:ascii="Cambria Math" w:hAnsi="Cambria Math" w:cs="Cambria Math"/>
                  <w:sz w:val="20"/>
                  <w:szCs w:val="20"/>
                </w:rPr>
                <m:t xml:space="preserve"> </m:t>
              </m:r>
              <m:r>
                <w:rPr>
                  <w:rFonts w:ascii="Sylfaen" w:hAnsi="Sylfaen" w:cs="Sylfaen"/>
                  <w:sz w:val="20"/>
                  <w:szCs w:val="20"/>
                </w:rPr>
                <m:t>փոխանցման</m:t>
              </m:r>
              <m:r>
                <w:rPr>
                  <w:rFonts w:ascii="Cambria Math" w:hAnsi="Cambria Math" w:cs="Cambria Math"/>
                  <w:sz w:val="20"/>
                  <w:szCs w:val="20"/>
                </w:rPr>
                <m:t xml:space="preserve"> </m:t>
              </m:r>
              <m:r>
                <w:rPr>
                  <w:rFonts w:ascii="Sylfaen" w:hAnsi="Sylfaen" w:cs="Sylfaen"/>
                  <w:sz w:val="20"/>
                  <w:szCs w:val="20"/>
                </w:rPr>
                <m:t>արագություն</m:t>
              </m:r>
              <m:r>
                <m:rPr>
                  <m:sty m:val="p"/>
                </m:rPr>
                <w:rPr>
                  <w:rFonts w:ascii="Cambria Math" w:hAnsi="Cambria Math"/>
                  <w:sz w:val="20"/>
                  <w:szCs w:val="20"/>
                </w:rPr>
                <m:t xml:space="preserve"> </m:t>
              </m:r>
              <m:r>
                <m:rPr>
                  <m:sty m:val="p"/>
                </m:rPr>
                <w:rPr>
                  <w:rStyle w:val="Bodytext10Tahoma"/>
                  <w:rFonts w:ascii="Cambria Math" w:hAnsi="Cambria Math"/>
                  <w:sz w:val="20"/>
                  <w:szCs w:val="20"/>
                </w:rPr>
                <m:t xml:space="preserve">× </m:t>
              </m:r>
              <m:r>
                <m:rPr>
                  <m:sty m:val="p"/>
                </m:rPr>
                <w:rPr>
                  <w:rFonts w:ascii="Sylfaen" w:hAnsi="Sylfaen" w:cs="Sylfaen"/>
                  <w:sz w:val="20"/>
                  <w:szCs w:val="20"/>
                </w:rPr>
                <m:t>տվյալների</m:t>
              </m:r>
              <m:r>
                <m:rPr>
                  <m:sty m:val="p"/>
                </m:rPr>
                <w:rPr>
                  <w:rFonts w:ascii="Cambria Math" w:hAnsi="Cambria Math" w:cs="Cambria Math"/>
                  <w:sz w:val="20"/>
                  <w:szCs w:val="20"/>
                </w:rPr>
                <m:t xml:space="preserve"> </m:t>
              </m:r>
              <m:r>
                <w:rPr>
                  <w:rFonts w:ascii="Sylfaen" w:hAnsi="Sylfaen" w:cs="Sylfaen"/>
                  <w:sz w:val="20"/>
                  <w:szCs w:val="20"/>
                </w:rPr>
                <m:t>հաղորդաձողի</m:t>
              </m:r>
              <m:r>
                <w:rPr>
                  <w:rFonts w:ascii="Cambria Math" w:hAnsi="Cambria Math" w:cs="Cambria Math"/>
                  <w:sz w:val="20"/>
                  <w:szCs w:val="20"/>
                </w:rPr>
                <m:t xml:space="preserve"> </m:t>
              </m:r>
              <m:r>
                <w:rPr>
                  <w:rFonts w:ascii="Sylfaen" w:hAnsi="Sylfaen" w:cs="Sylfaen"/>
                  <w:sz w:val="20"/>
                  <w:szCs w:val="20"/>
                </w:rPr>
                <m:t>կարգայնություն</m:t>
              </m:r>
            </m:num>
            <m:den>
              <m:r>
                <w:rPr>
                  <w:rFonts w:ascii="Cambria Math" w:hAnsi="Cambria Math"/>
                  <w:sz w:val="20"/>
                  <w:szCs w:val="20"/>
                </w:rPr>
                <m:t>8×1000</m:t>
              </m:r>
            </m:den>
          </m:f>
          <m:r>
            <w:rPr>
              <w:rFonts w:ascii="Cambria Math" w:hAnsi="Cambria Math"/>
              <w:sz w:val="20"/>
              <w:szCs w:val="20"/>
            </w:rPr>
            <m:t>,</m:t>
          </m:r>
        </m:oMath>
      </m:oMathPara>
    </w:p>
    <w:p w14:paraId="55548662" w14:textId="77777777" w:rsidR="00CA27E3" w:rsidRPr="00CA27E3" w:rsidRDefault="00CA27E3" w:rsidP="00CA27E3">
      <w:pPr>
        <w:pStyle w:val="Bodytext100"/>
        <w:shd w:val="clear" w:color="auto" w:fill="auto"/>
        <w:spacing w:before="0" w:after="160" w:line="360" w:lineRule="auto"/>
        <w:jc w:val="left"/>
        <w:rPr>
          <w:rFonts w:ascii="Sylfaen" w:hAnsi="Sylfaen"/>
          <w:sz w:val="24"/>
          <w:szCs w:val="24"/>
        </w:rPr>
      </w:pPr>
    </w:p>
    <w:p w14:paraId="26B450C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6E8B500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տվյալների փոխանցման արագություն՝ հիշողության արդյունավետ հաճախականություն ՄՀց-ով.</w:t>
      </w:r>
    </w:p>
    <w:p w14:paraId="718950A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տվյալների հաղորդաձողի կարգայնություն՝ կադրերի հիշողության բուֆերի տվյալների կարգայնություն բիթերով (b).</w:t>
      </w:r>
    </w:p>
    <w:p w14:paraId="3BE77D6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 բայթերով վերահաշվարկի գործակից.</w:t>
      </w:r>
    </w:p>
    <w:p w14:paraId="3AC3439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«1000»՝ մեգաբայթերը գիգաբայթերի վերահաշվարկելու գործակից.</w:t>
      </w:r>
    </w:p>
    <w:p w14:paraId="7005E4C1"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դոկ-կայան</w:t>
      </w:r>
      <w:r w:rsidR="00CA27E3" w:rsidRPr="002D3977">
        <w:rPr>
          <w:rFonts w:ascii="Sylfaen" w:hAnsi="Sylfaen"/>
          <w:b/>
          <w:sz w:val="24"/>
          <w:szCs w:val="24"/>
        </w:rPr>
        <w:t>՝</w:t>
      </w:r>
      <w:r w:rsidR="00CA27E3" w:rsidRPr="00CA27E3">
        <w:rPr>
          <w:rFonts w:ascii="Sylfaen" w:hAnsi="Sylfaen"/>
          <w:sz w:val="24"/>
          <w:szCs w:val="24"/>
        </w:rPr>
        <w:t xml:space="preserve"> սարքվածք, որը նախատեսված է համակարգչին միացնելու համար՝ այնպիսի գործառույթներ կատարելու համար, ինչպիսիք են պորտային </w:t>
      </w:r>
      <w:r w:rsidR="00CA27E3" w:rsidRPr="00CA27E3">
        <w:rPr>
          <w:rFonts w:ascii="Sylfaen" w:hAnsi="Sylfaen"/>
          <w:sz w:val="24"/>
          <w:szCs w:val="24"/>
        </w:rPr>
        <w:lastRenderedPageBreak/>
        <w:t xml:space="preserve">միացումների քանակի ավելացումը, ծայրամասային սարքվածքների հետ միացումների միավորումը </w:t>
      </w:r>
      <w:r w:rsidR="00CA27E3">
        <w:rPr>
          <w:rFonts w:ascii="Sylfaen" w:hAnsi="Sylfaen"/>
          <w:sz w:val="24"/>
          <w:szCs w:val="24"/>
        </w:rPr>
        <w:t>եւ</w:t>
      </w:r>
      <w:r w:rsidR="00CA27E3" w:rsidRPr="00CA27E3">
        <w:rPr>
          <w:rFonts w:ascii="Sylfaen" w:hAnsi="Sylfaen"/>
          <w:sz w:val="24"/>
          <w:szCs w:val="24"/>
        </w:rPr>
        <w:t xml:space="preserve"> միակցված համակարգչում ներքին կուտակիչ մարտկոցների լիցքավորումը.</w:t>
      </w:r>
    </w:p>
    <w:p w14:paraId="2D25B09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լ</w:t>
      </w:r>
      <w:r w:rsidR="002D3977" w:rsidRPr="002D3977">
        <w:rPr>
          <w:rFonts w:ascii="Sylfaen" w:hAnsi="Sylfaen"/>
          <w:b/>
          <w:sz w:val="24"/>
          <w:szCs w:val="24"/>
        </w:rPr>
        <w:t>րացուցիչ ներքին հիշող սարքվածք</w:t>
      </w:r>
      <w:r w:rsidRPr="002D3977">
        <w:rPr>
          <w:rFonts w:ascii="Sylfaen" w:hAnsi="Sylfaen"/>
          <w:b/>
          <w:sz w:val="24"/>
          <w:szCs w:val="24"/>
        </w:rPr>
        <w:t>՝</w:t>
      </w:r>
      <w:r w:rsidRPr="00CA27E3">
        <w:rPr>
          <w:rFonts w:ascii="Sylfaen" w:hAnsi="Sylfaen"/>
          <w:sz w:val="24"/>
          <w:szCs w:val="24"/>
        </w:rPr>
        <w:t xml:space="preserve"> տվյալների պահպանման բոլոր ներքին սարքվածքները՝ ներառյալ կոշտ սկավառակները (HDD), կարծրամարմին կուտակիչները (</w:t>
      </w:r>
      <w:smartTag w:uri="urn:schemas-microsoft-com:office:smarttags" w:element="stockticker">
        <w:r w:rsidRPr="00CA27E3">
          <w:rPr>
            <w:rFonts w:ascii="Sylfaen" w:hAnsi="Sylfaen"/>
            <w:sz w:val="24"/>
            <w:szCs w:val="24"/>
          </w:rPr>
          <w:t>SSD</w:t>
        </w:r>
      </w:smartTag>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հիբրիդային կոշտ սկավառակները (HHD), որոնք, ի լրումն հիմնական (առաջին, բազային) հիշող սարքվածքի, ընդգրկվում են համակարգչի բաղադրիչների կազմում.</w:t>
      </w:r>
    </w:p>
    <w:p w14:paraId="19F4105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վիճակի ցուցա</w:t>
      </w:r>
      <w:r w:rsidR="002D3977" w:rsidRPr="002D3977">
        <w:rPr>
          <w:rFonts w:ascii="Sylfaen" w:hAnsi="Sylfaen"/>
          <w:b/>
          <w:sz w:val="24"/>
          <w:szCs w:val="24"/>
        </w:rPr>
        <w:t>նշում (վիճակի մասին տեղեկացում)</w:t>
      </w:r>
      <w:r w:rsidRPr="002D3977">
        <w:rPr>
          <w:rFonts w:ascii="Sylfaen" w:hAnsi="Sylfaen"/>
          <w:b/>
          <w:sz w:val="24"/>
          <w:szCs w:val="24"/>
        </w:rPr>
        <w:t>՝</w:t>
      </w:r>
      <w:r w:rsidRPr="00CA27E3">
        <w:rPr>
          <w:rFonts w:ascii="Sylfaen" w:hAnsi="Sylfaen"/>
          <w:sz w:val="24"/>
          <w:szCs w:val="24"/>
        </w:rPr>
        <w:t xml:space="preserve"> դիսփլեյի վրա համակարգչի վիճակի կամ վիճակի ցուցանշման մասին տեղեկատվության տրամադրման անընդհատ գործառույթ, այդ թվում՝ ստույգ ժամի ցուցանշմամբ.</w:t>
      </w:r>
    </w:p>
    <w:p w14:paraId="43235C4E"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խաղաբարձակ</w:t>
      </w:r>
      <w:r w:rsidR="00CA27E3" w:rsidRPr="002D3977">
        <w:rPr>
          <w:rFonts w:ascii="Sylfaen" w:hAnsi="Sylfaen"/>
          <w:b/>
          <w:sz w:val="24"/>
          <w:szCs w:val="24"/>
        </w:rPr>
        <w:t>՝</w:t>
      </w:r>
      <w:r w:rsidR="00CA27E3" w:rsidRPr="00CA27E3">
        <w:rPr>
          <w:rFonts w:ascii="Sylfaen" w:hAnsi="Sylfaen"/>
          <w:sz w:val="24"/>
          <w:szCs w:val="24"/>
        </w:rPr>
        <w:t xml:space="preserve"> էլեկտրացանցից սնուցմամբ ինքնավար սարքվածք, որը նախատեսված է որպես իր սեփական գործառույթ տեսախաղն ապահովելու համար: Խաղաբարձակը նախատեսված է հիմնական խաղային էկրան ծառայող արտաքին դիսփլեյի վրա ազդանշաններ արտածելու համար: Խաղաբարձակները սովորաբար ներառում են կենտրոնական պրոցեսոր, համակարգային հիշողություն </w:t>
      </w:r>
      <w:r w:rsidR="00CA27E3">
        <w:rPr>
          <w:rFonts w:ascii="Sylfaen" w:hAnsi="Sylfaen"/>
          <w:sz w:val="24"/>
          <w:szCs w:val="24"/>
        </w:rPr>
        <w:t>եւ</w:t>
      </w:r>
      <w:r w:rsidR="00CA27E3" w:rsidRPr="00CA27E3">
        <w:rPr>
          <w:rFonts w:ascii="Sylfaen" w:hAnsi="Sylfaen"/>
          <w:sz w:val="24"/>
          <w:szCs w:val="24"/>
        </w:rPr>
        <w:t xml:space="preserve"> գրաֆիկական պրոցեսոր (պրոցեսորներ) (GPU), ինչպես նա</w:t>
      </w:r>
      <w:r w:rsidR="00CA27E3">
        <w:rPr>
          <w:rFonts w:ascii="Sylfaen" w:hAnsi="Sylfaen"/>
          <w:sz w:val="24"/>
          <w:szCs w:val="24"/>
        </w:rPr>
        <w:t>եւ</w:t>
      </w:r>
      <w:r w:rsidR="00CA27E3" w:rsidRPr="00CA27E3">
        <w:rPr>
          <w:rFonts w:ascii="Sylfaen" w:hAnsi="Sylfaen"/>
          <w:sz w:val="24"/>
          <w:szCs w:val="24"/>
        </w:rPr>
        <w:t xml:space="preserve"> կարող են պարունակել կոշտ սկավառակներ կամ այլ ներքին հիշող սարքվածքներ ու ընթերցող սարքվածքներ: Խաղաբարձակների ներածման հիմնական սարքվածքներ են ծառայում, որպես կանոն, ձեռքով կառավարվող վահանակները կամ ինտերակտիվ կոնտրոլերները, այլ ոչ թե արտաքին ստեղնաշարը կամ մկնիկը: Խաղաբարձակները ոչ թե ունեն անհատական համակարգչի ավանդական օպերացիոն համակարգեր, այլ համալրված են խաղաբարձակների համար սեփական օպերացիոն համակարգերով: Որպես հիմնական խաղային էկրան՝ ներկառուցված դիսփլեյով դյուրակիր խաղային սարքվածքները, որոնք հիմնականում աշխատում են ներկառուցված կուտակիչով կամ էլեկտրասնուցման այլ դյուրակիր աղբյուրով, սակայն անմիջապես չեն միանում փոփոխական հոսանքի էլեկտրացանցին, նույնպես համարվում են խաղաբարձակներին դասվող.</w:t>
      </w:r>
    </w:p>
    <w:p w14:paraId="3E98E47E" w14:textId="77777777" w:rsidR="00CA27E3" w:rsidRPr="00CA27E3" w:rsidRDefault="00CA27E3"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lastRenderedPageBreak/>
        <w:t>А կատեգորիայի սեղանի համակարգի</w:t>
      </w:r>
      <w:r w:rsidR="002D3977" w:rsidRPr="002D3977">
        <w:rPr>
          <w:rFonts w:ascii="Sylfaen" w:hAnsi="Sylfaen"/>
          <w:b/>
          <w:sz w:val="24"/>
          <w:szCs w:val="24"/>
        </w:rPr>
        <w:t>չ կամ միաբլոկ սեղանի համակարգիչ</w:t>
      </w:r>
      <w:r w:rsidRPr="002D3977">
        <w:rPr>
          <w:rFonts w:ascii="Sylfaen" w:hAnsi="Sylfaen"/>
          <w:b/>
          <w:sz w:val="24"/>
          <w:szCs w:val="24"/>
        </w:rPr>
        <w:t>՝</w:t>
      </w:r>
      <w:r w:rsidRPr="00CA27E3">
        <w:rPr>
          <w:rFonts w:ascii="Sylfaen" w:hAnsi="Sylfaen"/>
          <w:sz w:val="24"/>
          <w:szCs w:val="24"/>
        </w:rPr>
        <w:t xml:space="preserve"> սեղանի համակարգիչ կամ միաբլոկ սեղանի համակարգիչ, որը չի ընկնում В, С </w:t>
      </w:r>
      <w:r>
        <w:rPr>
          <w:rFonts w:ascii="Sylfaen" w:hAnsi="Sylfaen"/>
          <w:sz w:val="24"/>
          <w:szCs w:val="24"/>
        </w:rPr>
        <w:t>եւ</w:t>
      </w:r>
      <w:r w:rsidRPr="00CA27E3">
        <w:rPr>
          <w:rFonts w:ascii="Sylfaen" w:hAnsi="Sylfaen"/>
          <w:sz w:val="24"/>
          <w:szCs w:val="24"/>
        </w:rPr>
        <w:t xml:space="preserve"> D կատեգորիաների սահմանման տակ.</w:t>
      </w:r>
    </w:p>
    <w:p w14:paraId="0A828C8B" w14:textId="77777777" w:rsidR="00CA27E3" w:rsidRPr="00CA27E3" w:rsidRDefault="00CA27E3"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t>А կատեգո</w:t>
      </w:r>
      <w:r w:rsidR="002D3977" w:rsidRPr="002D3977">
        <w:rPr>
          <w:rFonts w:ascii="Sylfaen" w:hAnsi="Sylfaen"/>
          <w:b/>
          <w:sz w:val="24"/>
          <w:szCs w:val="24"/>
        </w:rPr>
        <w:t>րիայի նոութբուք</w:t>
      </w:r>
      <w:r w:rsidRPr="002D3977">
        <w:rPr>
          <w:rFonts w:ascii="Sylfaen" w:hAnsi="Sylfaen"/>
          <w:b/>
          <w:sz w:val="24"/>
          <w:szCs w:val="24"/>
        </w:rPr>
        <w:t>՝</w:t>
      </w:r>
      <w:r w:rsidRPr="00CA27E3">
        <w:rPr>
          <w:rFonts w:ascii="Sylfaen" w:hAnsi="Sylfaen"/>
          <w:sz w:val="24"/>
          <w:szCs w:val="24"/>
        </w:rPr>
        <w:t xml:space="preserve"> նոութբուք, որը չի ընկնում В </w:t>
      </w:r>
      <w:r>
        <w:rPr>
          <w:rFonts w:ascii="Sylfaen" w:hAnsi="Sylfaen"/>
          <w:sz w:val="24"/>
          <w:szCs w:val="24"/>
        </w:rPr>
        <w:t>եւ</w:t>
      </w:r>
      <w:r w:rsidRPr="00CA27E3">
        <w:rPr>
          <w:rFonts w:ascii="Sylfaen" w:hAnsi="Sylfaen"/>
          <w:sz w:val="24"/>
          <w:szCs w:val="24"/>
        </w:rPr>
        <w:t xml:space="preserve"> С կատեգորիաների սահմանման տակ.</w:t>
      </w:r>
    </w:p>
    <w:p w14:paraId="4D567102" w14:textId="77777777" w:rsidR="00CA27E3" w:rsidRPr="00CA27E3" w:rsidRDefault="00CA27E3"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t>В կատեգորիայի սեղանի համակարգի</w:t>
      </w:r>
      <w:r w:rsidR="002D3977" w:rsidRPr="002D3977">
        <w:rPr>
          <w:rFonts w:ascii="Sylfaen" w:hAnsi="Sylfaen"/>
          <w:b/>
          <w:sz w:val="24"/>
          <w:szCs w:val="24"/>
        </w:rPr>
        <w:t>չ կամ միաբլոկ սեղանի համակարգիչ</w:t>
      </w:r>
      <w:r w:rsidRPr="002D3977">
        <w:rPr>
          <w:rFonts w:ascii="Sylfaen" w:hAnsi="Sylfaen"/>
          <w:b/>
          <w:sz w:val="24"/>
          <w:szCs w:val="24"/>
        </w:rPr>
        <w:t>՝</w:t>
      </w:r>
      <w:r w:rsidRPr="00CA27E3">
        <w:rPr>
          <w:rFonts w:ascii="Sylfaen" w:hAnsi="Sylfaen"/>
          <w:sz w:val="24"/>
          <w:szCs w:val="24"/>
        </w:rPr>
        <w:t xml:space="preserve"> սեղանի համակարգիչ կամ միաբլոկ սեղանի համակարգիչ, որը համալրված է պրոցեսորում 2 ֆիզիկական միջուկներով </w:t>
      </w:r>
      <w:r>
        <w:rPr>
          <w:rFonts w:ascii="Sylfaen" w:hAnsi="Sylfaen"/>
          <w:sz w:val="24"/>
          <w:szCs w:val="24"/>
        </w:rPr>
        <w:t>եւ</w:t>
      </w:r>
      <w:r w:rsidRPr="00CA27E3">
        <w:rPr>
          <w:rFonts w:ascii="Sylfaen" w:hAnsi="Sylfaen"/>
          <w:sz w:val="24"/>
          <w:szCs w:val="24"/>
        </w:rPr>
        <w:t xml:space="preserve"> առնվազն 2 գիգաբայթ օպերատիվ հիշողությամբ.</w:t>
      </w:r>
    </w:p>
    <w:p w14:paraId="083A42A1" w14:textId="77777777" w:rsidR="00CA27E3" w:rsidRPr="00CA27E3" w:rsidRDefault="002D3977"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t>В կատեգորիայի նոութբուք</w:t>
      </w:r>
      <w:r w:rsidR="00CA27E3" w:rsidRPr="002D3977">
        <w:rPr>
          <w:rFonts w:ascii="Sylfaen" w:hAnsi="Sylfaen"/>
          <w:b/>
          <w:sz w:val="24"/>
          <w:szCs w:val="24"/>
        </w:rPr>
        <w:t>՝</w:t>
      </w:r>
      <w:r w:rsidR="00CA27E3" w:rsidRPr="00CA27E3">
        <w:rPr>
          <w:rFonts w:ascii="Sylfaen" w:hAnsi="Sylfaen"/>
          <w:sz w:val="24"/>
          <w:szCs w:val="24"/>
        </w:rPr>
        <w:t xml:space="preserve"> նոութբուք, որը համալրված է առնվազն 1</w:t>
      </w:r>
      <w:r w:rsidRPr="002D3977">
        <w:rPr>
          <w:rFonts w:ascii="Sylfaen" w:hAnsi="Sylfaen"/>
          <w:sz w:val="24"/>
          <w:szCs w:val="24"/>
        </w:rPr>
        <w:t> </w:t>
      </w:r>
      <w:r w:rsidR="00CA27E3" w:rsidRPr="00CA27E3">
        <w:rPr>
          <w:rFonts w:ascii="Sylfaen" w:hAnsi="Sylfaen"/>
          <w:sz w:val="24"/>
          <w:szCs w:val="24"/>
        </w:rPr>
        <w:t>դիսկրետային տեսաքարտով (dGfx).</w:t>
      </w:r>
    </w:p>
    <w:p w14:paraId="3E1AD95B" w14:textId="77777777" w:rsidR="00CA27E3" w:rsidRPr="00CA27E3" w:rsidRDefault="00CA27E3"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t>С կատեգորիայի սեղանի համակարգի</w:t>
      </w:r>
      <w:r w:rsidR="002D3977" w:rsidRPr="002D3977">
        <w:rPr>
          <w:rFonts w:ascii="Sylfaen" w:hAnsi="Sylfaen"/>
          <w:b/>
          <w:sz w:val="24"/>
          <w:szCs w:val="24"/>
        </w:rPr>
        <w:t>չ կամ միաբլոկ սեղանի համակարգիչ</w:t>
      </w:r>
      <w:r w:rsidRPr="002D3977">
        <w:rPr>
          <w:rFonts w:ascii="Sylfaen" w:hAnsi="Sylfaen"/>
          <w:b/>
          <w:sz w:val="24"/>
          <w:szCs w:val="24"/>
        </w:rPr>
        <w:t>՝</w:t>
      </w:r>
      <w:r w:rsidRPr="00CA27E3">
        <w:rPr>
          <w:rFonts w:ascii="Sylfaen" w:hAnsi="Sylfaen"/>
          <w:sz w:val="24"/>
          <w:szCs w:val="24"/>
        </w:rPr>
        <w:t xml:space="preserve"> սեղանի համակարգիչ կամ միաբլոկ սեղանի համակարգիչ, որը համալրված է պրոցեսորում առնվազն 3 ֆիզիկական միջուկներով </w:t>
      </w:r>
      <w:r>
        <w:rPr>
          <w:rFonts w:ascii="Sylfaen" w:hAnsi="Sylfaen"/>
          <w:sz w:val="24"/>
          <w:szCs w:val="24"/>
        </w:rPr>
        <w:t>եւ</w:t>
      </w:r>
      <w:r w:rsidRPr="00CA27E3">
        <w:rPr>
          <w:rFonts w:ascii="Sylfaen" w:hAnsi="Sylfaen"/>
          <w:sz w:val="24"/>
          <w:szCs w:val="24"/>
        </w:rPr>
        <w:t xml:space="preserve"> որի կազմաձ</w:t>
      </w:r>
      <w:r>
        <w:rPr>
          <w:rFonts w:ascii="Sylfaen" w:hAnsi="Sylfaen"/>
          <w:sz w:val="24"/>
          <w:szCs w:val="24"/>
        </w:rPr>
        <w:t>եւ</w:t>
      </w:r>
      <w:r w:rsidRPr="00CA27E3">
        <w:rPr>
          <w:rFonts w:ascii="Sylfaen" w:hAnsi="Sylfaen"/>
          <w:sz w:val="24"/>
          <w:szCs w:val="24"/>
        </w:rPr>
        <w:t>ը ներառում է հետ</w:t>
      </w:r>
      <w:r>
        <w:rPr>
          <w:rFonts w:ascii="Sylfaen" w:hAnsi="Sylfaen"/>
          <w:sz w:val="24"/>
          <w:szCs w:val="24"/>
        </w:rPr>
        <w:t>եւ</w:t>
      </w:r>
      <w:r w:rsidRPr="00CA27E3">
        <w:rPr>
          <w:rFonts w:ascii="Sylfaen" w:hAnsi="Sylfaen"/>
          <w:sz w:val="24"/>
          <w:szCs w:val="24"/>
        </w:rPr>
        <w:t xml:space="preserve">յալ տարրերից մեկը՝ առնվազն 2 գիգաբայթ օպերատիվ հիշողություն </w:t>
      </w:r>
      <w:r>
        <w:rPr>
          <w:rFonts w:ascii="Sylfaen" w:hAnsi="Sylfaen"/>
          <w:sz w:val="24"/>
          <w:szCs w:val="24"/>
        </w:rPr>
        <w:t>եւ</w:t>
      </w:r>
      <w:r w:rsidRPr="00CA27E3">
        <w:rPr>
          <w:rFonts w:ascii="Sylfaen" w:hAnsi="Sylfaen"/>
          <w:sz w:val="24"/>
          <w:szCs w:val="24"/>
        </w:rPr>
        <w:t xml:space="preserve"> (կամ) դիսկրետային տեսաքարտ (dGfx).</w:t>
      </w:r>
    </w:p>
    <w:p w14:paraId="27113ABF" w14:textId="77777777" w:rsidR="00CA27E3" w:rsidRPr="00CA27E3" w:rsidRDefault="002D3977"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t>С կատեգորիայի նոութբուք</w:t>
      </w:r>
      <w:r w:rsidR="00CA27E3" w:rsidRPr="002D3977">
        <w:rPr>
          <w:rFonts w:ascii="Sylfaen" w:hAnsi="Sylfaen"/>
          <w:b/>
          <w:sz w:val="24"/>
          <w:szCs w:val="24"/>
        </w:rPr>
        <w:t>՝</w:t>
      </w:r>
      <w:r w:rsidR="00CA27E3" w:rsidRPr="00CA27E3">
        <w:rPr>
          <w:rFonts w:ascii="Sylfaen" w:hAnsi="Sylfaen"/>
          <w:sz w:val="24"/>
          <w:szCs w:val="24"/>
        </w:rPr>
        <w:t xml:space="preserve"> նոութբուք, որը համալրված է պրոցեսորում 2</w:t>
      </w:r>
      <w:r w:rsidRPr="002D3977">
        <w:rPr>
          <w:rFonts w:ascii="Sylfaen" w:hAnsi="Sylfaen"/>
          <w:sz w:val="24"/>
          <w:szCs w:val="24"/>
        </w:rPr>
        <w:t> </w:t>
      </w:r>
      <w:r w:rsidR="00CA27E3" w:rsidRPr="00CA27E3">
        <w:rPr>
          <w:rFonts w:ascii="Sylfaen" w:hAnsi="Sylfaen"/>
          <w:sz w:val="24"/>
          <w:szCs w:val="24"/>
        </w:rPr>
        <w:t xml:space="preserve">կամ ավելի ֆիզիկական միջուկներով, առնվազն 2 գիգաբայթ օպերատիվ հիշողությամբ </w:t>
      </w:r>
      <w:r w:rsidR="00CA27E3">
        <w:rPr>
          <w:rFonts w:ascii="Sylfaen" w:hAnsi="Sylfaen"/>
          <w:sz w:val="24"/>
          <w:szCs w:val="24"/>
        </w:rPr>
        <w:t>եւ</w:t>
      </w:r>
      <w:r w:rsidR="00CA27E3" w:rsidRPr="00CA27E3">
        <w:rPr>
          <w:rFonts w:ascii="Sylfaen" w:hAnsi="Sylfaen"/>
          <w:sz w:val="24"/>
          <w:szCs w:val="24"/>
        </w:rPr>
        <w:t xml:space="preserve"> այնպիսի դիսկրետային տեսաքարտով (dGfx), որը բավարարում է G3 (տվյալների հաղորդաձողի կարգայնությունը &gt; 128 բիթ), G4, G5, G6 կամ G7 կատեգորիաները՝ ըստ տեսաքարտերի դասակարգման.</w:t>
      </w:r>
    </w:p>
    <w:p w14:paraId="5B077E30" w14:textId="77777777" w:rsidR="00CA27E3" w:rsidRPr="00CA27E3" w:rsidRDefault="00CA27E3" w:rsidP="002D3977">
      <w:pPr>
        <w:pStyle w:val="Bodytext212"/>
        <w:shd w:val="clear" w:color="auto" w:fill="auto"/>
        <w:spacing w:after="160" w:line="350" w:lineRule="auto"/>
        <w:ind w:firstLine="567"/>
        <w:jc w:val="both"/>
        <w:rPr>
          <w:rFonts w:ascii="Sylfaen" w:hAnsi="Sylfaen"/>
          <w:sz w:val="24"/>
          <w:szCs w:val="24"/>
        </w:rPr>
      </w:pPr>
      <w:r w:rsidRPr="002D3977">
        <w:rPr>
          <w:rFonts w:ascii="Sylfaen" w:hAnsi="Sylfaen"/>
          <w:b/>
          <w:sz w:val="24"/>
          <w:szCs w:val="24"/>
        </w:rPr>
        <w:t>D կատեգորիայի սեղանի համակարգի</w:t>
      </w:r>
      <w:r w:rsidR="002D3977" w:rsidRPr="002D3977">
        <w:rPr>
          <w:rFonts w:ascii="Sylfaen" w:hAnsi="Sylfaen"/>
          <w:b/>
          <w:sz w:val="24"/>
          <w:szCs w:val="24"/>
        </w:rPr>
        <w:t>չ կամ միաբլոկ սեղանի համակարգիչ</w:t>
      </w:r>
      <w:r w:rsidRPr="002D3977">
        <w:rPr>
          <w:rFonts w:ascii="Sylfaen" w:hAnsi="Sylfaen"/>
          <w:b/>
          <w:sz w:val="24"/>
          <w:szCs w:val="24"/>
        </w:rPr>
        <w:t>՝</w:t>
      </w:r>
      <w:r w:rsidRPr="00CA27E3">
        <w:rPr>
          <w:rFonts w:ascii="Sylfaen" w:hAnsi="Sylfaen"/>
          <w:sz w:val="24"/>
          <w:szCs w:val="24"/>
        </w:rPr>
        <w:t xml:space="preserve"> սեղանի համակարգիչ կամ միաբլոկ սեղանի համակարգիչ, որը համալրված է պրոցեսորում առնվազն 4 ֆիզիկական միջուկներով </w:t>
      </w:r>
      <w:r>
        <w:rPr>
          <w:rFonts w:ascii="Sylfaen" w:hAnsi="Sylfaen"/>
          <w:sz w:val="24"/>
          <w:szCs w:val="24"/>
        </w:rPr>
        <w:t>եւ</w:t>
      </w:r>
      <w:r w:rsidRPr="00CA27E3">
        <w:rPr>
          <w:rFonts w:ascii="Sylfaen" w:hAnsi="Sylfaen"/>
          <w:sz w:val="24"/>
          <w:szCs w:val="24"/>
        </w:rPr>
        <w:t xml:space="preserve"> կազմաձ</w:t>
      </w:r>
      <w:r>
        <w:rPr>
          <w:rFonts w:ascii="Sylfaen" w:hAnsi="Sylfaen"/>
          <w:sz w:val="24"/>
          <w:szCs w:val="24"/>
        </w:rPr>
        <w:t>եւ</w:t>
      </w:r>
      <w:r w:rsidRPr="00CA27E3">
        <w:rPr>
          <w:rFonts w:ascii="Sylfaen" w:hAnsi="Sylfaen"/>
          <w:sz w:val="24"/>
          <w:szCs w:val="24"/>
        </w:rPr>
        <w:t>ը ներառում է հետ</w:t>
      </w:r>
      <w:r>
        <w:rPr>
          <w:rFonts w:ascii="Sylfaen" w:hAnsi="Sylfaen"/>
          <w:sz w:val="24"/>
          <w:szCs w:val="24"/>
        </w:rPr>
        <w:t>եւ</w:t>
      </w:r>
      <w:r w:rsidRPr="00CA27E3">
        <w:rPr>
          <w:rFonts w:ascii="Sylfaen" w:hAnsi="Sylfaen"/>
          <w:sz w:val="24"/>
          <w:szCs w:val="24"/>
        </w:rPr>
        <w:t xml:space="preserve">յալ տարրերից մեկը՝ առնվազն 4 գիգաբայթ օպերատիվ հիշողություն </w:t>
      </w:r>
      <w:r>
        <w:rPr>
          <w:rFonts w:ascii="Sylfaen" w:hAnsi="Sylfaen"/>
          <w:sz w:val="24"/>
          <w:szCs w:val="24"/>
        </w:rPr>
        <w:t>եւ</w:t>
      </w:r>
      <w:r w:rsidRPr="00CA27E3">
        <w:rPr>
          <w:rFonts w:ascii="Sylfaen" w:hAnsi="Sylfaen"/>
          <w:sz w:val="24"/>
          <w:szCs w:val="24"/>
        </w:rPr>
        <w:t xml:space="preserve"> (կամ) այնպիսի դիսկրետային տեսաքարտ (dGfx), որը բավարարում է G3 (տվյալների հաղորդաձողի կարգայնությունը &gt; 128 բիթ), G4, G5, G6 կամ G7 կատեգորիաները՝ ըստ տեսաքարտերի դասակարգման.</w:t>
      </w:r>
    </w:p>
    <w:p w14:paraId="4980D83F"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lastRenderedPageBreak/>
        <w:t>կոմպակտ պլանշետային համակարգիչ</w:t>
      </w:r>
      <w:r w:rsidR="00CA27E3" w:rsidRPr="002D3977">
        <w:rPr>
          <w:rFonts w:ascii="Sylfaen" w:hAnsi="Sylfaen"/>
          <w:b/>
          <w:sz w:val="24"/>
          <w:szCs w:val="24"/>
        </w:rPr>
        <w:t>՝</w:t>
      </w:r>
      <w:r w:rsidR="00CA27E3" w:rsidRPr="00CA27E3">
        <w:rPr>
          <w:rFonts w:ascii="Sylfaen" w:hAnsi="Sylfaen"/>
          <w:sz w:val="24"/>
          <w:szCs w:val="24"/>
        </w:rPr>
        <w:t xml:space="preserve"> նոութբուքի տարատեսակ, որն ունի ներկառուցված սենսորային դիսփլեյ </w:t>
      </w:r>
      <w:r w:rsidR="00CA27E3">
        <w:rPr>
          <w:rFonts w:ascii="Sylfaen" w:hAnsi="Sylfaen"/>
          <w:sz w:val="24"/>
          <w:szCs w:val="24"/>
        </w:rPr>
        <w:t>եւ</w:t>
      </w:r>
      <w:r w:rsidR="00CA27E3" w:rsidRPr="00CA27E3">
        <w:rPr>
          <w:rFonts w:ascii="Sylfaen" w:hAnsi="Sylfaen"/>
          <w:sz w:val="24"/>
          <w:szCs w:val="24"/>
        </w:rPr>
        <w:t xml:space="preserve"> չունի ներկառուցված ֆիզիկական ստեղնաշար.</w:t>
      </w:r>
    </w:p>
    <w:p w14:paraId="6EF4B66F"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համակարգիչ</w:t>
      </w:r>
      <w:r w:rsidR="00CA27E3" w:rsidRPr="002D3977">
        <w:rPr>
          <w:rFonts w:ascii="Sylfaen" w:hAnsi="Sylfaen"/>
          <w:b/>
          <w:sz w:val="24"/>
          <w:szCs w:val="24"/>
        </w:rPr>
        <w:t>՝</w:t>
      </w:r>
      <w:r w:rsidR="00CA27E3" w:rsidRPr="00CA27E3">
        <w:rPr>
          <w:rFonts w:ascii="Sylfaen" w:hAnsi="Sylfaen"/>
          <w:sz w:val="24"/>
          <w:szCs w:val="24"/>
        </w:rPr>
        <w:t xml:space="preserve"> սարքվածք, որը կատարում է տրամաբանական գործողություններ </w:t>
      </w:r>
      <w:r w:rsidR="00CA27E3">
        <w:rPr>
          <w:rFonts w:ascii="Sylfaen" w:hAnsi="Sylfaen"/>
          <w:sz w:val="24"/>
          <w:szCs w:val="24"/>
        </w:rPr>
        <w:t>եւ</w:t>
      </w:r>
      <w:r w:rsidR="00CA27E3" w:rsidRPr="00CA27E3">
        <w:rPr>
          <w:rFonts w:ascii="Sylfaen" w:hAnsi="Sylfaen"/>
          <w:sz w:val="24"/>
          <w:szCs w:val="24"/>
        </w:rPr>
        <w:t xml:space="preserve"> տվյալների մշակում, կարող է օգտագործել տեղեկատվության ներածման </w:t>
      </w:r>
      <w:r w:rsidR="00CA27E3">
        <w:rPr>
          <w:rFonts w:ascii="Sylfaen" w:hAnsi="Sylfaen"/>
          <w:sz w:val="24"/>
          <w:szCs w:val="24"/>
        </w:rPr>
        <w:t>եւ</w:t>
      </w:r>
      <w:r w:rsidR="00CA27E3" w:rsidRPr="00CA27E3">
        <w:rPr>
          <w:rFonts w:ascii="Sylfaen" w:hAnsi="Sylfaen"/>
          <w:sz w:val="24"/>
          <w:szCs w:val="24"/>
        </w:rPr>
        <w:t xml:space="preserve"> արտածման սարքվածքներ </w:t>
      </w:r>
      <w:r w:rsidR="00CA27E3">
        <w:rPr>
          <w:rFonts w:ascii="Sylfaen" w:hAnsi="Sylfaen"/>
          <w:sz w:val="24"/>
          <w:szCs w:val="24"/>
        </w:rPr>
        <w:t>եւ</w:t>
      </w:r>
      <w:r w:rsidR="00CA27E3" w:rsidRPr="00CA27E3">
        <w:rPr>
          <w:rFonts w:ascii="Sylfaen" w:hAnsi="Sylfaen"/>
          <w:sz w:val="24"/>
          <w:szCs w:val="24"/>
        </w:rPr>
        <w:t xml:space="preserve"> սովորաբար ներառում է կենտրոնական պրոցեսոր (CPU)՝ գործողություններ կատարելու համար: Եթե կենտրոնական պրոցեսորը բացակայում է, ապա սարքվածքը պետք է գործի որպես համակարգչային սերվերին «սպասառուի անցուղի», որը գործում է որպես մշակման հաշվողական բլոկ.</w:t>
      </w:r>
    </w:p>
    <w:p w14:paraId="3D07C074"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համակարգիչ-սերվեր</w:t>
      </w:r>
      <w:r w:rsidR="00CA27E3" w:rsidRPr="002D3977">
        <w:rPr>
          <w:rFonts w:ascii="Sylfaen" w:hAnsi="Sylfaen"/>
          <w:b/>
          <w:sz w:val="24"/>
          <w:szCs w:val="24"/>
        </w:rPr>
        <w:t>՝</w:t>
      </w:r>
      <w:r w:rsidR="00CA27E3" w:rsidRPr="00CA27E3">
        <w:rPr>
          <w:rFonts w:ascii="Sylfaen" w:hAnsi="Sylfaen"/>
          <w:sz w:val="24"/>
          <w:szCs w:val="24"/>
        </w:rPr>
        <w:t xml:space="preserve"> ցանցային ռեսուրսները կառավարող </w:t>
      </w:r>
      <w:r w:rsidR="00CA27E3">
        <w:rPr>
          <w:rFonts w:ascii="Sylfaen" w:hAnsi="Sylfaen"/>
          <w:sz w:val="24"/>
          <w:szCs w:val="24"/>
        </w:rPr>
        <w:t>եւ</w:t>
      </w:r>
      <w:r w:rsidR="00CA27E3" w:rsidRPr="00CA27E3">
        <w:rPr>
          <w:rFonts w:ascii="Sylfaen" w:hAnsi="Sylfaen"/>
          <w:sz w:val="24"/>
          <w:szCs w:val="24"/>
        </w:rPr>
        <w:t xml:space="preserve"> սպասառու սարքվածքներին (սեղանի համակարգիչներ, նոութբուքեր, սեղանի «բարակ սպասառուներ», IP-հեռախոսներ կամ այլ համակարգիչ-սերվերներ) ծառայություններ տրամադրող հաշվողական սարքվածք, որը նախատեսված է, որպես կանոն, տվյալների մշակման կենտրոններում կամ կորպորատիվ միջավայրերում օգտագործելու համար, որը հասանելի է հիմնականում կապի ցանցի միջոցով, այլ ոչ թե անմիջապես ստեղնաշար կամ մկնիկ տիպի ներածման սարքվածքի օգնությամբ </w:t>
      </w:r>
      <w:r w:rsidR="00CA27E3">
        <w:rPr>
          <w:rFonts w:ascii="Sylfaen" w:hAnsi="Sylfaen"/>
          <w:sz w:val="24"/>
          <w:szCs w:val="24"/>
        </w:rPr>
        <w:t>եւ</w:t>
      </w:r>
      <w:r w:rsidR="00CA27E3" w:rsidRPr="00CA27E3">
        <w:rPr>
          <w:rFonts w:ascii="Sylfaen" w:hAnsi="Sylfaen"/>
          <w:sz w:val="24"/>
          <w:szCs w:val="24"/>
        </w:rPr>
        <w:t xml:space="preserve"> որն ունի հետ</w:t>
      </w:r>
      <w:r w:rsidR="00CA27E3">
        <w:rPr>
          <w:rFonts w:ascii="Sylfaen" w:hAnsi="Sylfaen"/>
          <w:sz w:val="24"/>
          <w:szCs w:val="24"/>
        </w:rPr>
        <w:t>եւ</w:t>
      </w:r>
      <w:r w:rsidR="00CA27E3" w:rsidRPr="00CA27E3">
        <w:rPr>
          <w:rFonts w:ascii="Sylfaen" w:hAnsi="Sylfaen"/>
          <w:sz w:val="24"/>
          <w:szCs w:val="24"/>
        </w:rPr>
        <w:t>յալ բնութագրերը՝</w:t>
      </w:r>
    </w:p>
    <w:p w14:paraId="6D6EECF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նախատեսված է սերվերային օպերացիոն համակարգերը (ՕՀ) </w:t>
      </w:r>
      <w:r>
        <w:rPr>
          <w:rFonts w:ascii="Sylfaen" w:hAnsi="Sylfaen"/>
          <w:sz w:val="24"/>
          <w:szCs w:val="24"/>
        </w:rPr>
        <w:t>եւ</w:t>
      </w:r>
      <w:r w:rsidRPr="00CA27E3">
        <w:rPr>
          <w:rFonts w:ascii="Sylfaen" w:hAnsi="Sylfaen"/>
          <w:sz w:val="24"/>
          <w:szCs w:val="24"/>
        </w:rPr>
        <w:t xml:space="preserve"> (կամ) հիպերվիզորներն աջակցելու համար, ինչպես նա</w:t>
      </w:r>
      <w:r>
        <w:rPr>
          <w:rFonts w:ascii="Sylfaen" w:hAnsi="Sylfaen"/>
          <w:sz w:val="24"/>
          <w:szCs w:val="24"/>
        </w:rPr>
        <w:t>եւ</w:t>
      </w:r>
      <w:r w:rsidRPr="00CA27E3">
        <w:rPr>
          <w:rFonts w:ascii="Sylfaen" w:hAnsi="Sylfaen"/>
          <w:sz w:val="24"/>
          <w:szCs w:val="24"/>
        </w:rPr>
        <w:t xml:space="preserve"> օգտվողի կողմից տեղադրված կորպորատիվ հավելվածները գործադրելու համար.</w:t>
      </w:r>
    </w:p>
    <w:p w14:paraId="5386B7B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աջակցում է սխալների ուղղման ծածկագիրը (</w:t>
      </w:r>
      <w:smartTag w:uri="urn:schemas-microsoft-com:office:smarttags" w:element="stockticker">
        <w:r w:rsidRPr="00CA27E3">
          <w:rPr>
            <w:rFonts w:ascii="Sylfaen" w:hAnsi="Sylfaen"/>
            <w:sz w:val="24"/>
            <w:szCs w:val="24"/>
          </w:rPr>
          <w:t>ECC</w:t>
        </w:r>
      </w:smartTag>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(կամ) բուֆերային հիշողությունը, այդ թվում՝ կոնտակտների երկկողմանի տեղակայմամբ հիշողության բուֆերացված մոդուլները (DIMM) </w:t>
      </w:r>
      <w:r>
        <w:rPr>
          <w:rFonts w:ascii="Sylfaen" w:hAnsi="Sylfaen"/>
          <w:sz w:val="24"/>
          <w:szCs w:val="24"/>
        </w:rPr>
        <w:t>եւ</w:t>
      </w:r>
      <w:r w:rsidRPr="00CA27E3">
        <w:rPr>
          <w:rFonts w:ascii="Sylfaen" w:hAnsi="Sylfaen"/>
          <w:sz w:val="24"/>
          <w:szCs w:val="24"/>
        </w:rPr>
        <w:t xml:space="preserve"> ներկառուցված բուֆերով կազմաձ</w:t>
      </w:r>
      <w:r>
        <w:rPr>
          <w:rFonts w:ascii="Sylfaen" w:hAnsi="Sylfaen"/>
          <w:sz w:val="24"/>
          <w:szCs w:val="24"/>
        </w:rPr>
        <w:t>եւ</w:t>
      </w:r>
      <w:r w:rsidRPr="00CA27E3">
        <w:rPr>
          <w:rFonts w:ascii="Sylfaen" w:hAnsi="Sylfaen"/>
          <w:sz w:val="24"/>
          <w:szCs w:val="24"/>
        </w:rPr>
        <w:t>երը (ВОВ).</w:t>
      </w:r>
    </w:p>
    <w:p w14:paraId="7242F9F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համալրվում է 1 կամ մի քանի փոփոխական (հաստատուն) հոսանքի էլեկտրասնուցման աղբյուրներով.</w:t>
      </w:r>
    </w:p>
    <w:p w14:paraId="0E7C56B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 xml:space="preserve">բոլոր պրոցեսորներն ունեն մատչում ընդհանուր համակարգային հիշողությանը </w:t>
      </w:r>
      <w:r>
        <w:rPr>
          <w:rFonts w:ascii="Sylfaen" w:hAnsi="Sylfaen"/>
          <w:sz w:val="24"/>
          <w:szCs w:val="24"/>
        </w:rPr>
        <w:t>եւ</w:t>
      </w:r>
      <w:r w:rsidRPr="00CA27E3">
        <w:rPr>
          <w:rFonts w:ascii="Sylfaen" w:hAnsi="Sylfaen"/>
          <w:sz w:val="24"/>
          <w:szCs w:val="24"/>
        </w:rPr>
        <w:t xml:space="preserve"> անկախ տեսանելի են մեկ ՕՀ-ում կամ հիպերվիզորում.</w:t>
      </w:r>
    </w:p>
    <w:p w14:paraId="531695B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համակարգիչ-սերվեր, որը համալրված է ավել</w:t>
      </w:r>
      <w:r w:rsidR="002D3977" w:rsidRPr="002D3977">
        <w:rPr>
          <w:rFonts w:ascii="Sylfaen" w:hAnsi="Sylfaen"/>
          <w:b/>
          <w:sz w:val="24"/>
          <w:szCs w:val="24"/>
        </w:rPr>
        <w:t>ի քան 4 պրոցեսորային միացքներով</w:t>
      </w:r>
      <w:r w:rsidRPr="002D3977">
        <w:rPr>
          <w:rFonts w:ascii="Sylfaen" w:hAnsi="Sylfaen"/>
          <w:b/>
          <w:sz w:val="24"/>
          <w:szCs w:val="24"/>
        </w:rPr>
        <w:t>՝</w:t>
      </w:r>
      <w:r w:rsidRPr="00CA27E3">
        <w:rPr>
          <w:rFonts w:ascii="Sylfaen" w:hAnsi="Sylfaen"/>
          <w:sz w:val="24"/>
          <w:szCs w:val="24"/>
        </w:rPr>
        <w:t xml:space="preserve"> պրոցեսորի տեղակայման համար նախատեսված 4-ից ավելի միջերեսներ պարունակող համակարգիչ-սերվեր.</w:t>
      </w:r>
    </w:p>
    <w:p w14:paraId="247BAB3D"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փոքր սերվեր</w:t>
      </w:r>
      <w:r w:rsidR="00CA27E3" w:rsidRPr="002D3977">
        <w:rPr>
          <w:rFonts w:ascii="Sylfaen" w:hAnsi="Sylfaen"/>
          <w:b/>
          <w:sz w:val="24"/>
          <w:szCs w:val="24"/>
        </w:rPr>
        <w:t>՝</w:t>
      </w:r>
      <w:r w:rsidR="00CA27E3" w:rsidRPr="00CA27E3">
        <w:rPr>
          <w:rFonts w:ascii="Sylfaen" w:hAnsi="Sylfaen"/>
          <w:sz w:val="24"/>
          <w:szCs w:val="24"/>
        </w:rPr>
        <w:t xml:space="preserve"> համակարգչի տիպ, որը սովորաբար օգտագործում է սեղանի համակարգչի բաղադրամասերը, սակայն նախատեսված է առաջին հերթին այլ համակարգիչների համար գործառույթներ կատարելու համար (օրինակ` ցանցային ենթակառուցվածքի ծառայությունների մատուցման </w:t>
      </w:r>
      <w:r w:rsidR="00CA27E3">
        <w:rPr>
          <w:rFonts w:ascii="Sylfaen" w:hAnsi="Sylfaen"/>
          <w:sz w:val="24"/>
          <w:szCs w:val="24"/>
        </w:rPr>
        <w:t>եւ</w:t>
      </w:r>
      <w:r w:rsidR="00CA27E3" w:rsidRPr="00CA27E3">
        <w:rPr>
          <w:rFonts w:ascii="Sylfaen" w:hAnsi="Sylfaen"/>
          <w:sz w:val="24"/>
          <w:szCs w:val="24"/>
        </w:rPr>
        <w:t xml:space="preserve"> տվյալների պահպանման), որն ունի հետ</w:t>
      </w:r>
      <w:r w:rsidR="00CA27E3">
        <w:rPr>
          <w:rFonts w:ascii="Sylfaen" w:hAnsi="Sylfaen"/>
          <w:sz w:val="24"/>
          <w:szCs w:val="24"/>
        </w:rPr>
        <w:t>եւ</w:t>
      </w:r>
      <w:r w:rsidR="00CA27E3" w:rsidRPr="00CA27E3">
        <w:rPr>
          <w:rFonts w:ascii="Sylfaen" w:hAnsi="Sylfaen"/>
          <w:sz w:val="24"/>
          <w:szCs w:val="24"/>
        </w:rPr>
        <w:t>յալ առանձնահատկությունները՝</w:t>
      </w:r>
    </w:p>
    <w:p w14:paraId="3764F763" w14:textId="77777777" w:rsidR="00CA27E3" w:rsidRPr="00CA27E3" w:rsidRDefault="00CA27E3" w:rsidP="002D397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դասավորված է «աշտարակ» տիպի կորպուսում կամ սեղանի համակարգչին համանման այլ ձ</w:t>
      </w:r>
      <w:r>
        <w:rPr>
          <w:rFonts w:ascii="Sylfaen" w:hAnsi="Sylfaen"/>
          <w:sz w:val="24"/>
          <w:szCs w:val="24"/>
        </w:rPr>
        <w:t>եւ</w:t>
      </w:r>
      <w:r w:rsidRPr="00CA27E3">
        <w:rPr>
          <w:rFonts w:ascii="Sylfaen" w:hAnsi="Sylfaen"/>
          <w:sz w:val="24"/>
          <w:szCs w:val="24"/>
        </w:rPr>
        <w:t xml:space="preserve">ով՝ մեկ բլոկում մշակում, պահպանում </w:t>
      </w:r>
      <w:r>
        <w:rPr>
          <w:rFonts w:ascii="Sylfaen" w:hAnsi="Sylfaen"/>
          <w:sz w:val="24"/>
          <w:szCs w:val="24"/>
        </w:rPr>
        <w:t>եւ</w:t>
      </w:r>
      <w:r w:rsidRPr="00CA27E3">
        <w:rPr>
          <w:rFonts w:ascii="Sylfaen" w:hAnsi="Sylfaen"/>
          <w:sz w:val="24"/>
          <w:szCs w:val="24"/>
        </w:rPr>
        <w:t xml:space="preserve"> ցանցային փոխգործակցություն իրականացնելու համար.</w:t>
      </w:r>
    </w:p>
    <w:p w14:paraId="37735B98" w14:textId="77777777" w:rsidR="00CA27E3" w:rsidRPr="00CA27E3" w:rsidRDefault="00CA27E3" w:rsidP="002D397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նախատեսված է շաբաթը 7 օր շուրջօրյա աշխատանքի համար.</w:t>
      </w:r>
    </w:p>
    <w:p w14:paraId="5F8DACC2" w14:textId="77777777" w:rsidR="00CA27E3" w:rsidRPr="00CA27E3" w:rsidRDefault="00CA27E3" w:rsidP="002D397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նախ</w:t>
      </w:r>
      <w:r>
        <w:rPr>
          <w:rFonts w:ascii="Sylfaen" w:hAnsi="Sylfaen"/>
          <w:sz w:val="24"/>
          <w:szCs w:val="24"/>
        </w:rPr>
        <w:t>եւ</w:t>
      </w:r>
      <w:r w:rsidRPr="00CA27E3">
        <w:rPr>
          <w:rFonts w:ascii="Sylfaen" w:hAnsi="Sylfaen"/>
          <w:sz w:val="24"/>
          <w:szCs w:val="24"/>
        </w:rPr>
        <w:t>առաջ նախատեսված է այնպիսի բազմաթիվ օգտվողներից կազմված համաժամանակյա միջավայրում աշխատելու համար, որը ցանցային սպասառու մոդուլի միջոցով սպասարկում է մի քանի օգտվողների.</w:t>
      </w:r>
    </w:p>
    <w:p w14:paraId="592986CF" w14:textId="77777777" w:rsidR="00CA27E3" w:rsidRPr="00CA27E3" w:rsidRDefault="00CA27E3" w:rsidP="002D397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եթե մատակարարվում է տեղակայված օպերացիոն համակարգով, ապա այդ օպերացիոն համակարգը նախատեսված է տնային սերվերի կամ պարզ սերվերային հավելվածների համար.</w:t>
      </w:r>
    </w:p>
    <w:p w14:paraId="2925A877" w14:textId="77777777" w:rsidR="00CA27E3" w:rsidRPr="00CA27E3" w:rsidRDefault="00CA27E3" w:rsidP="002D3977">
      <w:pPr>
        <w:pStyle w:val="Bodytext212"/>
        <w:shd w:val="clear" w:color="auto" w:fill="auto"/>
        <w:spacing w:after="160" w:line="341" w:lineRule="auto"/>
        <w:ind w:firstLine="567"/>
        <w:jc w:val="both"/>
        <w:rPr>
          <w:rFonts w:ascii="Sylfaen" w:hAnsi="Sylfaen"/>
          <w:sz w:val="24"/>
          <w:szCs w:val="24"/>
        </w:rPr>
      </w:pPr>
      <w:r w:rsidRPr="00CA27E3">
        <w:rPr>
          <w:rFonts w:ascii="Sylfaen" w:hAnsi="Sylfaen"/>
          <w:sz w:val="24"/>
          <w:szCs w:val="24"/>
        </w:rPr>
        <w:t>լրակազմվում է միայն G1 կատեգորիայի դիսկրետային տեսաքարտով (dGfx).</w:t>
      </w:r>
    </w:p>
    <w:p w14:paraId="24BC9AF9" w14:textId="77777777" w:rsidR="00CA27E3" w:rsidRPr="00CA27E3" w:rsidRDefault="002D3977" w:rsidP="002D3977">
      <w:pPr>
        <w:pStyle w:val="Bodytext212"/>
        <w:shd w:val="clear" w:color="auto" w:fill="auto"/>
        <w:spacing w:after="160" w:line="341" w:lineRule="auto"/>
        <w:ind w:firstLine="567"/>
        <w:jc w:val="both"/>
        <w:rPr>
          <w:rFonts w:ascii="Sylfaen" w:hAnsi="Sylfaen"/>
          <w:sz w:val="24"/>
          <w:szCs w:val="24"/>
        </w:rPr>
      </w:pPr>
      <w:r w:rsidRPr="002D3977">
        <w:rPr>
          <w:rFonts w:ascii="Sylfaen" w:hAnsi="Sylfaen"/>
          <w:b/>
          <w:sz w:val="24"/>
          <w:szCs w:val="24"/>
        </w:rPr>
        <w:t>բազմահանգույց սերվեր</w:t>
      </w:r>
      <w:r w:rsidR="00CA27E3" w:rsidRPr="002D3977">
        <w:rPr>
          <w:rFonts w:ascii="Sylfaen" w:hAnsi="Sylfaen"/>
          <w:b/>
          <w:sz w:val="24"/>
          <w:szCs w:val="24"/>
        </w:rPr>
        <w:t>՝</w:t>
      </w:r>
      <w:r w:rsidR="00CA27E3" w:rsidRPr="00CA27E3">
        <w:rPr>
          <w:rFonts w:ascii="Sylfaen" w:hAnsi="Sylfaen"/>
          <w:sz w:val="24"/>
          <w:szCs w:val="24"/>
        </w:rPr>
        <w:t xml:space="preserve"> համակարգ, որը բաղկացած է այնպիսի 2 կամ ավելի անկախ համակարգիչ-սերվերներ (կամ հանգույցներ) պարունակող կորպուսից, որոնք համատեղ օգտագործում են 1 կամ մի քանի էլեկտրասնուցման աղբյուրներ: Բոլոր հանգույցների գումարային սպառվող հզորությունն ապահովվում է էլեկտրասնուցման ընդհանուր աղբյուրով (աղբյուրներով): Բազմահանգույց սերվերը դասավորված է միասնական կորպուսի տեսքով </w:t>
      </w:r>
      <w:r w:rsidR="00CA27E3">
        <w:rPr>
          <w:rFonts w:ascii="Sylfaen" w:hAnsi="Sylfaen"/>
          <w:sz w:val="24"/>
          <w:szCs w:val="24"/>
        </w:rPr>
        <w:t>եւ</w:t>
      </w:r>
      <w:r w:rsidR="00CA27E3" w:rsidRPr="00CA27E3">
        <w:rPr>
          <w:rFonts w:ascii="Sylfaen" w:hAnsi="Sylfaen"/>
          <w:sz w:val="24"/>
          <w:szCs w:val="24"/>
        </w:rPr>
        <w:t xml:space="preserve"> նախատեսված չէ թեժ փոխարինման համար.</w:t>
      </w:r>
    </w:p>
    <w:p w14:paraId="72920FB5" w14:textId="77777777" w:rsidR="00CA27E3" w:rsidRPr="00CA27E3" w:rsidRDefault="00CA27E3" w:rsidP="002D3977">
      <w:pPr>
        <w:pStyle w:val="Bodytext212"/>
        <w:shd w:val="clear" w:color="auto" w:fill="auto"/>
        <w:spacing w:after="160" w:line="346" w:lineRule="auto"/>
        <w:ind w:firstLine="567"/>
        <w:jc w:val="both"/>
        <w:rPr>
          <w:rFonts w:ascii="Sylfaen" w:hAnsi="Sylfaen"/>
          <w:sz w:val="24"/>
          <w:szCs w:val="24"/>
        </w:rPr>
      </w:pPr>
      <w:r w:rsidRPr="002D3977">
        <w:rPr>
          <w:rFonts w:ascii="Sylfaen" w:hAnsi="Sylfaen"/>
          <w:b/>
          <w:sz w:val="24"/>
          <w:szCs w:val="24"/>
        </w:rPr>
        <w:lastRenderedPageBreak/>
        <w:t>շարժական աշխատանքայ</w:t>
      </w:r>
      <w:r w:rsidR="002D3977" w:rsidRPr="002D3977">
        <w:rPr>
          <w:rFonts w:ascii="Sylfaen" w:hAnsi="Sylfaen"/>
          <w:b/>
          <w:sz w:val="24"/>
          <w:szCs w:val="24"/>
        </w:rPr>
        <w:t>ին կայան</w:t>
      </w:r>
      <w:r w:rsidRPr="00CA27E3">
        <w:rPr>
          <w:rFonts w:ascii="Sylfaen" w:hAnsi="Sylfaen"/>
          <w:sz w:val="24"/>
          <w:szCs w:val="24"/>
        </w:rPr>
        <w:t xml:space="preserve">՝ բարձրարտադրողական անհատական համակարգիչ, որը հիմնականում օգտագործվում է գրաֆիկայի համար, ավտոմատացված նախագծման համակարգում, ծրագրային աշխատանքա, ֆինանսական </w:t>
      </w:r>
      <w:r>
        <w:rPr>
          <w:rFonts w:ascii="Sylfaen" w:hAnsi="Sylfaen"/>
          <w:sz w:val="24"/>
          <w:szCs w:val="24"/>
        </w:rPr>
        <w:t>եւ</w:t>
      </w:r>
      <w:r w:rsidRPr="00CA27E3">
        <w:rPr>
          <w:rFonts w:ascii="Sylfaen" w:hAnsi="Sylfaen"/>
          <w:sz w:val="24"/>
          <w:szCs w:val="24"/>
        </w:rPr>
        <w:t xml:space="preserve"> գիտական հավելվածներ ու այլ ռեսուրսատար առաջադրանքներ մշակելու համար, բացառությամբ որպես այնպիսի դյուրակիր սարքվածք մշակված խաղերի, որը կարող է աշխատել տ</w:t>
      </w:r>
      <w:r>
        <w:rPr>
          <w:rFonts w:ascii="Sylfaen" w:hAnsi="Sylfaen"/>
          <w:sz w:val="24"/>
          <w:szCs w:val="24"/>
        </w:rPr>
        <w:t>եւ</w:t>
      </w:r>
      <w:r w:rsidRPr="00CA27E3">
        <w:rPr>
          <w:rFonts w:ascii="Sylfaen" w:hAnsi="Sylfaen"/>
          <w:sz w:val="24"/>
          <w:szCs w:val="24"/>
        </w:rPr>
        <w:t xml:space="preserve">ական ժամանակահատվածի ընթացքում փոփոխական հոսանքի աղբյուրին միացմամբ կամ առանց ուղիղ միացման: Շարժական աշխատանքային կայաններն օգտագործում են ներկառուցված դիսփլեյ </w:t>
      </w:r>
      <w:r>
        <w:rPr>
          <w:rFonts w:ascii="Sylfaen" w:hAnsi="Sylfaen"/>
          <w:sz w:val="24"/>
          <w:szCs w:val="24"/>
        </w:rPr>
        <w:t>եւ</w:t>
      </w:r>
      <w:r w:rsidRPr="00CA27E3">
        <w:rPr>
          <w:rFonts w:ascii="Sylfaen" w:hAnsi="Sylfaen"/>
          <w:sz w:val="24"/>
          <w:szCs w:val="24"/>
        </w:rPr>
        <w:t xml:space="preserve"> կարող են աշխատել ներկառուցված կուտակչից կամ այլ էլեկտրասնուցման դյուրակիր աղբյուրից: Շարժական աշխատանքային կայանների մեծ մասն օգտագործում է էլեկտրասնուցման արտաքին աղբյուր </w:t>
      </w:r>
      <w:r>
        <w:rPr>
          <w:rFonts w:ascii="Sylfaen" w:hAnsi="Sylfaen"/>
          <w:sz w:val="24"/>
          <w:szCs w:val="24"/>
        </w:rPr>
        <w:t>եւ</w:t>
      </w:r>
      <w:r w:rsidRPr="00CA27E3">
        <w:rPr>
          <w:rFonts w:ascii="Sylfaen" w:hAnsi="Sylfaen"/>
          <w:sz w:val="24"/>
          <w:szCs w:val="24"/>
        </w:rPr>
        <w:t xml:space="preserve"> դրանց մեծ մասն ունի ներկառուցված ստեղնաշար </w:t>
      </w:r>
      <w:r>
        <w:rPr>
          <w:rFonts w:ascii="Sylfaen" w:hAnsi="Sylfaen"/>
          <w:sz w:val="24"/>
          <w:szCs w:val="24"/>
        </w:rPr>
        <w:t>եւ</w:t>
      </w:r>
      <w:r w:rsidRPr="00CA27E3">
        <w:rPr>
          <w:rFonts w:ascii="Sylfaen" w:hAnsi="Sylfaen"/>
          <w:sz w:val="24"/>
          <w:szCs w:val="24"/>
        </w:rPr>
        <w:t xml:space="preserve"> դիրքավորման սարքվածք: Շարժական աշխատանքային կայանն ունի հետ</w:t>
      </w:r>
      <w:r>
        <w:rPr>
          <w:rFonts w:ascii="Sylfaen" w:hAnsi="Sylfaen"/>
          <w:sz w:val="24"/>
          <w:szCs w:val="24"/>
        </w:rPr>
        <w:t>եւ</w:t>
      </w:r>
      <w:r w:rsidRPr="00CA27E3">
        <w:rPr>
          <w:rFonts w:ascii="Sylfaen" w:hAnsi="Sylfaen"/>
          <w:sz w:val="24"/>
          <w:szCs w:val="24"/>
        </w:rPr>
        <w:t>յալ բնութագրերը՝</w:t>
      </w:r>
    </w:p>
    <w:p w14:paraId="68717701" w14:textId="77777777" w:rsidR="00CA27E3" w:rsidRPr="00CA27E3" w:rsidRDefault="00CA27E3" w:rsidP="002D3977">
      <w:pPr>
        <w:pStyle w:val="Bodytext212"/>
        <w:shd w:val="clear" w:color="auto" w:fill="auto"/>
        <w:spacing w:after="160" w:line="346" w:lineRule="auto"/>
        <w:ind w:firstLine="567"/>
        <w:jc w:val="both"/>
        <w:rPr>
          <w:rFonts w:ascii="Sylfaen" w:hAnsi="Sylfaen"/>
          <w:sz w:val="24"/>
          <w:szCs w:val="24"/>
        </w:rPr>
      </w:pPr>
      <w:r w:rsidRPr="00CA27E3">
        <w:rPr>
          <w:rFonts w:ascii="Sylfaen" w:hAnsi="Sylfaen"/>
          <w:sz w:val="24"/>
          <w:szCs w:val="24"/>
        </w:rPr>
        <w:t>խափանումների միջ</w:t>
      </w:r>
      <w:r>
        <w:rPr>
          <w:rFonts w:ascii="Sylfaen" w:hAnsi="Sylfaen"/>
          <w:sz w:val="24"/>
          <w:szCs w:val="24"/>
        </w:rPr>
        <w:t>եւ</w:t>
      </w:r>
      <w:r w:rsidRPr="00CA27E3">
        <w:rPr>
          <w:rFonts w:ascii="Sylfaen" w:hAnsi="Sylfaen"/>
          <w:sz w:val="24"/>
          <w:szCs w:val="24"/>
        </w:rPr>
        <w:t xml:space="preserve"> ընկած հաշվարկված 13000 ժամ միջին վիճակագրական ժամանակ</w:t>
      </w:r>
      <w:r>
        <w:rPr>
          <w:rFonts w:ascii="Sylfaen" w:hAnsi="Sylfaen"/>
          <w:sz w:val="24"/>
          <w:szCs w:val="24"/>
        </w:rPr>
        <w:t xml:space="preserve"> </w:t>
      </w:r>
      <w:r w:rsidRPr="00CA27E3">
        <w:rPr>
          <w:rFonts w:ascii="Sylfaen" w:hAnsi="Sylfaen"/>
          <w:sz w:val="24"/>
          <w:szCs w:val="24"/>
        </w:rPr>
        <w:t>(MTBF).</w:t>
      </w:r>
    </w:p>
    <w:p w14:paraId="63EF6310" w14:textId="77777777" w:rsidR="00CA27E3" w:rsidRPr="00CA27E3" w:rsidRDefault="00CA27E3" w:rsidP="002D3977">
      <w:pPr>
        <w:pStyle w:val="Bodytext212"/>
        <w:shd w:val="clear" w:color="auto" w:fill="auto"/>
        <w:spacing w:after="160" w:line="346" w:lineRule="auto"/>
        <w:ind w:firstLine="567"/>
        <w:jc w:val="both"/>
        <w:rPr>
          <w:rFonts w:ascii="Sylfaen" w:hAnsi="Sylfaen"/>
          <w:sz w:val="24"/>
          <w:szCs w:val="24"/>
        </w:rPr>
      </w:pPr>
      <w:r w:rsidRPr="00CA27E3">
        <w:rPr>
          <w:rFonts w:ascii="Sylfaen" w:hAnsi="Sylfaen"/>
          <w:sz w:val="24"/>
          <w:szCs w:val="24"/>
        </w:rPr>
        <w:t>ունի առնվազն 1 դիսկրետային տեսաքարտ (dGfx), որը բավարարում է ըստ տեսաքարտերի դասակարգման G3 (128 բիթից ավելի տվյալների հաղորդաձողի կարգայնություն), G4, G5, G6 կամ G7 կատեգորիաները.</w:t>
      </w:r>
    </w:p>
    <w:p w14:paraId="71B846C2" w14:textId="77777777" w:rsidR="00CA27E3" w:rsidRPr="00CA27E3" w:rsidRDefault="00CA27E3" w:rsidP="002D3977">
      <w:pPr>
        <w:pStyle w:val="Bodytext212"/>
        <w:shd w:val="clear" w:color="auto" w:fill="auto"/>
        <w:spacing w:after="160" w:line="346" w:lineRule="auto"/>
        <w:ind w:firstLine="567"/>
        <w:jc w:val="both"/>
        <w:rPr>
          <w:rFonts w:ascii="Sylfaen" w:hAnsi="Sylfaen"/>
          <w:sz w:val="24"/>
          <w:szCs w:val="24"/>
        </w:rPr>
      </w:pPr>
      <w:r w:rsidRPr="00CA27E3">
        <w:rPr>
          <w:rFonts w:ascii="Sylfaen" w:hAnsi="Sylfaen"/>
          <w:sz w:val="24"/>
          <w:szCs w:val="24"/>
        </w:rPr>
        <w:t>աջակցում է երեք կամ ավելի՝ ներքին հիշողության սարքվածքների միացմանը.</w:t>
      </w:r>
    </w:p>
    <w:p w14:paraId="457F7A89" w14:textId="77777777" w:rsidR="00CA27E3" w:rsidRPr="00CA27E3" w:rsidRDefault="00CA27E3" w:rsidP="002D3977">
      <w:pPr>
        <w:pStyle w:val="Bodytext212"/>
        <w:shd w:val="clear" w:color="auto" w:fill="auto"/>
        <w:spacing w:after="160" w:line="346" w:lineRule="auto"/>
        <w:ind w:firstLine="567"/>
        <w:jc w:val="both"/>
        <w:rPr>
          <w:rFonts w:ascii="Sylfaen" w:hAnsi="Sylfaen"/>
          <w:sz w:val="24"/>
          <w:szCs w:val="24"/>
        </w:rPr>
      </w:pPr>
      <w:r w:rsidRPr="00CA27E3">
        <w:rPr>
          <w:rFonts w:ascii="Sylfaen" w:hAnsi="Sylfaen"/>
          <w:sz w:val="24"/>
          <w:szCs w:val="24"/>
        </w:rPr>
        <w:t>աջակցում է առնվազն 32 Գբ համակարգային հիշողությանը.</w:t>
      </w:r>
    </w:p>
    <w:p w14:paraId="468CAF90" w14:textId="77777777" w:rsidR="00CA27E3" w:rsidRPr="00CA27E3" w:rsidRDefault="002D3977" w:rsidP="002D3977">
      <w:pPr>
        <w:pStyle w:val="Bodytext212"/>
        <w:shd w:val="clear" w:color="auto" w:fill="auto"/>
        <w:spacing w:after="160" w:line="346" w:lineRule="auto"/>
        <w:ind w:firstLine="567"/>
        <w:jc w:val="both"/>
        <w:rPr>
          <w:rFonts w:ascii="Sylfaen" w:hAnsi="Sylfaen"/>
          <w:sz w:val="24"/>
          <w:szCs w:val="24"/>
        </w:rPr>
      </w:pPr>
      <w:r w:rsidRPr="002D3977">
        <w:rPr>
          <w:rFonts w:ascii="Sylfaen" w:hAnsi="Sylfaen"/>
          <w:b/>
          <w:sz w:val="24"/>
          <w:szCs w:val="24"/>
        </w:rPr>
        <w:t>շարժական բարակ սպասառու</w:t>
      </w:r>
      <w:r w:rsidR="00CA27E3" w:rsidRPr="00CA27E3">
        <w:rPr>
          <w:rFonts w:ascii="Sylfaen" w:hAnsi="Sylfaen"/>
          <w:sz w:val="24"/>
          <w:szCs w:val="24"/>
        </w:rPr>
        <w:t>՝ նոութբուքի տարատեսակ, որը չունի պտտվող սկավառակով տեղեկատվության ներկառուցված այնպիսի կուտակիչ, որը միացվում է հեռակա հաշվողական ռեսուրսներին (օրինակ` համակարգչային սերվերներին, հեռակա աշխատանքային վայրերին), որտեղ իրականացվում է տվյալների հիմնական մշակումը.</w:t>
      </w:r>
    </w:p>
    <w:p w14:paraId="1E380054" w14:textId="77777777" w:rsidR="00CA27E3" w:rsidRPr="00CA27E3" w:rsidRDefault="002D3977" w:rsidP="002D3977">
      <w:pPr>
        <w:pStyle w:val="Bodytext212"/>
        <w:shd w:val="clear" w:color="auto" w:fill="auto"/>
        <w:spacing w:after="160" w:line="346" w:lineRule="auto"/>
        <w:ind w:firstLine="567"/>
        <w:jc w:val="both"/>
        <w:rPr>
          <w:rFonts w:ascii="Sylfaen" w:hAnsi="Sylfaen"/>
          <w:sz w:val="24"/>
          <w:szCs w:val="24"/>
        </w:rPr>
      </w:pPr>
      <w:r w:rsidRPr="002D3977">
        <w:rPr>
          <w:rFonts w:ascii="Sylfaen" w:hAnsi="Sylfaen"/>
          <w:b/>
          <w:sz w:val="24"/>
          <w:szCs w:val="24"/>
        </w:rPr>
        <w:t>միաբլոկ սեղանի համակարգիչ</w:t>
      </w:r>
      <w:r w:rsidR="00CA27E3" w:rsidRPr="002D3977">
        <w:rPr>
          <w:rFonts w:ascii="Sylfaen" w:hAnsi="Sylfaen"/>
          <w:b/>
          <w:sz w:val="24"/>
          <w:szCs w:val="24"/>
        </w:rPr>
        <w:t>՝</w:t>
      </w:r>
      <w:r w:rsidR="00CA27E3" w:rsidRPr="00CA27E3">
        <w:rPr>
          <w:rFonts w:ascii="Sylfaen" w:hAnsi="Sylfaen"/>
          <w:sz w:val="24"/>
          <w:szCs w:val="24"/>
        </w:rPr>
        <w:t xml:space="preserve"> համակարգիչ, որում համակարգային բլոկը </w:t>
      </w:r>
      <w:r w:rsidR="00CA27E3">
        <w:rPr>
          <w:rFonts w:ascii="Sylfaen" w:hAnsi="Sylfaen"/>
          <w:sz w:val="24"/>
          <w:szCs w:val="24"/>
        </w:rPr>
        <w:t>եւ</w:t>
      </w:r>
      <w:r w:rsidR="00CA27E3" w:rsidRPr="00CA27E3">
        <w:rPr>
          <w:rFonts w:ascii="Sylfaen" w:hAnsi="Sylfaen"/>
          <w:sz w:val="24"/>
          <w:szCs w:val="24"/>
        </w:rPr>
        <w:t xml:space="preserve"> մոնիտորը կատարված են այնպիսի միասնական բլոկի տեսքով, որը </w:t>
      </w:r>
      <w:r w:rsidR="00CA27E3" w:rsidRPr="00CA27E3">
        <w:rPr>
          <w:rFonts w:ascii="Sylfaen" w:hAnsi="Sylfaen"/>
          <w:sz w:val="24"/>
          <w:szCs w:val="24"/>
        </w:rPr>
        <w:lastRenderedPageBreak/>
        <w:t>էլեկտրասնուցումն ստանում է երկու հետ</w:t>
      </w:r>
      <w:r w:rsidR="00CA27E3">
        <w:rPr>
          <w:rFonts w:ascii="Sylfaen" w:hAnsi="Sylfaen"/>
          <w:sz w:val="24"/>
          <w:szCs w:val="24"/>
        </w:rPr>
        <w:t>եւ</w:t>
      </w:r>
      <w:r w:rsidR="00CA27E3" w:rsidRPr="00CA27E3">
        <w:rPr>
          <w:rFonts w:ascii="Sylfaen" w:hAnsi="Sylfaen"/>
          <w:sz w:val="24"/>
          <w:szCs w:val="24"/>
        </w:rPr>
        <w:t>յալ հնարավոր տիպերից մեկին դասվող ընդհանուր մալուխով՝</w:t>
      </w:r>
    </w:p>
    <w:p w14:paraId="6571684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սարքվածք, որում դիսփլեյը </w:t>
      </w:r>
      <w:r>
        <w:rPr>
          <w:rFonts w:ascii="Sylfaen" w:hAnsi="Sylfaen"/>
          <w:sz w:val="24"/>
          <w:szCs w:val="24"/>
        </w:rPr>
        <w:t>եւ</w:t>
      </w:r>
      <w:r w:rsidRPr="00CA27E3">
        <w:rPr>
          <w:rFonts w:ascii="Sylfaen" w:hAnsi="Sylfaen"/>
          <w:sz w:val="24"/>
          <w:szCs w:val="24"/>
        </w:rPr>
        <w:t xml:space="preserve"> համակարգիչը ֆիզիկապես միավորված են մեկ ամբողջում.</w:t>
      </w:r>
    </w:p>
    <w:p w14:paraId="4AB9B2B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սարքվածք, որում դիսփլեյն առանձնացված է համակարգչից, բայց հաստատուն հոսանքի էլեկտրասնուցման լարի օգնությամբ միացված է համակարգային բլոկին.</w:t>
      </w:r>
    </w:p>
    <w:p w14:paraId="51094721"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սեղանի համակարգիչ</w:t>
      </w:r>
      <w:r w:rsidR="00CA27E3" w:rsidRPr="002D3977">
        <w:rPr>
          <w:rFonts w:ascii="Sylfaen" w:hAnsi="Sylfaen"/>
          <w:b/>
          <w:sz w:val="24"/>
          <w:szCs w:val="24"/>
        </w:rPr>
        <w:t>՝</w:t>
      </w:r>
      <w:r w:rsidR="00CA27E3" w:rsidRPr="00CA27E3">
        <w:rPr>
          <w:rFonts w:ascii="Sylfaen" w:hAnsi="Sylfaen"/>
          <w:sz w:val="24"/>
          <w:szCs w:val="24"/>
        </w:rPr>
        <w:t xml:space="preserve"> ստացիոնար տեղակայման համար հիմնական բլոկի հետ տեղափոխման համար չնախատեսված համակարգիչ, որն օգտագործվում է արտաքին դիսփլեյի հետ </w:t>
      </w:r>
      <w:r w:rsidR="00CA27E3">
        <w:rPr>
          <w:rFonts w:ascii="Sylfaen" w:hAnsi="Sylfaen"/>
          <w:sz w:val="24"/>
          <w:szCs w:val="24"/>
        </w:rPr>
        <w:t>եւ</w:t>
      </w:r>
      <w:r w:rsidR="00CA27E3" w:rsidRPr="00CA27E3">
        <w:rPr>
          <w:rFonts w:ascii="Sylfaen" w:hAnsi="Sylfaen"/>
          <w:sz w:val="24"/>
          <w:szCs w:val="24"/>
        </w:rPr>
        <w:t xml:space="preserve"> այնպիսի արտաքին ծայրամասային սարքվածքների հետ, ինչպիսիք են ստեղնաշարն ու մկնիկը.</w:t>
      </w:r>
    </w:p>
    <w:p w14:paraId="6BFAAF7A"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սեղանի բարակ սպասառու</w:t>
      </w:r>
      <w:r w:rsidR="00CA27E3" w:rsidRPr="002D3977">
        <w:rPr>
          <w:rFonts w:ascii="Sylfaen" w:hAnsi="Sylfaen"/>
          <w:b/>
          <w:sz w:val="24"/>
          <w:szCs w:val="24"/>
        </w:rPr>
        <w:t>՝</w:t>
      </w:r>
      <w:r w:rsidR="00CA27E3" w:rsidRPr="00CA27E3">
        <w:rPr>
          <w:rFonts w:ascii="Sylfaen" w:hAnsi="Sylfaen"/>
          <w:sz w:val="24"/>
          <w:szCs w:val="24"/>
        </w:rPr>
        <w:t xml:space="preserve"> համակարգիչ, որը հիմնական գործառութային հնարավորություններն ապահովելու համար միանում է հեռակա հաշվողական ռեսուրսներին (օրինակ` համակարգչային սերվերներ, հեռակա աշխատանքային վայրեր), չունի տեղեկատվության ներկառուցված պտտվող կրիչ, նախատեսված է ստացիոնար տեղակայման համար (օրինակ՝ սեղանի վրա, այլ ոչ թե որպես շարժական սարքվածք) </w:t>
      </w:r>
      <w:r w:rsidR="00CA27E3">
        <w:rPr>
          <w:rFonts w:ascii="Sylfaen" w:hAnsi="Sylfaen"/>
          <w:sz w:val="24"/>
          <w:szCs w:val="24"/>
        </w:rPr>
        <w:t>եւ</w:t>
      </w:r>
      <w:r w:rsidR="00CA27E3" w:rsidRPr="00CA27E3">
        <w:rPr>
          <w:rFonts w:ascii="Sylfaen" w:hAnsi="Sylfaen"/>
          <w:sz w:val="24"/>
          <w:szCs w:val="24"/>
        </w:rPr>
        <w:t xml:space="preserve"> ունակ է արտապատկերելու տեղեկատվություն ցանկացած արտաքին կամ ներկառուցված դիսփլեյի վրա (առկայության դեպքում).</w:t>
      </w:r>
    </w:p>
    <w:p w14:paraId="0B2ACA25"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նոութբուք</w:t>
      </w:r>
      <w:r w:rsidR="00CA27E3" w:rsidRPr="002D3977">
        <w:rPr>
          <w:rFonts w:ascii="Sylfaen" w:hAnsi="Sylfaen"/>
          <w:b/>
          <w:sz w:val="24"/>
          <w:szCs w:val="24"/>
        </w:rPr>
        <w:t>՝</w:t>
      </w:r>
      <w:r w:rsidR="00CA27E3" w:rsidRPr="00CA27E3">
        <w:rPr>
          <w:rFonts w:ascii="Sylfaen" w:hAnsi="Sylfaen"/>
          <w:sz w:val="24"/>
          <w:szCs w:val="24"/>
        </w:rPr>
        <w:t xml:space="preserve"> առնվազն 22,86 սմ (9 դյույմ) չափսի էկրանի անկյունագծով միաբլոկ դիսփլեյով դյուրակիր համակարգիչ, որը նախատեսված է տ</w:t>
      </w:r>
      <w:r w:rsidR="00CA27E3">
        <w:rPr>
          <w:rFonts w:ascii="Sylfaen" w:hAnsi="Sylfaen"/>
          <w:sz w:val="24"/>
          <w:szCs w:val="24"/>
        </w:rPr>
        <w:t>եւ</w:t>
      </w:r>
      <w:r w:rsidR="00CA27E3" w:rsidRPr="00CA27E3">
        <w:rPr>
          <w:rFonts w:ascii="Sylfaen" w:hAnsi="Sylfaen"/>
          <w:sz w:val="24"/>
          <w:szCs w:val="24"/>
        </w:rPr>
        <w:t xml:space="preserve">ական ժամանակահատվածներում՝ ներկառուցված կուտակիչից կամ էլեկտրասնուցման դյուրակիր այլ աղբյուրից աշխատելու համար, որն ունի փոփոխական հոսանքի էլեկտրական ցանցին ուղիղ միացման հնարավորություն (նոութբուքի հատկանիշներին համապատասխանող, սակայն սպասման ռեժիմում 6 Վտ-ից պակաս էլեկտրաէներգիայի սպառում ունեցող սարքվածքները չեն դասվում նոութբուքերին </w:t>
      </w:r>
      <w:r w:rsidR="00CA27E3">
        <w:rPr>
          <w:rFonts w:ascii="Sylfaen" w:hAnsi="Sylfaen"/>
          <w:sz w:val="24"/>
          <w:szCs w:val="24"/>
        </w:rPr>
        <w:t>եւ</w:t>
      </w:r>
      <w:r w:rsidR="00CA27E3" w:rsidRPr="00CA27E3">
        <w:rPr>
          <w:rFonts w:ascii="Sylfaen" w:hAnsi="Sylfaen"/>
          <w:sz w:val="24"/>
          <w:szCs w:val="24"/>
        </w:rPr>
        <w:t xml:space="preserve"> ընդգրկված չեն տեխնիկական կանոնակարգի կիրառման բնագավառում).</w:t>
      </w:r>
    </w:p>
    <w:p w14:paraId="0399936F"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lastRenderedPageBreak/>
        <w:t>պլանշետային համակարգիչ</w:t>
      </w:r>
      <w:r w:rsidR="00CA27E3" w:rsidRPr="002D3977">
        <w:rPr>
          <w:rFonts w:ascii="Sylfaen" w:hAnsi="Sylfaen"/>
          <w:b/>
          <w:sz w:val="24"/>
          <w:szCs w:val="24"/>
        </w:rPr>
        <w:t>՝</w:t>
      </w:r>
      <w:r w:rsidR="00CA27E3" w:rsidRPr="00CA27E3">
        <w:rPr>
          <w:rFonts w:ascii="Sylfaen" w:hAnsi="Sylfaen"/>
          <w:sz w:val="24"/>
          <w:szCs w:val="24"/>
        </w:rPr>
        <w:t xml:space="preserve"> նոութբուքի տարատեսակ, որը ներառում է սենսորային դիսփլեյ </w:t>
      </w:r>
      <w:r w:rsidR="00CA27E3">
        <w:rPr>
          <w:rFonts w:ascii="Sylfaen" w:hAnsi="Sylfaen"/>
          <w:sz w:val="24"/>
          <w:szCs w:val="24"/>
        </w:rPr>
        <w:t>եւ</w:t>
      </w:r>
      <w:r w:rsidR="00CA27E3" w:rsidRPr="00CA27E3">
        <w:rPr>
          <w:rFonts w:ascii="Sylfaen" w:hAnsi="Sylfaen"/>
          <w:sz w:val="24"/>
          <w:szCs w:val="24"/>
        </w:rPr>
        <w:t xml:space="preserve"> ներկառուցված ստեղնաշար.</w:t>
      </w:r>
    </w:p>
    <w:p w14:paraId="35B9C053"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աշխատանքային կայան</w:t>
      </w:r>
      <w:r w:rsidR="00CA27E3" w:rsidRPr="002D3977">
        <w:rPr>
          <w:rFonts w:ascii="Sylfaen" w:hAnsi="Sylfaen"/>
          <w:b/>
          <w:sz w:val="24"/>
          <w:szCs w:val="24"/>
        </w:rPr>
        <w:t>՝</w:t>
      </w:r>
      <w:r w:rsidR="00CA27E3" w:rsidRPr="00CA27E3">
        <w:rPr>
          <w:rFonts w:ascii="Sylfaen" w:hAnsi="Sylfaen"/>
          <w:sz w:val="24"/>
          <w:szCs w:val="24"/>
        </w:rPr>
        <w:t xml:space="preserve"> բարձրարտադրողական անհատական համակարգիչ, որն օգտագործվում է գրաֆիկայի համար, ավտոմատացված նախագծման համակարգում, ծրագրային ապահովման, ֆինանսական </w:t>
      </w:r>
      <w:r w:rsidR="00CA27E3">
        <w:rPr>
          <w:rFonts w:ascii="Sylfaen" w:hAnsi="Sylfaen"/>
          <w:sz w:val="24"/>
          <w:szCs w:val="24"/>
        </w:rPr>
        <w:t>եւ</w:t>
      </w:r>
      <w:r w:rsidR="00CA27E3" w:rsidRPr="00CA27E3">
        <w:rPr>
          <w:rFonts w:ascii="Sylfaen" w:hAnsi="Sylfaen"/>
          <w:sz w:val="24"/>
          <w:szCs w:val="24"/>
        </w:rPr>
        <w:t xml:space="preserve"> գիտական հավելվածների ու այլ ռեսուրսատար առաջադրանքներ մշակելու համար, որը բնութագրվում է հետ</w:t>
      </w:r>
      <w:r w:rsidR="00CA27E3">
        <w:rPr>
          <w:rFonts w:ascii="Sylfaen" w:hAnsi="Sylfaen"/>
          <w:sz w:val="24"/>
          <w:szCs w:val="24"/>
        </w:rPr>
        <w:t>եւ</w:t>
      </w:r>
      <w:r w:rsidR="00CA27E3" w:rsidRPr="00CA27E3">
        <w:rPr>
          <w:rFonts w:ascii="Sylfaen" w:hAnsi="Sylfaen"/>
          <w:sz w:val="24"/>
          <w:szCs w:val="24"/>
        </w:rPr>
        <w:t>յալ հատկություններով՝</w:t>
      </w:r>
    </w:p>
    <w:p w14:paraId="3213F01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խափանումների միջ</w:t>
      </w:r>
      <w:r>
        <w:rPr>
          <w:rFonts w:ascii="Sylfaen" w:hAnsi="Sylfaen"/>
          <w:sz w:val="24"/>
          <w:szCs w:val="24"/>
        </w:rPr>
        <w:t>եւ</w:t>
      </w:r>
      <w:r w:rsidRPr="00CA27E3">
        <w:rPr>
          <w:rFonts w:ascii="Sylfaen" w:hAnsi="Sylfaen"/>
          <w:sz w:val="24"/>
          <w:szCs w:val="24"/>
        </w:rPr>
        <w:t xml:space="preserve"> ընկած հաշվարկված 15000 ժամ միջին վիճակագրական ժամանակ (MTBF).</w:t>
      </w:r>
    </w:p>
    <w:p w14:paraId="41ED93B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ունի սխալների ուղղման ծածկագիր (</w:t>
      </w:r>
      <w:smartTag w:uri="urn:schemas-microsoft-com:office:smarttags" w:element="stockticker">
        <w:r w:rsidRPr="00CA27E3">
          <w:rPr>
            <w:rFonts w:ascii="Sylfaen" w:hAnsi="Sylfaen"/>
            <w:sz w:val="24"/>
            <w:szCs w:val="24"/>
          </w:rPr>
          <w:t>ECC</w:t>
        </w:r>
      </w:smartTag>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(կամ) բուֆերացված հիշողություն.</w:t>
      </w:r>
    </w:p>
    <w:p w14:paraId="5247CD2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համապատասխանում է հետ</w:t>
      </w:r>
      <w:r>
        <w:rPr>
          <w:rFonts w:ascii="Sylfaen" w:hAnsi="Sylfaen"/>
          <w:sz w:val="24"/>
          <w:szCs w:val="24"/>
        </w:rPr>
        <w:t>եւ</w:t>
      </w:r>
      <w:r w:rsidRPr="00CA27E3">
        <w:rPr>
          <w:rFonts w:ascii="Sylfaen" w:hAnsi="Sylfaen"/>
          <w:sz w:val="24"/>
          <w:szCs w:val="24"/>
        </w:rPr>
        <w:t>յալ հինգ բնութագրերից առնվազն երեքին՝</w:t>
      </w:r>
    </w:p>
    <w:p w14:paraId="2795776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ունի լրացուցիչ էլեկտրասնուցում՝ բարձրարտադրողական տեսաքարտին աջակցելու համար (այսինքն 12 Վ ծայրամասային էլեկտրասնուցման միացման համար PCI / PCI-E տիպի լրացուցիչ 6-հպակային միացք).</w:t>
      </w:r>
    </w:p>
    <w:p w14:paraId="2C12936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դրա համակարգը, ի լրումն գրաֆիկական սլոտերի, նախատեսված է մայրական սալի վրա չորս PCI-E միացնելու համար </w:t>
      </w:r>
      <w:r>
        <w:rPr>
          <w:rFonts w:ascii="Sylfaen" w:hAnsi="Sylfaen"/>
          <w:sz w:val="24"/>
          <w:szCs w:val="24"/>
        </w:rPr>
        <w:t>եւ</w:t>
      </w:r>
      <w:r w:rsidRPr="00CA27E3">
        <w:rPr>
          <w:rFonts w:ascii="Sylfaen" w:hAnsi="Sylfaen"/>
          <w:sz w:val="24"/>
          <w:szCs w:val="24"/>
        </w:rPr>
        <w:t xml:space="preserve"> (կամ) աջակցում է PCI-X-ին.</w:t>
      </w:r>
    </w:p>
    <w:p w14:paraId="5FAD4F8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չի աջակցում հիշողությանը միասեռ մատչմամբ (UMA) գրաֆիկան.</w:t>
      </w:r>
    </w:p>
    <w:p w14:paraId="16D0AC9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ներառում է հինգ կամ ավելի PCI, PCI-E կամ PCI-X սլոտեր.</w:t>
      </w:r>
    </w:p>
    <w:p w14:paraId="5E7AA9D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ունակ է աջակցելու բազմապրոցեսորային աշխատանքին երկու կամ ավելի կենտրոնական պրոցեսորների (CPU) համար (անհրաժեշտ են ֆիզիկական պրոցեսորային միացքներ մի քանի CPU-երի համար, այլ ոչ թե մեկ բազմամիջուկ պրոցեսորի համար).</w:t>
      </w:r>
    </w:p>
    <w:p w14:paraId="22D2C71F" w14:textId="77777777" w:rsidR="00CA27E3" w:rsidRPr="00CA27E3" w:rsidRDefault="002D3977" w:rsidP="00CA27E3">
      <w:pPr>
        <w:pStyle w:val="Bodytext212"/>
        <w:shd w:val="clear" w:color="auto" w:fill="auto"/>
        <w:spacing w:after="160" w:line="360" w:lineRule="auto"/>
        <w:ind w:firstLine="567"/>
        <w:jc w:val="both"/>
        <w:rPr>
          <w:rFonts w:ascii="Sylfaen" w:hAnsi="Sylfaen"/>
          <w:sz w:val="24"/>
          <w:szCs w:val="24"/>
        </w:rPr>
      </w:pPr>
      <w:r w:rsidRPr="002D3977">
        <w:rPr>
          <w:rFonts w:ascii="Sylfaen" w:hAnsi="Sylfaen"/>
          <w:b/>
          <w:sz w:val="24"/>
          <w:szCs w:val="24"/>
        </w:rPr>
        <w:t>անջատման ռեժիմ</w:t>
      </w:r>
      <w:r w:rsidR="00CA27E3" w:rsidRPr="002D3977">
        <w:rPr>
          <w:rFonts w:ascii="Sylfaen" w:hAnsi="Sylfaen"/>
          <w:b/>
          <w:sz w:val="24"/>
          <w:szCs w:val="24"/>
        </w:rPr>
        <w:t>՝</w:t>
      </w:r>
      <w:r w:rsidR="00CA27E3" w:rsidRPr="00CA27E3">
        <w:rPr>
          <w:rFonts w:ascii="Sylfaen" w:hAnsi="Sylfaen"/>
          <w:sz w:val="24"/>
          <w:szCs w:val="24"/>
        </w:rPr>
        <w:t xml:space="preserve"> ցածր էներգասպառման վիճակ, որը մեխանիկական փոխարկիչը գործարկելուց բացի այլ եղանակով չի կարող անջատվել օգտվողի կողմից, </w:t>
      </w:r>
      <w:r w:rsidR="00CA27E3">
        <w:rPr>
          <w:rFonts w:ascii="Sylfaen" w:hAnsi="Sylfaen"/>
          <w:sz w:val="24"/>
          <w:szCs w:val="24"/>
        </w:rPr>
        <w:t>եւ</w:t>
      </w:r>
      <w:r w:rsidR="00CA27E3" w:rsidRPr="00CA27E3">
        <w:rPr>
          <w:rFonts w:ascii="Sylfaen" w:hAnsi="Sylfaen"/>
          <w:sz w:val="24"/>
          <w:szCs w:val="24"/>
        </w:rPr>
        <w:t xml:space="preserve"> որը կարող է շարունակվել անսահմանափակ երկար, այնքան </w:t>
      </w:r>
      <w:r w:rsidR="00CA27E3" w:rsidRPr="00CA27E3">
        <w:rPr>
          <w:rFonts w:ascii="Sylfaen" w:hAnsi="Sylfaen"/>
          <w:sz w:val="24"/>
          <w:szCs w:val="24"/>
        </w:rPr>
        <w:lastRenderedPageBreak/>
        <w:t>ժամանակ, քանի դեռ սարքվածքը միացված է էլեկտրաէներգիայի աղբյուրին ու օգտագործվում է արտադրողի հրահանգներին համապատասխան: Ըստ կազմաձ</w:t>
      </w:r>
      <w:r w:rsidR="00CA27E3">
        <w:rPr>
          <w:rFonts w:ascii="Sylfaen" w:hAnsi="Sylfaen"/>
          <w:sz w:val="24"/>
          <w:szCs w:val="24"/>
        </w:rPr>
        <w:t>եւ</w:t>
      </w:r>
      <w:r w:rsidR="00CA27E3" w:rsidRPr="00CA27E3">
        <w:rPr>
          <w:rFonts w:ascii="Sylfaen" w:hAnsi="Sylfaen"/>
          <w:sz w:val="24"/>
          <w:szCs w:val="24"/>
        </w:rPr>
        <w:t xml:space="preserve">ի </w:t>
      </w:r>
      <w:r w:rsidR="00CA27E3">
        <w:rPr>
          <w:rFonts w:ascii="Sylfaen" w:hAnsi="Sylfaen"/>
          <w:sz w:val="24"/>
          <w:szCs w:val="24"/>
        </w:rPr>
        <w:t>եւ</w:t>
      </w:r>
      <w:r w:rsidR="00CA27E3" w:rsidRPr="00CA27E3">
        <w:rPr>
          <w:rFonts w:ascii="Sylfaen" w:hAnsi="Sylfaen"/>
          <w:sz w:val="24"/>
          <w:szCs w:val="24"/>
        </w:rPr>
        <w:t xml:space="preserve"> սնուցման կառավարման ստանդարտի (ACPI)՝ տվյալ վիճակը սովորաբար համապատասխանում է ACPI համակարգի G2/S5 («ծրագիրն անջատված է») մակարդակին.</w:t>
      </w:r>
    </w:p>
    <w:p w14:paraId="0B2DA936" w14:textId="77777777" w:rsidR="00CA27E3" w:rsidRPr="00CA27E3" w:rsidRDefault="009338B9"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t>հավելվածների սերվեր</w:t>
      </w:r>
      <w:r w:rsidR="00CA27E3" w:rsidRPr="009338B9">
        <w:rPr>
          <w:rFonts w:ascii="Sylfaen" w:hAnsi="Sylfaen"/>
          <w:b/>
          <w:sz w:val="24"/>
          <w:szCs w:val="24"/>
        </w:rPr>
        <w:t>՝</w:t>
      </w:r>
      <w:r w:rsidR="00CA27E3" w:rsidRPr="00CA27E3">
        <w:rPr>
          <w:rFonts w:ascii="Sylfaen" w:hAnsi="Sylfaen"/>
          <w:sz w:val="24"/>
          <w:szCs w:val="24"/>
        </w:rPr>
        <w:t xml:space="preserve"> նախապես տեղակայված օպերացիոն համակարգով </w:t>
      </w:r>
      <w:r w:rsidR="00CA27E3">
        <w:rPr>
          <w:rFonts w:ascii="Sylfaen" w:hAnsi="Sylfaen"/>
          <w:sz w:val="24"/>
          <w:szCs w:val="24"/>
        </w:rPr>
        <w:t>եւ</w:t>
      </w:r>
      <w:r w:rsidR="00CA27E3" w:rsidRPr="00CA27E3">
        <w:rPr>
          <w:rFonts w:ascii="Sylfaen" w:hAnsi="Sylfaen"/>
          <w:sz w:val="24"/>
          <w:szCs w:val="24"/>
        </w:rPr>
        <w:t xml:space="preserve"> կիրառական ծրագրային ապահովմամբ լրակազմով համակարգիչ-սերվեր, որն օգտագործվում է հատուկ գործառույթ կամ մի շարք գործառույթներ կատարելու համար, տրամադրում է ծառայություններ մեկ կամ մի քանի ցանցերով </w:t>
      </w:r>
      <w:r w:rsidR="00CA27E3">
        <w:rPr>
          <w:rFonts w:ascii="Sylfaen" w:hAnsi="Sylfaen"/>
          <w:sz w:val="24"/>
          <w:szCs w:val="24"/>
        </w:rPr>
        <w:t>եւ</w:t>
      </w:r>
      <w:r w:rsidR="00CA27E3" w:rsidRPr="00CA27E3">
        <w:rPr>
          <w:rFonts w:ascii="Sylfaen" w:hAnsi="Sylfaen"/>
          <w:sz w:val="24"/>
          <w:szCs w:val="24"/>
        </w:rPr>
        <w:t xml:space="preserve"> կառավարվում է «Ինտերնետ» տեղեկատվական-հեռահաղորդակցական ցանցի կամ կառավարման միջերեսի գծի միջոցով: Հավելվածների սերվերը </w:t>
      </w:r>
      <w:r w:rsidR="00CA27E3">
        <w:rPr>
          <w:rFonts w:ascii="Sylfaen" w:hAnsi="Sylfaen"/>
          <w:sz w:val="24"/>
          <w:szCs w:val="24"/>
        </w:rPr>
        <w:t>եւ</w:t>
      </w:r>
      <w:r w:rsidR="00CA27E3" w:rsidRPr="00CA27E3">
        <w:rPr>
          <w:rFonts w:ascii="Sylfaen" w:hAnsi="Sylfaen"/>
          <w:sz w:val="24"/>
          <w:szCs w:val="24"/>
        </w:rPr>
        <w:t xml:space="preserve"> ծրագրային կազմաձ</w:t>
      </w:r>
      <w:r w:rsidR="00CA27E3">
        <w:rPr>
          <w:rFonts w:ascii="Sylfaen" w:hAnsi="Sylfaen"/>
          <w:sz w:val="24"/>
          <w:szCs w:val="24"/>
        </w:rPr>
        <w:t>եւ</w:t>
      </w:r>
      <w:r w:rsidR="00CA27E3" w:rsidRPr="00CA27E3">
        <w:rPr>
          <w:rFonts w:ascii="Sylfaen" w:hAnsi="Sylfaen"/>
          <w:sz w:val="24"/>
          <w:szCs w:val="24"/>
        </w:rPr>
        <w:t xml:space="preserve">ը արտադրողի կողմից կարգաբերված են կոնկրետ առաջադրանքի կատարման համար, այդ թվում՝ ցանցի կազմակերպման կամ պահպանման համար, </w:t>
      </w:r>
      <w:r w:rsidR="00CA27E3">
        <w:rPr>
          <w:rFonts w:ascii="Sylfaen" w:hAnsi="Sylfaen"/>
          <w:sz w:val="24"/>
          <w:szCs w:val="24"/>
        </w:rPr>
        <w:t>եւ</w:t>
      </w:r>
      <w:r w:rsidR="00CA27E3" w:rsidRPr="00CA27E3">
        <w:rPr>
          <w:rFonts w:ascii="Sylfaen" w:hAnsi="Sylfaen"/>
          <w:sz w:val="24"/>
          <w:szCs w:val="24"/>
        </w:rPr>
        <w:t xml:space="preserve"> նախատեսված չեն օգտվողի կիրառական ծրագրեր կատարելու համար.</w:t>
      </w:r>
    </w:p>
    <w:p w14:paraId="71C131E3" w14:textId="77777777" w:rsidR="00CA27E3" w:rsidRPr="00CA27E3" w:rsidRDefault="009338B9"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t>ցածր սպառման վիճակ</w:t>
      </w:r>
      <w:r w:rsidR="00CA27E3" w:rsidRPr="009338B9">
        <w:rPr>
          <w:rFonts w:ascii="Sylfaen" w:hAnsi="Sylfaen"/>
          <w:b/>
          <w:sz w:val="24"/>
          <w:szCs w:val="24"/>
        </w:rPr>
        <w:t>՝</w:t>
      </w:r>
      <w:r w:rsidR="00CA27E3" w:rsidRPr="00CA27E3">
        <w:rPr>
          <w:rFonts w:ascii="Sylfaen" w:hAnsi="Sylfaen"/>
          <w:sz w:val="24"/>
          <w:szCs w:val="24"/>
        </w:rPr>
        <w:t xml:space="preserve"> մեխանիկական փոխարկիչով կամ ավտոմատ միջոցի օգնությամբ համակարգչի սնուցումն անջատելու միջոցով ստացվող՝ համակարգչի նվազագույն էներգասպառման վիճակ.</w:t>
      </w:r>
    </w:p>
    <w:p w14:paraId="1BA3D74A"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t>պ</w:t>
      </w:r>
      <w:r w:rsidR="009338B9" w:rsidRPr="009338B9">
        <w:rPr>
          <w:rFonts w:ascii="Sylfaen" w:hAnsi="Sylfaen"/>
          <w:b/>
          <w:sz w:val="24"/>
          <w:szCs w:val="24"/>
        </w:rPr>
        <w:t>արապուրդի վիճակ (հանգստի վիճակ)</w:t>
      </w:r>
      <w:r w:rsidRPr="009338B9">
        <w:rPr>
          <w:rFonts w:ascii="Sylfaen" w:hAnsi="Sylfaen"/>
          <w:b/>
          <w:sz w:val="24"/>
          <w:szCs w:val="24"/>
        </w:rPr>
        <w:t>՝</w:t>
      </w:r>
      <w:r w:rsidRPr="00CA27E3">
        <w:rPr>
          <w:rFonts w:ascii="Sylfaen" w:hAnsi="Sylfaen"/>
          <w:sz w:val="24"/>
          <w:szCs w:val="24"/>
        </w:rPr>
        <w:t xml:space="preserve"> համակարգչի վիճակ, որի դեպքում օպերացիոն համակարգը </w:t>
      </w:r>
      <w:r>
        <w:rPr>
          <w:rFonts w:ascii="Sylfaen" w:hAnsi="Sylfaen"/>
          <w:sz w:val="24"/>
          <w:szCs w:val="24"/>
        </w:rPr>
        <w:t>եւ</w:t>
      </w:r>
      <w:r w:rsidRPr="00CA27E3">
        <w:rPr>
          <w:rFonts w:ascii="Sylfaen" w:hAnsi="Sylfaen"/>
          <w:sz w:val="24"/>
          <w:szCs w:val="24"/>
        </w:rPr>
        <w:t xml:space="preserve"> այլ ծրագրային ապահովում ավարտել են բեռնումը, ստեղծվել է օգտվողի հատկագիրը, համակարգիչը չի գտնվում քնի ռեժիմում </w:t>
      </w:r>
      <w:r>
        <w:rPr>
          <w:rFonts w:ascii="Sylfaen" w:hAnsi="Sylfaen"/>
          <w:sz w:val="24"/>
          <w:szCs w:val="24"/>
        </w:rPr>
        <w:t>եւ</w:t>
      </w:r>
      <w:r w:rsidRPr="00CA27E3">
        <w:rPr>
          <w:rFonts w:ascii="Sylfaen" w:hAnsi="Sylfaen"/>
          <w:sz w:val="24"/>
          <w:szCs w:val="24"/>
        </w:rPr>
        <w:t xml:space="preserve"> դրա ակտիվությունը սահմանափակվում է այն բազային հավելվածներով, որոնք օպերացիոն համակարգը կանխադրված գործարկում է.</w:t>
      </w:r>
    </w:p>
    <w:p w14:paraId="7786F53E" w14:textId="77777777" w:rsidR="00CA27E3" w:rsidRPr="00CA27E3" w:rsidRDefault="009338B9"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t>քնի ռեժիմ</w:t>
      </w:r>
      <w:r w:rsidR="00CA27E3" w:rsidRPr="009338B9">
        <w:rPr>
          <w:rFonts w:ascii="Sylfaen" w:hAnsi="Sylfaen"/>
          <w:b/>
          <w:sz w:val="24"/>
          <w:szCs w:val="24"/>
        </w:rPr>
        <w:t>՝</w:t>
      </w:r>
      <w:r w:rsidR="00CA27E3" w:rsidRPr="00CA27E3">
        <w:rPr>
          <w:rFonts w:ascii="Sylfaen" w:hAnsi="Sylfaen"/>
          <w:sz w:val="24"/>
          <w:szCs w:val="24"/>
        </w:rPr>
        <w:t xml:space="preserve"> ցածր էներգասպառման ռեժիմ, որին համակարգիչը կարող է ավտոմատ անցնել որոշակի անգործության ժամանակահատվածից հետո կամ ձեռքով ընտրությամբ: Այդ ռեժիմում համակարգիչն ունակ է արձագանքելու տագնապալի իրավիճակներին: Այնտեղ, որտեղ կիրառելի է կազմաձ</w:t>
      </w:r>
      <w:r w:rsidR="00CA27E3">
        <w:rPr>
          <w:rFonts w:ascii="Sylfaen" w:hAnsi="Sylfaen"/>
          <w:sz w:val="24"/>
          <w:szCs w:val="24"/>
        </w:rPr>
        <w:t>եւ</w:t>
      </w:r>
      <w:r w:rsidR="00CA27E3" w:rsidRPr="00CA27E3">
        <w:rPr>
          <w:rFonts w:ascii="Sylfaen" w:hAnsi="Sylfaen"/>
          <w:sz w:val="24"/>
          <w:szCs w:val="24"/>
        </w:rPr>
        <w:t xml:space="preserve">ի </w:t>
      </w:r>
      <w:r w:rsidR="00CA27E3">
        <w:rPr>
          <w:rFonts w:ascii="Sylfaen" w:hAnsi="Sylfaen"/>
          <w:sz w:val="24"/>
          <w:szCs w:val="24"/>
        </w:rPr>
        <w:t>եւ</w:t>
      </w:r>
      <w:r w:rsidR="00CA27E3" w:rsidRPr="00CA27E3">
        <w:rPr>
          <w:rFonts w:ascii="Sylfaen" w:hAnsi="Sylfaen"/>
          <w:sz w:val="24"/>
          <w:szCs w:val="24"/>
        </w:rPr>
        <w:t xml:space="preserve"> սնուցման կառավարման ստանդարտը (ACPI), քնի ռեժիմը սովորաբար համապատասխանում է ACPI համակարգի G2/S3 մակարդակին (օպերատիվ հիշողության մեջ պահպանմամբ).</w:t>
      </w:r>
    </w:p>
    <w:p w14:paraId="0F7B30AE" w14:textId="77777777" w:rsidR="00CA27E3" w:rsidRPr="00CA27E3" w:rsidRDefault="009338B9"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lastRenderedPageBreak/>
        <w:t>դիսփլեյի քնի ռեժիմ</w:t>
      </w:r>
      <w:r w:rsidR="00CA27E3" w:rsidRPr="009338B9">
        <w:rPr>
          <w:rFonts w:ascii="Sylfaen" w:hAnsi="Sylfaen"/>
          <w:b/>
          <w:sz w:val="24"/>
          <w:szCs w:val="24"/>
        </w:rPr>
        <w:t>՝</w:t>
      </w:r>
      <w:r w:rsidR="00CA27E3" w:rsidRPr="00CA27E3">
        <w:rPr>
          <w:rFonts w:ascii="Sylfaen" w:hAnsi="Sylfaen"/>
          <w:sz w:val="24"/>
          <w:szCs w:val="24"/>
        </w:rPr>
        <w:t xml:space="preserve"> էներգասպառման ռեժիմ, որին անցնում է արտապատկերման սարքվածքն այն բանից հետո, երբ այն ազդանշան է ստացել միացված սարքվածքից, կամ ըստ ներքին ազդանշանի (օրինակ` թայմերից կամ ներկայության տվիչից): Այդ ռեժիմը կարող է տեղակայվել նա</w:t>
      </w:r>
      <w:r w:rsidR="00CA27E3">
        <w:rPr>
          <w:rFonts w:ascii="Sylfaen" w:hAnsi="Sylfaen"/>
          <w:sz w:val="24"/>
          <w:szCs w:val="24"/>
        </w:rPr>
        <w:t>եւ</w:t>
      </w:r>
      <w:r w:rsidR="00CA27E3" w:rsidRPr="00CA27E3">
        <w:rPr>
          <w:rFonts w:ascii="Sylfaen" w:hAnsi="Sylfaen"/>
          <w:sz w:val="24"/>
          <w:szCs w:val="24"/>
        </w:rPr>
        <w:t xml:space="preserve"> օգտվողի հրամանով: Դիսփլեյը պետք է ակտիվանա միացված սարքվածքից, ցանցից, հեռակառավարման վահանակից ազդանշան </w:t>
      </w:r>
      <w:r w:rsidR="00CA27E3">
        <w:rPr>
          <w:rFonts w:ascii="Sylfaen" w:hAnsi="Sylfaen"/>
          <w:sz w:val="24"/>
          <w:szCs w:val="24"/>
        </w:rPr>
        <w:t>եւ</w:t>
      </w:r>
      <w:r w:rsidR="00CA27E3" w:rsidRPr="00CA27E3">
        <w:rPr>
          <w:rFonts w:ascii="Sylfaen" w:hAnsi="Sylfaen"/>
          <w:sz w:val="24"/>
          <w:szCs w:val="24"/>
        </w:rPr>
        <w:t xml:space="preserve"> (կամ) ներքին ազդանշաններ ստանալու դեպքում: Քանի դեռ սարքվածքը գտնվում է այդ ռեժիմում, պատկերը չի վերարտադրվում, բացառությամբ այնպիսի գործառույթների, ինչպիսիք են սարքվածքի մասին տեղեկատվությունը կամ վիճակի ցուցանշումը կամ գործառութային տվիչի վիճակը.</w:t>
      </w:r>
    </w:p>
    <w:p w14:paraId="04073F15"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t>հեռու</w:t>
      </w:r>
      <w:r w:rsidR="009338B9" w:rsidRPr="009338B9">
        <w:rPr>
          <w:rFonts w:ascii="Sylfaen" w:hAnsi="Sylfaen"/>
          <w:b/>
          <w:sz w:val="24"/>
          <w:szCs w:val="24"/>
        </w:rPr>
        <w:t>ստատեսային տյուներ (ՀՏ-տյուներ)</w:t>
      </w:r>
      <w:r w:rsidRPr="009338B9">
        <w:rPr>
          <w:rFonts w:ascii="Sylfaen" w:hAnsi="Sylfaen"/>
          <w:b/>
          <w:sz w:val="24"/>
          <w:szCs w:val="24"/>
        </w:rPr>
        <w:t>՝</w:t>
      </w:r>
      <w:r w:rsidRPr="00CA27E3">
        <w:rPr>
          <w:rFonts w:ascii="Sylfaen" w:hAnsi="Sylfaen"/>
          <w:sz w:val="24"/>
          <w:szCs w:val="24"/>
        </w:rPr>
        <w:t xml:space="preserve"> դիսկրետային ներքին բաղադրիչ, որը թույլ է տալիս համակարգչին ընդունել հեռուստատեսային ազդանշանները.</w:t>
      </w:r>
    </w:p>
    <w:p w14:paraId="250BC120" w14:textId="77777777" w:rsidR="00CA27E3" w:rsidRPr="00CA27E3" w:rsidRDefault="009338B9"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z w:val="24"/>
          <w:szCs w:val="24"/>
        </w:rPr>
        <w:t>սարքվածքի տիպ</w:t>
      </w:r>
      <w:r w:rsidR="00CA27E3" w:rsidRPr="009338B9">
        <w:rPr>
          <w:rFonts w:ascii="Sylfaen" w:hAnsi="Sylfaen"/>
          <w:b/>
          <w:sz w:val="24"/>
          <w:szCs w:val="24"/>
        </w:rPr>
        <w:t>՝</w:t>
      </w:r>
      <w:r w:rsidR="00CA27E3" w:rsidRPr="00CA27E3">
        <w:rPr>
          <w:rFonts w:ascii="Sylfaen" w:hAnsi="Sylfaen"/>
          <w:sz w:val="24"/>
          <w:szCs w:val="24"/>
        </w:rPr>
        <w:t xml:space="preserve"> սեղանի համակարգիչ, միաբլոկ սեղանի համակարգիչ, նոութբուք, սեղանի բարակ սպասառու, աշխատանքային կայան, շարժական աշխատանքային կայան, փոքր սերվեր, համակարգիչ-սերվեր, բլեյդ-համակարգ </w:t>
      </w:r>
      <w:r w:rsidR="00CA27E3">
        <w:rPr>
          <w:rFonts w:ascii="Sylfaen" w:hAnsi="Sylfaen"/>
          <w:sz w:val="24"/>
          <w:szCs w:val="24"/>
        </w:rPr>
        <w:t>եւ</w:t>
      </w:r>
      <w:r w:rsidR="00CA27E3" w:rsidRPr="00CA27E3">
        <w:rPr>
          <w:rFonts w:ascii="Sylfaen" w:hAnsi="Sylfaen"/>
          <w:sz w:val="24"/>
          <w:szCs w:val="24"/>
        </w:rPr>
        <w:t xml:space="preserve"> բաղադրիչներ, բազմահանգույց սերվեր, հավելվածների սերվերներ, խաղաբարձակ, դոկ-կայան, էլեկտրասնուցման ներքին բլոկ կամ սնուցման արտաքին աղբյուր.</w:t>
      </w:r>
    </w:p>
    <w:p w14:paraId="4EFCC0D1" w14:textId="77777777" w:rsidR="00CA27E3" w:rsidRPr="00CA27E3" w:rsidRDefault="009338B9" w:rsidP="009338B9">
      <w:pPr>
        <w:pStyle w:val="Bodytext212"/>
        <w:shd w:val="clear" w:color="auto" w:fill="auto"/>
        <w:spacing w:after="160" w:line="348" w:lineRule="auto"/>
        <w:ind w:firstLine="567"/>
        <w:jc w:val="both"/>
        <w:rPr>
          <w:rFonts w:ascii="Sylfaen" w:hAnsi="Sylfaen"/>
          <w:sz w:val="24"/>
          <w:szCs w:val="24"/>
        </w:rPr>
      </w:pPr>
      <w:r w:rsidRPr="009338B9">
        <w:rPr>
          <w:rFonts w:ascii="Sylfaen" w:hAnsi="Sylfaen"/>
          <w:b/>
          <w:spacing w:val="-4"/>
          <w:sz w:val="24"/>
          <w:szCs w:val="24"/>
        </w:rPr>
        <w:t>կենտրոնական պրոցեսոր (CPU)</w:t>
      </w:r>
      <w:r w:rsidR="00CA27E3" w:rsidRPr="009338B9">
        <w:rPr>
          <w:rFonts w:ascii="Sylfaen" w:hAnsi="Sylfaen"/>
          <w:b/>
          <w:spacing w:val="-4"/>
          <w:sz w:val="24"/>
          <w:szCs w:val="24"/>
        </w:rPr>
        <w:t>՝</w:t>
      </w:r>
      <w:r w:rsidR="00CA27E3" w:rsidRPr="009338B9">
        <w:rPr>
          <w:rFonts w:ascii="Sylfaen" w:hAnsi="Sylfaen"/>
          <w:spacing w:val="-4"/>
          <w:sz w:val="24"/>
          <w:szCs w:val="24"/>
        </w:rPr>
        <w:t xml:space="preserve"> համակարգչի բաղադրիչ, որը կառավարում է ապածածկագրմամբ</w:t>
      </w:r>
      <w:r w:rsidR="00CA27E3" w:rsidRPr="00CA27E3">
        <w:rPr>
          <w:rFonts w:ascii="Sylfaen" w:hAnsi="Sylfaen"/>
          <w:sz w:val="24"/>
          <w:szCs w:val="24"/>
        </w:rPr>
        <w:t xml:space="preserve"> </w:t>
      </w:r>
      <w:r w:rsidR="00CA27E3">
        <w:rPr>
          <w:rFonts w:ascii="Sylfaen" w:hAnsi="Sylfaen"/>
          <w:sz w:val="24"/>
          <w:szCs w:val="24"/>
        </w:rPr>
        <w:t>եւ</w:t>
      </w:r>
      <w:r w:rsidR="00CA27E3" w:rsidRPr="00CA27E3">
        <w:rPr>
          <w:rFonts w:ascii="Sylfaen" w:hAnsi="Sylfaen"/>
          <w:sz w:val="24"/>
          <w:szCs w:val="24"/>
        </w:rPr>
        <w:t xml:space="preserve"> հրամանների կատարմամբ: Կենտրոնական պրոցեսորը </w:t>
      </w:r>
      <w:r w:rsidR="00CA27E3" w:rsidRPr="009338B9">
        <w:rPr>
          <w:rFonts w:ascii="Sylfaen" w:hAnsi="Sylfaen"/>
          <w:spacing w:val="-4"/>
          <w:sz w:val="24"/>
          <w:szCs w:val="24"/>
        </w:rPr>
        <w:t>(CPU) կարող է պարունակել 1 կամ ավելի ֆիզիկական պրոցեսոր, որոնք հայտնի են որպես</w:t>
      </w:r>
      <w:r w:rsidR="00CA27E3" w:rsidRPr="00CA27E3">
        <w:rPr>
          <w:rFonts w:ascii="Sylfaen" w:hAnsi="Sylfaen"/>
          <w:sz w:val="24"/>
          <w:szCs w:val="24"/>
        </w:rPr>
        <w:t xml:space="preserve"> «միջուկներ»: Միջուկ նշանակում է պրոցեսոր, որը ֆիզիկապես ներկա է: Մեկ կամ մի քանի միջուկներից ձ</w:t>
      </w:r>
      <w:r w:rsidR="00CA27E3">
        <w:rPr>
          <w:rFonts w:ascii="Sylfaen" w:hAnsi="Sylfaen"/>
          <w:sz w:val="24"/>
          <w:szCs w:val="24"/>
        </w:rPr>
        <w:t>եւ</w:t>
      </w:r>
      <w:r w:rsidR="00CA27E3" w:rsidRPr="00CA27E3">
        <w:rPr>
          <w:rFonts w:ascii="Sylfaen" w:hAnsi="Sylfaen"/>
          <w:sz w:val="24"/>
          <w:szCs w:val="24"/>
        </w:rPr>
        <w:t>ավորված լրացուցիչ «վիրտուալ» կամ «տրամաբանական» պրոցեսորները ֆիզիկական միջուկներ չեն: Մեկ պրոցեսորային միացք զբաղեցնող</w:t>
      </w:r>
      <w:r w:rsidR="00CA27E3">
        <w:rPr>
          <w:rFonts w:ascii="Sylfaen" w:hAnsi="Sylfaen"/>
          <w:sz w:val="24"/>
          <w:szCs w:val="24"/>
        </w:rPr>
        <w:t xml:space="preserve"> </w:t>
      </w:r>
      <w:r w:rsidR="00CA27E3" w:rsidRPr="00CA27E3">
        <w:rPr>
          <w:rFonts w:ascii="Sylfaen" w:hAnsi="Sylfaen"/>
          <w:sz w:val="24"/>
          <w:szCs w:val="24"/>
        </w:rPr>
        <w:t>ֆիզիկական պրոցեսորը կարող է պարունակել մի քանի միջուկ: Կենտրոնական պրոցեսորում (CPU) միջուկների ընդհանուր քանակը պրոցեսորային միացքներին միացված բոլոր սարքվածքների միջուկների գումարն է.</w:t>
      </w:r>
    </w:p>
    <w:p w14:paraId="517DE3B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«UMA (Uniform Memory Access)»՝ միասեռ մատչում հիշողությանը:</w:t>
      </w:r>
    </w:p>
    <w:p w14:paraId="6596FDB6" w14:textId="77777777" w:rsidR="00CA27E3" w:rsidRPr="00CA27E3" w:rsidRDefault="00CA27E3" w:rsidP="00003F9A">
      <w:pPr>
        <w:pStyle w:val="Bodytext212"/>
        <w:shd w:val="clear" w:color="auto" w:fill="auto"/>
        <w:spacing w:after="160" w:line="360" w:lineRule="auto"/>
        <w:ind w:left="567" w:right="566" w:firstLine="0"/>
        <w:jc w:val="center"/>
        <w:rPr>
          <w:rFonts w:ascii="Sylfaen" w:hAnsi="Sylfaen"/>
          <w:sz w:val="24"/>
          <w:szCs w:val="24"/>
        </w:rPr>
      </w:pPr>
      <w:r w:rsidRPr="00CA27E3">
        <w:rPr>
          <w:rFonts w:ascii="Sylfaen" w:hAnsi="Sylfaen"/>
          <w:sz w:val="24"/>
          <w:szCs w:val="24"/>
        </w:rPr>
        <w:lastRenderedPageBreak/>
        <w:t xml:space="preserve">III. Համակարգիչների </w:t>
      </w:r>
      <w:r>
        <w:rPr>
          <w:rFonts w:ascii="Sylfaen" w:hAnsi="Sylfaen"/>
          <w:sz w:val="24"/>
          <w:szCs w:val="24"/>
        </w:rPr>
        <w:t>եւ</w:t>
      </w:r>
      <w:r w:rsidRPr="00CA27E3">
        <w:rPr>
          <w:rFonts w:ascii="Sylfaen" w:hAnsi="Sylfaen"/>
          <w:sz w:val="24"/>
          <w:szCs w:val="24"/>
        </w:rPr>
        <w:t xml:space="preserve"> սերվերների էներգետիկ արդյունավետությանը ներկայացվող պահանջները </w:t>
      </w:r>
      <w:r>
        <w:rPr>
          <w:rFonts w:ascii="Sylfaen" w:hAnsi="Sylfaen"/>
          <w:sz w:val="24"/>
          <w:szCs w:val="24"/>
        </w:rPr>
        <w:t>եւ</w:t>
      </w:r>
      <w:r w:rsidRPr="00CA27E3">
        <w:rPr>
          <w:rFonts w:ascii="Sylfaen" w:hAnsi="Sylfaen"/>
          <w:sz w:val="24"/>
          <w:szCs w:val="24"/>
        </w:rPr>
        <w:t xml:space="preserve"> էներգետիկ արդյունավետության ցուցանիշների որոշման առանձնահատկությունները</w:t>
      </w:r>
    </w:p>
    <w:p w14:paraId="6C901B76"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3.</w:t>
      </w:r>
      <w:r w:rsidR="00003F9A" w:rsidRPr="00003F9A">
        <w:rPr>
          <w:rFonts w:ascii="Sylfaen" w:hAnsi="Sylfaen"/>
          <w:sz w:val="24"/>
          <w:szCs w:val="24"/>
        </w:rPr>
        <w:tab/>
      </w:r>
      <w:r w:rsidRPr="00CA27E3">
        <w:rPr>
          <w:rFonts w:ascii="Sylfaen" w:hAnsi="Sylfaen"/>
          <w:sz w:val="24"/>
          <w:szCs w:val="24"/>
        </w:rPr>
        <w:t xml:space="preserve">Համակարգիչների </w:t>
      </w:r>
      <w:r>
        <w:rPr>
          <w:rFonts w:ascii="Sylfaen" w:hAnsi="Sylfaen"/>
          <w:sz w:val="24"/>
          <w:szCs w:val="24"/>
        </w:rPr>
        <w:t>եւ</w:t>
      </w:r>
      <w:r w:rsidRPr="00CA27E3">
        <w:rPr>
          <w:rFonts w:ascii="Sylfaen" w:hAnsi="Sylfaen"/>
          <w:sz w:val="24"/>
          <w:szCs w:val="24"/>
        </w:rPr>
        <w:t xml:space="preserve"> սերվերների համար պետք է կատարվեն համապատասխան փորձարկումներ (չափումներ) </w:t>
      </w:r>
      <w:r>
        <w:rPr>
          <w:rFonts w:ascii="Sylfaen" w:hAnsi="Sylfaen"/>
          <w:sz w:val="24"/>
          <w:szCs w:val="24"/>
        </w:rPr>
        <w:t>եւ</w:t>
      </w:r>
      <w:r w:rsidRPr="00CA27E3">
        <w:rPr>
          <w:rFonts w:ascii="Sylfaen" w:hAnsi="Sylfaen"/>
          <w:sz w:val="24"/>
          <w:szCs w:val="24"/>
        </w:rPr>
        <w:t xml:space="preserve"> որոշվեն հետ</w:t>
      </w:r>
      <w:r>
        <w:rPr>
          <w:rFonts w:ascii="Sylfaen" w:hAnsi="Sylfaen"/>
          <w:sz w:val="24"/>
          <w:szCs w:val="24"/>
        </w:rPr>
        <w:t>եւ</w:t>
      </w:r>
      <w:r w:rsidRPr="00CA27E3">
        <w:rPr>
          <w:rFonts w:ascii="Sylfaen" w:hAnsi="Sylfaen"/>
          <w:sz w:val="24"/>
          <w:szCs w:val="24"/>
        </w:rPr>
        <w:t>յալ պարամետրերի ու բնութագրերի արժեքները՝</w:t>
      </w:r>
    </w:p>
    <w:p w14:paraId="6F7A70BB"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003F9A" w:rsidRPr="00003F9A">
        <w:rPr>
          <w:rFonts w:ascii="Sylfaen" w:hAnsi="Sylfaen"/>
          <w:sz w:val="24"/>
          <w:szCs w:val="24"/>
        </w:rPr>
        <w:tab/>
      </w:r>
      <w:r w:rsidRPr="00CA27E3">
        <w:rPr>
          <w:rFonts w:ascii="Sylfaen" w:hAnsi="Sylfaen"/>
          <w:sz w:val="24"/>
          <w:szCs w:val="24"/>
        </w:rPr>
        <w:t>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w:t>
      </w:r>
    </w:p>
    <w:p w14:paraId="4743A14E"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քնի ռեժիմում սպառվող հզորությունը (P</w:t>
      </w:r>
      <w:r w:rsidRPr="00CA27E3">
        <w:rPr>
          <w:rFonts w:ascii="Sylfaen" w:hAnsi="Sylfaen"/>
          <w:sz w:val="24"/>
          <w:szCs w:val="24"/>
          <w:vertAlign w:val="subscript"/>
        </w:rPr>
        <w:t>SLEEP</w:t>
      </w:r>
      <w:r w:rsidRPr="00CA27E3">
        <w:rPr>
          <w:rFonts w:ascii="Sylfaen" w:hAnsi="Sylfaen"/>
          <w:sz w:val="24"/>
          <w:szCs w:val="24"/>
        </w:rPr>
        <w:t>).</w:t>
      </w:r>
    </w:p>
    <w:p w14:paraId="0890126B"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003F9A" w:rsidRPr="00003F9A">
        <w:rPr>
          <w:rFonts w:ascii="Sylfaen" w:hAnsi="Sylfaen"/>
          <w:sz w:val="24"/>
          <w:szCs w:val="24"/>
        </w:rPr>
        <w:tab/>
      </w:r>
      <w:r w:rsidRPr="00CA27E3">
        <w:rPr>
          <w:rFonts w:ascii="Sylfaen" w:hAnsi="Sylfaen"/>
          <w:sz w:val="24"/>
          <w:szCs w:val="24"/>
        </w:rPr>
        <w:t>նվազագույն էներգասպառման վիճակում սպառվող հզորությունը.</w:t>
      </w:r>
    </w:p>
    <w:p w14:paraId="1A1F47A0"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003F9A" w:rsidRPr="00003F9A">
        <w:rPr>
          <w:rFonts w:ascii="Sylfaen" w:hAnsi="Sylfaen"/>
          <w:sz w:val="24"/>
          <w:szCs w:val="24"/>
        </w:rPr>
        <w:tab/>
      </w:r>
      <w:r w:rsidRPr="00CA27E3">
        <w:rPr>
          <w:rFonts w:ascii="Sylfaen" w:hAnsi="Sylfaen"/>
          <w:sz w:val="24"/>
          <w:szCs w:val="24"/>
        </w:rPr>
        <w:t>անջատման ռեժիմում սպառվող հզորությունը (P</w:t>
      </w:r>
      <w:r w:rsidRPr="00CA27E3">
        <w:rPr>
          <w:rFonts w:ascii="Sylfaen" w:hAnsi="Sylfaen"/>
          <w:sz w:val="24"/>
          <w:szCs w:val="24"/>
          <w:vertAlign w:val="subscript"/>
        </w:rPr>
        <w:t>OFF</w:t>
      </w:r>
      <w:r w:rsidRPr="00CA27E3">
        <w:rPr>
          <w:rFonts w:ascii="Sylfaen" w:hAnsi="Sylfaen"/>
          <w:sz w:val="24"/>
          <w:szCs w:val="24"/>
        </w:rPr>
        <w:t>).</w:t>
      </w:r>
    </w:p>
    <w:p w14:paraId="3D0B73CE"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003F9A" w:rsidRPr="00003F9A">
        <w:rPr>
          <w:rFonts w:ascii="Sylfaen" w:hAnsi="Sylfaen"/>
          <w:sz w:val="24"/>
          <w:szCs w:val="24"/>
        </w:rPr>
        <w:tab/>
      </w:r>
      <w:r w:rsidRPr="00CA27E3">
        <w:rPr>
          <w:rFonts w:ascii="Sylfaen" w:hAnsi="Sylfaen"/>
          <w:sz w:val="24"/>
          <w:szCs w:val="24"/>
        </w:rPr>
        <w:t>էլեկտրասնուցման ներքին աղբյուրի արդյունավետությունը:</w:t>
      </w:r>
    </w:p>
    <w:p w14:paraId="7B6685E4" w14:textId="77777777" w:rsidR="00CA27E3" w:rsidRPr="00CA27E3" w:rsidRDefault="00CA27E3" w:rsidP="00003F9A">
      <w:pPr>
        <w:pStyle w:val="Bodytext221"/>
        <w:shd w:val="clear" w:color="auto" w:fill="auto"/>
        <w:tabs>
          <w:tab w:val="left" w:pos="1134"/>
        </w:tabs>
        <w:spacing w:after="160" w:line="360" w:lineRule="auto"/>
        <w:ind w:firstLine="567"/>
        <w:rPr>
          <w:rStyle w:val="Bodytext22TimesNewRoman"/>
          <w:rFonts w:ascii="Sylfaen" w:eastAsia="David" w:hAnsi="Sylfaen"/>
          <w:b w:val="0"/>
          <w:sz w:val="24"/>
          <w:szCs w:val="24"/>
        </w:rPr>
      </w:pPr>
      <w:r w:rsidRPr="00CA27E3">
        <w:rPr>
          <w:rFonts w:ascii="Sylfaen" w:hAnsi="Sylfaen"/>
          <w:spacing w:val="0"/>
          <w:sz w:val="24"/>
          <w:szCs w:val="24"/>
        </w:rPr>
        <w:t>4.</w:t>
      </w:r>
      <w:r w:rsidR="00003F9A" w:rsidRPr="00003F9A">
        <w:rPr>
          <w:rFonts w:ascii="Sylfaen" w:hAnsi="Sylfaen"/>
          <w:spacing w:val="0"/>
          <w:sz w:val="24"/>
          <w:szCs w:val="24"/>
        </w:rPr>
        <w:tab/>
      </w:r>
      <w:r w:rsidRPr="00CA27E3">
        <w:rPr>
          <w:rFonts w:ascii="Sylfaen" w:hAnsi="Sylfaen"/>
          <w:spacing w:val="0"/>
          <w:sz w:val="24"/>
          <w:szCs w:val="24"/>
        </w:rPr>
        <w:t xml:space="preserve">2020 թվականի սեպտեմբերի 1-ից սեղանի համակարգչի </w:t>
      </w:r>
      <w:r>
        <w:rPr>
          <w:rFonts w:ascii="Sylfaen" w:hAnsi="Sylfaen"/>
          <w:spacing w:val="0"/>
          <w:sz w:val="24"/>
          <w:szCs w:val="24"/>
        </w:rPr>
        <w:t>եւ</w:t>
      </w:r>
      <w:r w:rsidRPr="00CA27E3">
        <w:rPr>
          <w:rFonts w:ascii="Sylfaen" w:hAnsi="Sylfaen"/>
          <w:spacing w:val="0"/>
          <w:sz w:val="24"/>
          <w:szCs w:val="24"/>
        </w:rPr>
        <w:t xml:space="preserve"> միաբլոկ սեղանի համակարգչի՝ էլեկտրաէներգիայի տարեկան սպառումը (E</w:t>
      </w:r>
      <w:r w:rsidRPr="00CA27E3">
        <w:rPr>
          <w:rFonts w:ascii="Sylfaen" w:hAnsi="Sylfaen"/>
          <w:spacing w:val="0"/>
          <w:sz w:val="24"/>
          <w:szCs w:val="24"/>
          <w:vertAlign w:val="subscript"/>
        </w:rPr>
        <w:t>TEC</w:t>
      </w:r>
      <w:r w:rsidRPr="00CA27E3">
        <w:rPr>
          <w:rFonts w:ascii="Sylfaen" w:hAnsi="Sylfaen"/>
          <w:spacing w:val="0"/>
          <w:sz w:val="24"/>
          <w:szCs w:val="24"/>
        </w:rPr>
        <w:t>) (կՎտժ/տարով) չպետք է գերազանցի՝</w:t>
      </w:r>
    </w:p>
    <w:p w14:paraId="272B76CA" w14:textId="77777777" w:rsidR="00CA27E3" w:rsidRPr="00CA27E3" w:rsidRDefault="00CA27E3" w:rsidP="00CA27E3">
      <w:pPr>
        <w:pStyle w:val="Bodytext221"/>
        <w:shd w:val="clear" w:color="auto" w:fill="auto"/>
        <w:spacing w:after="160" w:line="360" w:lineRule="auto"/>
        <w:ind w:firstLine="567"/>
        <w:rPr>
          <w:rFonts w:ascii="Sylfaen" w:hAnsi="Sylfaen"/>
          <w:bCs/>
          <w:spacing w:val="0"/>
          <w:sz w:val="24"/>
          <w:szCs w:val="24"/>
        </w:rPr>
      </w:pPr>
      <w:r w:rsidRPr="00CA27E3">
        <w:rPr>
          <w:rFonts w:ascii="Sylfaen" w:hAnsi="Sylfaen"/>
          <w:spacing w:val="0"/>
          <w:sz w:val="24"/>
          <w:szCs w:val="24"/>
        </w:rPr>
        <w:t>А կատեգորիայի համար՝ 133,00.</w:t>
      </w:r>
    </w:p>
    <w:p w14:paraId="4978D9B5" w14:textId="77777777" w:rsidR="00CA27E3" w:rsidRPr="00CA27E3" w:rsidRDefault="00CA27E3" w:rsidP="00CA27E3">
      <w:pPr>
        <w:pStyle w:val="Bodytext221"/>
        <w:shd w:val="clear" w:color="auto" w:fill="auto"/>
        <w:spacing w:after="160" w:line="360" w:lineRule="auto"/>
        <w:ind w:firstLine="567"/>
        <w:rPr>
          <w:rFonts w:ascii="Sylfaen" w:hAnsi="Sylfaen"/>
          <w:bCs/>
          <w:spacing w:val="0"/>
          <w:sz w:val="24"/>
          <w:szCs w:val="24"/>
        </w:rPr>
      </w:pPr>
      <w:r w:rsidRPr="00CA27E3">
        <w:rPr>
          <w:rFonts w:ascii="Sylfaen" w:hAnsi="Sylfaen"/>
          <w:spacing w:val="0"/>
          <w:sz w:val="24"/>
          <w:szCs w:val="24"/>
        </w:rPr>
        <w:t>B կատեգորիայի համար՝ 158,00.</w:t>
      </w:r>
    </w:p>
    <w:p w14:paraId="3C44C2AE" w14:textId="77777777" w:rsidR="00CA27E3" w:rsidRPr="00CA27E3" w:rsidRDefault="00CA27E3" w:rsidP="00CA27E3">
      <w:pPr>
        <w:pStyle w:val="Bodytext221"/>
        <w:shd w:val="clear" w:color="auto" w:fill="auto"/>
        <w:spacing w:after="160" w:line="360" w:lineRule="auto"/>
        <w:ind w:firstLine="567"/>
        <w:rPr>
          <w:rFonts w:ascii="Sylfaen" w:hAnsi="Sylfaen"/>
          <w:bCs/>
          <w:spacing w:val="0"/>
          <w:sz w:val="24"/>
          <w:szCs w:val="24"/>
        </w:rPr>
      </w:pPr>
      <w:r w:rsidRPr="00CA27E3">
        <w:rPr>
          <w:rFonts w:ascii="Sylfaen" w:hAnsi="Sylfaen"/>
          <w:spacing w:val="0"/>
          <w:sz w:val="24"/>
          <w:szCs w:val="24"/>
        </w:rPr>
        <w:t>С կատեգորիայի համար՝ 188,00.</w:t>
      </w:r>
    </w:p>
    <w:p w14:paraId="34ED6374" w14:textId="77777777" w:rsidR="00CA27E3" w:rsidRPr="00CA27E3" w:rsidRDefault="00CA27E3" w:rsidP="00CA27E3">
      <w:pPr>
        <w:pStyle w:val="Bodytext221"/>
        <w:shd w:val="clear" w:color="auto" w:fill="auto"/>
        <w:spacing w:after="160" w:line="360" w:lineRule="auto"/>
        <w:ind w:firstLine="567"/>
        <w:rPr>
          <w:rFonts w:ascii="Sylfaen" w:hAnsi="Sylfaen"/>
          <w:spacing w:val="0"/>
          <w:sz w:val="24"/>
          <w:szCs w:val="24"/>
        </w:rPr>
      </w:pPr>
      <w:r w:rsidRPr="00CA27E3">
        <w:rPr>
          <w:rFonts w:ascii="Sylfaen" w:hAnsi="Sylfaen"/>
          <w:spacing w:val="0"/>
          <w:sz w:val="24"/>
          <w:szCs w:val="24"/>
        </w:rPr>
        <w:t>D կատեգորիայի համար՝ 211,00:</w:t>
      </w:r>
    </w:p>
    <w:p w14:paraId="120D359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Սեղանի համակարգչի </w:t>
      </w:r>
      <w:r>
        <w:rPr>
          <w:rFonts w:ascii="Sylfaen" w:hAnsi="Sylfaen"/>
          <w:sz w:val="24"/>
          <w:szCs w:val="24"/>
        </w:rPr>
        <w:t>եւ</w:t>
      </w:r>
      <w:r w:rsidRPr="00CA27E3">
        <w:rPr>
          <w:rFonts w:ascii="Sylfaen" w:hAnsi="Sylfaen"/>
          <w:sz w:val="24"/>
          <w:szCs w:val="24"/>
        </w:rPr>
        <w:t xml:space="preserve"> միաբլոկ սեղանի համակարգչի՝ 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(կՎտժ/տարով)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1FCE3455" w14:textId="77777777" w:rsidR="00CA27E3" w:rsidRPr="00CA27E3" w:rsidRDefault="00CA27E3" w:rsidP="00CA27E3">
      <w:pPr>
        <w:pStyle w:val="Bodytext212"/>
        <w:shd w:val="clear" w:color="auto" w:fill="auto"/>
        <w:spacing w:after="160" w:line="360" w:lineRule="auto"/>
        <w:ind w:firstLine="567"/>
        <w:jc w:val="center"/>
        <w:rPr>
          <w:rStyle w:val="Bodytext2SmallCaps"/>
          <w:rFonts w:ascii="Sylfaen" w:hAnsi="Sylfaen"/>
          <w:sz w:val="24"/>
          <w:szCs w:val="24"/>
        </w:rPr>
      </w:pPr>
      <w:r w:rsidRPr="00CA27E3">
        <w:rPr>
          <w:rStyle w:val="Bodytext2SmallCaps"/>
          <w:rFonts w:ascii="Sylfaen" w:hAnsi="Sylfaen"/>
          <w:sz w:val="24"/>
          <w:szCs w:val="24"/>
        </w:rPr>
        <w:t>E</w:t>
      </w:r>
      <w:r w:rsidRPr="00CA27E3">
        <w:rPr>
          <w:rStyle w:val="Bodytext2SmallCaps"/>
          <w:rFonts w:ascii="Sylfaen" w:hAnsi="Sylfaen"/>
          <w:sz w:val="24"/>
          <w:szCs w:val="24"/>
          <w:vertAlign w:val="subscript"/>
        </w:rPr>
        <w:t>TEC</w:t>
      </w:r>
      <w:r w:rsidRPr="00CA27E3">
        <w:rPr>
          <w:rStyle w:val="Bodytext2SmallCaps"/>
          <w:rFonts w:ascii="Sylfaen" w:hAnsi="Sylfaen"/>
          <w:sz w:val="24"/>
          <w:szCs w:val="24"/>
        </w:rPr>
        <w:t>=(8760/1000)×(0,55×P</w:t>
      </w:r>
      <w:r w:rsidRPr="00CA27E3">
        <w:rPr>
          <w:rStyle w:val="Bodytext2SmallCaps"/>
          <w:rFonts w:ascii="Sylfaen" w:hAnsi="Sylfaen"/>
          <w:sz w:val="24"/>
          <w:szCs w:val="24"/>
          <w:vertAlign w:val="subscript"/>
        </w:rPr>
        <w:t>off</w:t>
      </w:r>
      <w:r w:rsidRPr="00CA27E3">
        <w:rPr>
          <w:rStyle w:val="Bodytext2SmallCaps"/>
          <w:rFonts w:ascii="Sylfaen" w:hAnsi="Sylfaen"/>
          <w:sz w:val="24"/>
          <w:szCs w:val="24"/>
        </w:rPr>
        <w:t>+0,05×P</w:t>
      </w:r>
      <w:r w:rsidRPr="00CA27E3">
        <w:rPr>
          <w:rStyle w:val="Bodytext2SmallCaps"/>
          <w:rFonts w:ascii="Sylfaen" w:hAnsi="Sylfaen"/>
          <w:sz w:val="24"/>
          <w:szCs w:val="24"/>
          <w:vertAlign w:val="subscript"/>
        </w:rPr>
        <w:t>sleep</w:t>
      </w:r>
      <w:r w:rsidRPr="00CA27E3">
        <w:rPr>
          <w:rStyle w:val="Bodytext2SmallCaps"/>
          <w:rFonts w:ascii="Sylfaen" w:hAnsi="Sylfaen"/>
          <w:sz w:val="24"/>
          <w:szCs w:val="24"/>
        </w:rPr>
        <w:t>+0,40×P</w:t>
      </w:r>
      <w:r w:rsidRPr="00CA27E3">
        <w:rPr>
          <w:rStyle w:val="Bodytext2SmallCaps"/>
          <w:rFonts w:ascii="Sylfaen" w:hAnsi="Sylfaen"/>
          <w:sz w:val="24"/>
          <w:szCs w:val="24"/>
          <w:vertAlign w:val="subscript"/>
        </w:rPr>
        <w:t>idle</w:t>
      </w:r>
      <w:r w:rsidRPr="00CA27E3">
        <w:rPr>
          <w:rStyle w:val="Bodytext2SmallCaps"/>
          <w:rFonts w:ascii="Sylfaen" w:hAnsi="Sylfaen"/>
          <w:sz w:val="24"/>
          <w:szCs w:val="24"/>
        </w:rPr>
        <w:t>),</w:t>
      </w:r>
    </w:p>
    <w:p w14:paraId="44BA5D1F" w14:textId="77777777" w:rsidR="00CA27E3" w:rsidRPr="00CA27E3" w:rsidRDefault="00CA27E3" w:rsidP="00CA27E3">
      <w:pPr>
        <w:pStyle w:val="Bodytext212"/>
        <w:shd w:val="clear" w:color="auto" w:fill="auto"/>
        <w:spacing w:after="160" w:line="360" w:lineRule="auto"/>
        <w:ind w:firstLine="567"/>
        <w:rPr>
          <w:rStyle w:val="Bodytext2SmallCaps"/>
          <w:rFonts w:ascii="Sylfaen" w:hAnsi="Sylfaen"/>
          <w:sz w:val="24"/>
          <w:szCs w:val="24"/>
        </w:rPr>
      </w:pPr>
    </w:p>
    <w:p w14:paraId="3C93499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որտեղ՝</w:t>
      </w:r>
    </w:p>
    <w:p w14:paraId="797B5C87" w14:textId="77777777" w:rsidR="00CA27E3" w:rsidRPr="00CA27E3" w:rsidRDefault="00CA27E3" w:rsidP="00CA27E3">
      <w:pPr>
        <w:pStyle w:val="Bodytext221"/>
        <w:shd w:val="clear" w:color="auto" w:fill="auto"/>
        <w:spacing w:after="160" w:line="360" w:lineRule="auto"/>
        <w:ind w:firstLine="567"/>
        <w:rPr>
          <w:rFonts w:ascii="Sylfaen" w:eastAsia="Times New Roman" w:hAnsi="Sylfaen" w:cs="Times New Roman"/>
          <w:spacing w:val="0"/>
          <w:sz w:val="24"/>
          <w:szCs w:val="24"/>
        </w:rPr>
      </w:pPr>
      <w:r w:rsidRPr="00CA27E3">
        <w:rPr>
          <w:rFonts w:ascii="Sylfaen" w:eastAsia="Times New Roman" w:hAnsi="Sylfaen" w:cs="Times New Roman"/>
          <w:spacing w:val="0"/>
          <w:sz w:val="24"/>
          <w:szCs w:val="24"/>
        </w:rPr>
        <w:lastRenderedPageBreak/>
        <w:t>P</w:t>
      </w:r>
      <w:r w:rsidRPr="00CA27E3">
        <w:rPr>
          <w:rFonts w:ascii="Sylfaen" w:eastAsia="Times New Roman" w:hAnsi="Sylfaen" w:cs="Times New Roman"/>
          <w:spacing w:val="0"/>
          <w:sz w:val="24"/>
          <w:szCs w:val="24"/>
          <w:vertAlign w:val="subscript"/>
        </w:rPr>
        <w:t>OFF-</w:t>
      </w:r>
      <w:r w:rsidRPr="00CA27E3">
        <w:rPr>
          <w:rFonts w:ascii="Sylfaen" w:hAnsi="Sylfaen"/>
          <w:spacing w:val="0"/>
          <w:sz w:val="24"/>
          <w:szCs w:val="24"/>
        </w:rPr>
        <w:t>ը</w:t>
      </w:r>
      <w:r w:rsidRPr="00CA27E3">
        <w:rPr>
          <w:rFonts w:ascii="Sylfaen" w:eastAsia="Times New Roman" w:hAnsi="Sylfaen" w:cs="Times New Roman"/>
          <w:spacing w:val="0"/>
          <w:sz w:val="24"/>
          <w:szCs w:val="24"/>
        </w:rPr>
        <w:t>՝ անջատման ռեժիմում սպառվող հզորությունն է (Վտ-ով).</w:t>
      </w:r>
    </w:p>
    <w:p w14:paraId="0C99A11B" w14:textId="77777777" w:rsidR="00CA27E3" w:rsidRPr="00CA27E3" w:rsidRDefault="00CA27E3" w:rsidP="00CA27E3">
      <w:pPr>
        <w:pStyle w:val="Bodytext221"/>
        <w:shd w:val="clear" w:color="auto" w:fill="auto"/>
        <w:spacing w:after="160" w:line="360" w:lineRule="auto"/>
        <w:ind w:firstLine="567"/>
        <w:rPr>
          <w:rFonts w:ascii="Sylfaen" w:eastAsia="Times New Roman" w:hAnsi="Sylfaen" w:cs="Times New Roman"/>
          <w:spacing w:val="0"/>
          <w:sz w:val="24"/>
          <w:szCs w:val="24"/>
        </w:rPr>
      </w:pPr>
      <w:r w:rsidRPr="00CA27E3">
        <w:rPr>
          <w:rFonts w:ascii="Sylfaen" w:eastAsia="Times New Roman" w:hAnsi="Sylfaen" w:cs="Times New Roman"/>
          <w:spacing w:val="0"/>
          <w:sz w:val="24"/>
          <w:szCs w:val="24"/>
        </w:rPr>
        <w:t>P</w:t>
      </w:r>
      <w:r w:rsidRPr="00CA27E3">
        <w:rPr>
          <w:rFonts w:ascii="Sylfaen" w:eastAsia="Times New Roman" w:hAnsi="Sylfaen" w:cs="Times New Roman"/>
          <w:spacing w:val="0"/>
          <w:sz w:val="24"/>
          <w:szCs w:val="24"/>
          <w:vertAlign w:val="subscript"/>
        </w:rPr>
        <w:t>SLEEP-</w:t>
      </w:r>
      <w:r w:rsidRPr="00CA27E3">
        <w:rPr>
          <w:rFonts w:ascii="Sylfaen" w:hAnsi="Sylfaen"/>
          <w:spacing w:val="0"/>
          <w:sz w:val="24"/>
          <w:szCs w:val="24"/>
        </w:rPr>
        <w:t>ը</w:t>
      </w:r>
      <w:r w:rsidRPr="00CA27E3">
        <w:rPr>
          <w:rFonts w:ascii="Sylfaen" w:eastAsia="Times New Roman" w:hAnsi="Sylfaen" w:cs="Times New Roman"/>
          <w:spacing w:val="0"/>
          <w:sz w:val="24"/>
          <w:szCs w:val="24"/>
        </w:rPr>
        <w:t>՝ քնի ռեժիմում սպառվող հզորությունն է (Վտ-ով).</w:t>
      </w:r>
    </w:p>
    <w:p w14:paraId="7CC6383C" w14:textId="77777777" w:rsidR="00CA27E3" w:rsidRPr="00CA27E3" w:rsidRDefault="00CA27E3" w:rsidP="00CA27E3">
      <w:pPr>
        <w:pStyle w:val="Bodytext221"/>
        <w:shd w:val="clear" w:color="auto" w:fill="auto"/>
        <w:spacing w:after="160" w:line="360" w:lineRule="auto"/>
        <w:ind w:firstLine="567"/>
        <w:rPr>
          <w:rFonts w:ascii="Sylfaen" w:eastAsia="Times New Roman" w:hAnsi="Sylfaen" w:cs="Times New Roman"/>
          <w:spacing w:val="0"/>
          <w:sz w:val="24"/>
          <w:szCs w:val="24"/>
        </w:rPr>
      </w:pPr>
      <w:r w:rsidRPr="00CA27E3">
        <w:rPr>
          <w:rFonts w:ascii="Sylfaen" w:eastAsia="Times New Roman" w:hAnsi="Sylfaen" w:cs="Times New Roman"/>
          <w:spacing w:val="0"/>
          <w:sz w:val="24"/>
          <w:szCs w:val="24"/>
        </w:rPr>
        <w:t>P</w:t>
      </w:r>
      <w:r w:rsidRPr="00CA27E3">
        <w:rPr>
          <w:rFonts w:ascii="Sylfaen" w:eastAsia="Times New Roman" w:hAnsi="Sylfaen" w:cs="Times New Roman"/>
          <w:spacing w:val="0"/>
          <w:sz w:val="24"/>
          <w:szCs w:val="24"/>
          <w:vertAlign w:val="subscript"/>
        </w:rPr>
        <w:t>IDLE-</w:t>
      </w:r>
      <w:r w:rsidRPr="00CA27E3">
        <w:rPr>
          <w:rFonts w:ascii="Sylfaen" w:hAnsi="Sylfaen"/>
          <w:spacing w:val="0"/>
          <w:sz w:val="24"/>
          <w:szCs w:val="24"/>
        </w:rPr>
        <w:t>ը</w:t>
      </w:r>
      <w:r w:rsidRPr="00CA27E3">
        <w:rPr>
          <w:rFonts w:ascii="Sylfaen" w:eastAsia="Times New Roman" w:hAnsi="Sylfaen" w:cs="Times New Roman"/>
          <w:spacing w:val="0"/>
          <w:sz w:val="24"/>
          <w:szCs w:val="24"/>
        </w:rPr>
        <w:t>՝ պարապուրդի վիճակում սպառվող հզորությունն է (Վտ-ով):</w:t>
      </w:r>
    </w:p>
    <w:p w14:paraId="5B68552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Քնի ռեժիմ չունեցող համակարգիչների համար, որոնց պարապուրդի վիճակում սպառվող հզորությունը չի գերազանցում 10,00 Վտ, քնի ռեժիմի հզորության (P</w:t>
      </w:r>
      <w:r w:rsidRPr="00CA27E3">
        <w:rPr>
          <w:rFonts w:ascii="Sylfaen" w:hAnsi="Sylfaen"/>
          <w:sz w:val="24"/>
          <w:szCs w:val="24"/>
          <w:vertAlign w:val="subscript"/>
        </w:rPr>
        <w:t>SLEEP</w:t>
      </w:r>
      <w:r w:rsidRPr="00CA27E3">
        <w:rPr>
          <w:rFonts w:ascii="Sylfaen" w:hAnsi="Sylfaen"/>
          <w:sz w:val="24"/>
          <w:szCs w:val="24"/>
        </w:rPr>
        <w:t>) փոխարեն կարող է օգտագործվել պարապուրդի վիճակում հզորությունը (P</w:t>
      </w:r>
      <w:r w:rsidRPr="00CA27E3">
        <w:rPr>
          <w:rFonts w:ascii="Sylfaen" w:hAnsi="Sylfaen"/>
          <w:sz w:val="24"/>
          <w:szCs w:val="24"/>
          <w:vertAlign w:val="subscript"/>
        </w:rPr>
        <w:t>IDLE</w:t>
      </w:r>
      <w:r w:rsidRPr="00CA27E3">
        <w:rPr>
          <w:rFonts w:ascii="Sylfaen" w:hAnsi="Sylfaen"/>
          <w:sz w:val="24"/>
          <w:szCs w:val="24"/>
        </w:rPr>
        <w:t>): Այդ դեպքում 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(կՎտժ/տարով)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4C987118" w14:textId="77777777" w:rsidR="00CA27E3" w:rsidRPr="00CA27E3" w:rsidRDefault="00000000" w:rsidP="00CA27E3">
      <w:pPr>
        <w:pStyle w:val="Bodytext212"/>
        <w:shd w:val="clear" w:color="auto" w:fill="auto"/>
        <w:spacing w:after="160" w:line="360" w:lineRule="auto"/>
        <w:ind w:firstLine="567"/>
        <w:jc w:val="center"/>
        <w:rPr>
          <w:rFonts w:ascii="Sylfaen" w:hAnsi="Sylfaen"/>
          <w:sz w:val="24"/>
          <w:szCs w:val="24"/>
        </w:rPr>
      </w:pPr>
      <m:oMath>
        <m:sSub>
          <m:sSubPr>
            <m:ctrlPr>
              <w:rPr>
                <w:rFonts w:ascii="Cambria Math" w:hAnsi="Cambria Math"/>
                <w:sz w:val="24"/>
                <w:szCs w:val="24"/>
              </w:rPr>
            </m:ctrlPr>
          </m:sSubPr>
          <m:e>
            <m:r>
              <m:rPr>
                <m:sty m:val="p"/>
              </m:rPr>
              <w:rPr>
                <w:rFonts w:ascii="Cambria Math" w:hAnsi="Cambria Math"/>
                <w:sz w:val="24"/>
                <w:szCs w:val="24"/>
              </w:rPr>
              <m:t>E</m:t>
            </m:r>
          </m:e>
          <m:sub>
            <m:r>
              <m:rPr>
                <m:sty m:val="p"/>
              </m:rPr>
              <w:rPr>
                <w:rFonts w:ascii="Cambria Math" w:hAnsi="Cambria Math"/>
                <w:sz w:val="24"/>
                <w:szCs w:val="24"/>
              </w:rPr>
              <m:t>TEC</m:t>
            </m:r>
          </m:sub>
        </m:sSub>
        <m:r>
          <m:rPr>
            <m:sty m:val="p"/>
          </m:rPr>
          <w:rPr>
            <w:rFonts w:ascii="Cambria Math" w:hAnsi="Cambria Math"/>
            <w:sz w:val="24"/>
            <w:szCs w:val="24"/>
          </w:rPr>
          <m:t>=(8760/1000)×(0,55×</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OFF</m:t>
            </m:r>
          </m:sub>
        </m:sSub>
        <m:r>
          <m:rPr>
            <m:sty m:val="p"/>
          </m:rPr>
          <w:rPr>
            <w:rFonts w:ascii="Cambria Math" w:hAnsi="Cambria Math"/>
            <w:sz w:val="24"/>
            <w:szCs w:val="24"/>
          </w:rPr>
          <m:t>+0,45×</m:t>
        </m:r>
        <m:sSub>
          <m:sSubPr>
            <m:ctrlPr>
              <w:rPr>
                <w:rFonts w:ascii="Cambria Math" w:hAnsi="Cambria Math"/>
                <w:sz w:val="24"/>
                <w:szCs w:val="24"/>
              </w:rPr>
            </m:ctrlPr>
          </m:sSubPr>
          <m:e>
            <m:r>
              <m:rPr>
                <m:sty m:val="p"/>
              </m:rPr>
              <w:rPr>
                <w:rFonts w:ascii="Cambria Math" w:hAnsi="Cambria Math"/>
                <w:sz w:val="24"/>
                <w:szCs w:val="24"/>
              </w:rPr>
              <m:t>P</m:t>
            </m:r>
          </m:e>
          <m:sub>
            <m:r>
              <m:rPr>
                <m:sty m:val="p"/>
              </m:rPr>
              <w:rPr>
                <w:rFonts w:ascii="Cambria Math" w:hAnsi="Cambria Math"/>
                <w:sz w:val="24"/>
                <w:szCs w:val="24"/>
              </w:rPr>
              <m:t>IDLE</m:t>
            </m:r>
          </m:sub>
        </m:sSub>
        <m:r>
          <m:rPr>
            <m:sty m:val="p"/>
          </m:rPr>
          <w:rPr>
            <w:rFonts w:ascii="Cambria Math" w:hAnsi="Cambria Math"/>
            <w:sz w:val="24"/>
            <w:szCs w:val="24"/>
          </w:rPr>
          <m:t>)</m:t>
        </m:r>
      </m:oMath>
      <w:r w:rsidR="00CA27E3" w:rsidRPr="00CA27E3">
        <w:rPr>
          <w:rFonts w:ascii="Sylfaen" w:hAnsi="Sylfaen"/>
          <w:sz w:val="24"/>
          <w:szCs w:val="24"/>
        </w:rPr>
        <w:t>.</w:t>
      </w:r>
    </w:p>
    <w:p w14:paraId="0F378614" w14:textId="77777777" w:rsidR="00CA27E3" w:rsidRPr="00CA27E3" w:rsidRDefault="00CA27E3" w:rsidP="00CA27E3">
      <w:pPr>
        <w:pStyle w:val="Bodytext212"/>
        <w:shd w:val="clear" w:color="auto" w:fill="auto"/>
        <w:spacing w:after="160" w:line="360" w:lineRule="auto"/>
        <w:ind w:firstLine="567"/>
        <w:jc w:val="both"/>
        <w:rPr>
          <w:rStyle w:val="Bodytext2SmallCaps"/>
          <w:rFonts w:ascii="Sylfaen" w:hAnsi="Sylfaen"/>
          <w:sz w:val="24"/>
          <w:szCs w:val="24"/>
        </w:rPr>
      </w:pPr>
    </w:p>
    <w:p w14:paraId="601F775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P</w:t>
      </w:r>
      <w:r w:rsidRPr="00CA27E3">
        <w:rPr>
          <w:rFonts w:ascii="Sylfaen" w:hAnsi="Sylfaen"/>
          <w:sz w:val="24"/>
          <w:szCs w:val="24"/>
          <w:vertAlign w:val="subscript"/>
        </w:rPr>
        <w:t>OFF</w:t>
      </w:r>
      <w:r w:rsidRPr="00CA27E3">
        <w:rPr>
          <w:rFonts w:ascii="Sylfaen" w:hAnsi="Sylfaen"/>
          <w:sz w:val="24"/>
          <w:szCs w:val="24"/>
        </w:rPr>
        <w:t>, P</w:t>
      </w:r>
      <w:r w:rsidRPr="00CA27E3">
        <w:rPr>
          <w:rFonts w:ascii="Sylfaen" w:hAnsi="Sylfaen"/>
          <w:sz w:val="24"/>
          <w:szCs w:val="24"/>
          <w:vertAlign w:val="subscript"/>
        </w:rPr>
        <w:t>SLEEP</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P</w:t>
      </w:r>
      <w:r w:rsidRPr="00CA27E3">
        <w:rPr>
          <w:rFonts w:ascii="Sylfaen" w:hAnsi="Sylfaen"/>
          <w:sz w:val="24"/>
          <w:szCs w:val="24"/>
          <w:vertAlign w:val="subscript"/>
        </w:rPr>
        <w:t>IDLE</w:t>
      </w:r>
      <w:r w:rsidRPr="00CA27E3">
        <w:rPr>
          <w:rFonts w:ascii="Sylfaen" w:hAnsi="Sylfaen"/>
          <w:sz w:val="24"/>
          <w:szCs w:val="24"/>
        </w:rPr>
        <w:t xml:space="preserve"> չափումների ժամանակ կիրառվում են համակարգչի բաղադրիչների համար էլեկտրաէներգիայի սպառման հետ</w:t>
      </w:r>
      <w:r>
        <w:rPr>
          <w:rFonts w:ascii="Sylfaen" w:hAnsi="Sylfaen"/>
          <w:sz w:val="24"/>
          <w:szCs w:val="24"/>
        </w:rPr>
        <w:t>եւ</w:t>
      </w:r>
      <w:r w:rsidRPr="00CA27E3">
        <w:rPr>
          <w:rFonts w:ascii="Sylfaen" w:hAnsi="Sylfaen"/>
          <w:sz w:val="24"/>
          <w:szCs w:val="24"/>
        </w:rPr>
        <w:t>յալ արժեքները՝</w:t>
      </w:r>
    </w:p>
    <w:p w14:paraId="323343A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օպերատիվ հիշողություն՝ A, B </w:t>
      </w:r>
      <w:r>
        <w:rPr>
          <w:rFonts w:ascii="Sylfaen" w:hAnsi="Sylfaen"/>
          <w:sz w:val="24"/>
          <w:szCs w:val="24"/>
        </w:rPr>
        <w:t>եւ</w:t>
      </w:r>
      <w:r w:rsidRPr="00CA27E3">
        <w:rPr>
          <w:rFonts w:ascii="Sylfaen" w:hAnsi="Sylfaen"/>
          <w:sz w:val="24"/>
          <w:szCs w:val="24"/>
        </w:rPr>
        <w:t xml:space="preserve"> C կատեգորիայի համակարգիչների համար 2 Գբ </w:t>
      </w:r>
      <w:r>
        <w:rPr>
          <w:rFonts w:ascii="Sylfaen" w:hAnsi="Sylfaen"/>
          <w:sz w:val="24"/>
          <w:szCs w:val="24"/>
        </w:rPr>
        <w:t>եւ</w:t>
      </w:r>
      <w:r w:rsidRPr="00CA27E3">
        <w:rPr>
          <w:rFonts w:ascii="Sylfaen" w:hAnsi="Sylfaen"/>
          <w:sz w:val="24"/>
          <w:szCs w:val="24"/>
        </w:rPr>
        <w:t xml:space="preserve"> D կատեգորիայի համակարգիչների համար՝ 4 Գբ կազմող բազային ծավալից ավելի յուրաքանչյուր գիգաբայթի (Գբ) համար՝ 1 կՎտժ/տարի.</w:t>
      </w:r>
    </w:p>
    <w:p w14:paraId="73B6B30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լրացուցիչ ներքին հիշող սարք՝ 25 կՎտժ/տարի.</w:t>
      </w:r>
    </w:p>
    <w:p w14:paraId="42FF2C8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դիսկրետային ՀՏ-տյուներ՝ 15 կՎտժ/տարի.</w:t>
      </w:r>
    </w:p>
    <w:p w14:paraId="525CCD6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դիսկրետային ձայնային քարտ՝ 15 կՎտժ/տարի.</w:t>
      </w:r>
    </w:p>
    <w:p w14:paraId="4D40BA6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առաջին դիսկրետային տեսաքարտի (dGfx) </w:t>
      </w:r>
      <w:r>
        <w:rPr>
          <w:rFonts w:ascii="Sylfaen" w:hAnsi="Sylfaen"/>
          <w:sz w:val="24"/>
          <w:szCs w:val="24"/>
        </w:rPr>
        <w:t>եւ</w:t>
      </w:r>
      <w:r w:rsidRPr="00CA27E3">
        <w:rPr>
          <w:rFonts w:ascii="Sylfaen" w:hAnsi="Sylfaen"/>
          <w:sz w:val="24"/>
          <w:szCs w:val="24"/>
        </w:rPr>
        <w:t xml:space="preserve"> յուրաքանչյուր լրացուցիչ դիսկրետային տեսաքարտի (dGfx) համար տարեկան սպառումը բերված է 1-ին աղյուսակում (Փուլ I):</w:t>
      </w:r>
    </w:p>
    <w:p w14:paraId="473B5D3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1-ին աղյուսակում նշված՝ դիսկրետային տեսաքարտերի (dGfx), դիսկրետային ՀՏ-տյուներների </w:t>
      </w:r>
      <w:r>
        <w:rPr>
          <w:rFonts w:ascii="Sylfaen" w:hAnsi="Sylfaen"/>
          <w:sz w:val="24"/>
          <w:szCs w:val="24"/>
        </w:rPr>
        <w:t>եւ</w:t>
      </w:r>
      <w:r w:rsidRPr="00CA27E3">
        <w:rPr>
          <w:rFonts w:ascii="Sylfaen" w:hAnsi="Sylfaen"/>
          <w:sz w:val="24"/>
          <w:szCs w:val="24"/>
        </w:rPr>
        <w:t xml:space="preserve"> դիսկրետային ձայնային քարտերի համար էլեկտրաէներգիայի սպառման արժեքները վավերական են միայն այն քարտերի </w:t>
      </w:r>
      <w:r>
        <w:rPr>
          <w:rFonts w:ascii="Sylfaen" w:hAnsi="Sylfaen"/>
          <w:sz w:val="24"/>
          <w:szCs w:val="24"/>
        </w:rPr>
        <w:t>եւ</w:t>
      </w:r>
      <w:r w:rsidRPr="00CA27E3">
        <w:rPr>
          <w:rFonts w:ascii="Sylfaen" w:hAnsi="Sylfaen"/>
          <w:sz w:val="24"/>
          <w:szCs w:val="24"/>
        </w:rPr>
        <w:t xml:space="preserve"> </w:t>
      </w:r>
      <w:r w:rsidRPr="00CA27E3">
        <w:rPr>
          <w:rFonts w:ascii="Sylfaen" w:hAnsi="Sylfaen"/>
          <w:sz w:val="24"/>
          <w:szCs w:val="24"/>
        </w:rPr>
        <w:lastRenderedPageBreak/>
        <w:t>տյուներների համար, որոնք ակտիվացվում են սեղանի համակարգիչների կամ միաբլոկ սեղանի համակարգիչների փորձարկման ժամանակ:</w:t>
      </w:r>
    </w:p>
    <w:p w14:paraId="4B745E2D" w14:textId="77777777" w:rsidR="00CA27E3" w:rsidRPr="00CA27E3" w:rsidRDefault="00CA27E3" w:rsidP="00CA27E3">
      <w:pPr>
        <w:pStyle w:val="Bodytext212"/>
        <w:shd w:val="clear" w:color="auto" w:fill="auto"/>
        <w:spacing w:after="160" w:line="360" w:lineRule="auto"/>
        <w:ind w:firstLine="0"/>
        <w:rPr>
          <w:rFonts w:ascii="Sylfaen" w:hAnsi="Sylfaen"/>
          <w:sz w:val="24"/>
          <w:szCs w:val="24"/>
        </w:rPr>
      </w:pPr>
    </w:p>
    <w:p w14:paraId="4A4DB199" w14:textId="77777777" w:rsidR="00CA27E3" w:rsidRPr="00CA27E3" w:rsidRDefault="00CA27E3" w:rsidP="00CA27E3">
      <w:pPr>
        <w:pStyle w:val="Bodytext212"/>
        <w:shd w:val="clear" w:color="auto" w:fill="auto"/>
        <w:spacing w:after="160" w:line="360" w:lineRule="auto"/>
        <w:ind w:firstLine="0"/>
        <w:jc w:val="right"/>
        <w:rPr>
          <w:rFonts w:ascii="Sylfaen" w:hAnsi="Sylfaen"/>
          <w:sz w:val="24"/>
          <w:szCs w:val="24"/>
        </w:rPr>
      </w:pPr>
      <w:r w:rsidRPr="00CA27E3">
        <w:rPr>
          <w:rFonts w:ascii="Sylfaen" w:hAnsi="Sylfaen"/>
          <w:sz w:val="24"/>
          <w:szCs w:val="24"/>
        </w:rPr>
        <w:t>Աղյուսակ 1</w:t>
      </w:r>
    </w:p>
    <w:p w14:paraId="21A31ED7" w14:textId="77777777" w:rsidR="00CA27E3" w:rsidRPr="00CA27E3" w:rsidRDefault="00CA27E3" w:rsidP="00CA27E3">
      <w:pPr>
        <w:pStyle w:val="Bodytext212"/>
        <w:shd w:val="clear" w:color="auto" w:fill="auto"/>
        <w:spacing w:after="160" w:line="360" w:lineRule="auto"/>
        <w:ind w:firstLine="0"/>
        <w:jc w:val="center"/>
        <w:rPr>
          <w:rFonts w:ascii="Sylfaen" w:hAnsi="Sylfaen"/>
          <w:sz w:val="24"/>
          <w:szCs w:val="24"/>
        </w:rPr>
      </w:pPr>
      <w:r w:rsidRPr="00CA27E3">
        <w:rPr>
          <w:rFonts w:ascii="Sylfaen" w:hAnsi="Sylfaen"/>
          <w:sz w:val="24"/>
          <w:szCs w:val="24"/>
        </w:rPr>
        <w:t>Տեսաքարտերով էլեկտրաէներգիայի տարեկան սպառումը</w:t>
      </w:r>
    </w:p>
    <w:tbl>
      <w:tblPr>
        <w:tblOverlap w:val="never"/>
        <w:tblW w:w="9620" w:type="dxa"/>
        <w:jc w:val="center"/>
        <w:tblLayout w:type="fixed"/>
        <w:tblCellMar>
          <w:left w:w="10" w:type="dxa"/>
          <w:right w:w="10" w:type="dxa"/>
        </w:tblCellMar>
        <w:tblLook w:val="04A0" w:firstRow="1" w:lastRow="0" w:firstColumn="1" w:lastColumn="0" w:noHBand="0" w:noVBand="1"/>
      </w:tblPr>
      <w:tblGrid>
        <w:gridCol w:w="2405"/>
        <w:gridCol w:w="2400"/>
        <w:gridCol w:w="2405"/>
        <w:gridCol w:w="2410"/>
      </w:tblGrid>
      <w:tr w:rsidR="00CA27E3" w:rsidRPr="00D83000" w14:paraId="30845F29" w14:textId="77777777" w:rsidTr="009338B9">
        <w:trPr>
          <w:tblHeader/>
          <w:jc w:val="center"/>
        </w:trPr>
        <w:tc>
          <w:tcPr>
            <w:tcW w:w="2405" w:type="dxa"/>
            <w:vMerge w:val="restart"/>
            <w:tcBorders>
              <w:top w:val="single" w:sz="4" w:space="0" w:color="auto"/>
              <w:left w:val="single" w:sz="4" w:space="0" w:color="auto"/>
            </w:tcBorders>
            <w:shd w:val="clear" w:color="auto" w:fill="FFFFFF"/>
            <w:vAlign w:val="center"/>
          </w:tcPr>
          <w:p w14:paraId="09E2D2EF"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Տեսաքարտեր</w:t>
            </w:r>
          </w:p>
        </w:tc>
        <w:tc>
          <w:tcPr>
            <w:tcW w:w="2400" w:type="dxa"/>
            <w:vMerge w:val="restart"/>
            <w:tcBorders>
              <w:top w:val="single" w:sz="4" w:space="0" w:color="auto"/>
              <w:left w:val="single" w:sz="4" w:space="0" w:color="auto"/>
            </w:tcBorders>
            <w:shd w:val="clear" w:color="auto" w:fill="FFFFFF"/>
            <w:vAlign w:val="center"/>
          </w:tcPr>
          <w:p w14:paraId="5DC2D079"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dGfx կատեգորիա</w:t>
            </w:r>
          </w:p>
        </w:tc>
        <w:tc>
          <w:tcPr>
            <w:tcW w:w="4815" w:type="dxa"/>
            <w:gridSpan w:val="2"/>
            <w:tcBorders>
              <w:top w:val="single" w:sz="4" w:space="0" w:color="auto"/>
              <w:left w:val="single" w:sz="4" w:space="0" w:color="auto"/>
              <w:right w:val="single" w:sz="4" w:space="0" w:color="auto"/>
            </w:tcBorders>
            <w:shd w:val="clear" w:color="auto" w:fill="FFFFFF"/>
            <w:vAlign w:val="center"/>
          </w:tcPr>
          <w:p w14:paraId="15C48DE6"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Սպառումը մեկ տարում (կՎտժ/տարի)</w:t>
            </w:r>
          </w:p>
        </w:tc>
      </w:tr>
      <w:tr w:rsidR="00CA27E3" w:rsidRPr="00D83000" w14:paraId="24DE535D" w14:textId="77777777" w:rsidTr="00D83000">
        <w:trPr>
          <w:tblHeader/>
          <w:jc w:val="center"/>
        </w:trPr>
        <w:tc>
          <w:tcPr>
            <w:tcW w:w="2405" w:type="dxa"/>
            <w:vMerge/>
            <w:tcBorders>
              <w:left w:val="single" w:sz="4" w:space="0" w:color="auto"/>
            </w:tcBorders>
            <w:shd w:val="clear" w:color="auto" w:fill="FFFFFF"/>
          </w:tcPr>
          <w:p w14:paraId="614380FC" w14:textId="77777777" w:rsidR="00CA27E3" w:rsidRPr="00D83000" w:rsidRDefault="00CA27E3" w:rsidP="00D83000">
            <w:pPr>
              <w:spacing w:after="120"/>
              <w:rPr>
                <w:rFonts w:ascii="Sylfaen" w:hAnsi="Sylfaen"/>
                <w:sz w:val="20"/>
                <w:szCs w:val="20"/>
              </w:rPr>
            </w:pPr>
          </w:p>
        </w:tc>
        <w:tc>
          <w:tcPr>
            <w:tcW w:w="2400" w:type="dxa"/>
            <w:vMerge/>
            <w:tcBorders>
              <w:left w:val="single" w:sz="4" w:space="0" w:color="auto"/>
            </w:tcBorders>
            <w:shd w:val="clear" w:color="auto" w:fill="FFFFFF"/>
          </w:tcPr>
          <w:p w14:paraId="75B81C42" w14:textId="77777777" w:rsidR="00CA27E3" w:rsidRPr="00D83000" w:rsidRDefault="00CA27E3" w:rsidP="00D83000">
            <w:pPr>
              <w:spacing w:after="120"/>
              <w:rPr>
                <w:rFonts w:ascii="Sylfaen" w:hAnsi="Sylfaen"/>
                <w:sz w:val="20"/>
                <w:szCs w:val="20"/>
              </w:rPr>
            </w:pPr>
          </w:p>
        </w:tc>
        <w:tc>
          <w:tcPr>
            <w:tcW w:w="2405" w:type="dxa"/>
            <w:tcBorders>
              <w:top w:val="single" w:sz="4" w:space="0" w:color="auto"/>
              <w:left w:val="single" w:sz="4" w:space="0" w:color="auto"/>
            </w:tcBorders>
            <w:shd w:val="clear" w:color="auto" w:fill="FFFFFF"/>
          </w:tcPr>
          <w:p w14:paraId="3321129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Փուլ I*</w:t>
            </w:r>
          </w:p>
        </w:tc>
        <w:tc>
          <w:tcPr>
            <w:tcW w:w="2410" w:type="dxa"/>
            <w:tcBorders>
              <w:top w:val="single" w:sz="4" w:space="0" w:color="auto"/>
              <w:left w:val="single" w:sz="4" w:space="0" w:color="auto"/>
              <w:right w:val="single" w:sz="4" w:space="0" w:color="auto"/>
            </w:tcBorders>
            <w:shd w:val="clear" w:color="auto" w:fill="FFFFFF"/>
          </w:tcPr>
          <w:p w14:paraId="16D28252"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Փուլ II**</w:t>
            </w:r>
          </w:p>
        </w:tc>
      </w:tr>
      <w:tr w:rsidR="00CA27E3" w:rsidRPr="00D83000" w14:paraId="13D9D7EB" w14:textId="77777777" w:rsidTr="009338B9">
        <w:trPr>
          <w:jc w:val="center"/>
        </w:trPr>
        <w:tc>
          <w:tcPr>
            <w:tcW w:w="2405" w:type="dxa"/>
            <w:vMerge w:val="restart"/>
            <w:tcBorders>
              <w:top w:val="single" w:sz="4" w:space="0" w:color="auto"/>
              <w:left w:val="single" w:sz="4" w:space="0" w:color="auto"/>
            </w:tcBorders>
            <w:shd w:val="clear" w:color="auto" w:fill="FFFFFF"/>
            <w:vAlign w:val="center"/>
          </w:tcPr>
          <w:p w14:paraId="0030ECE2"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Առաջին դիսկրետային տեսաքարտը (dGfx)</w:t>
            </w:r>
          </w:p>
        </w:tc>
        <w:tc>
          <w:tcPr>
            <w:tcW w:w="2400" w:type="dxa"/>
            <w:tcBorders>
              <w:top w:val="single" w:sz="4" w:space="0" w:color="auto"/>
              <w:left w:val="single" w:sz="4" w:space="0" w:color="auto"/>
            </w:tcBorders>
            <w:shd w:val="clear" w:color="auto" w:fill="FFFFFF"/>
          </w:tcPr>
          <w:p w14:paraId="6FFC424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G1</w:t>
            </w:r>
          </w:p>
        </w:tc>
        <w:tc>
          <w:tcPr>
            <w:tcW w:w="2405" w:type="dxa"/>
            <w:tcBorders>
              <w:top w:val="single" w:sz="4" w:space="0" w:color="auto"/>
              <w:left w:val="single" w:sz="4" w:space="0" w:color="auto"/>
            </w:tcBorders>
            <w:shd w:val="clear" w:color="auto" w:fill="FFFFFF"/>
          </w:tcPr>
          <w:p w14:paraId="3B86EBF8"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34</w:t>
            </w:r>
          </w:p>
        </w:tc>
        <w:tc>
          <w:tcPr>
            <w:tcW w:w="2410" w:type="dxa"/>
            <w:tcBorders>
              <w:top w:val="single" w:sz="4" w:space="0" w:color="auto"/>
              <w:left w:val="single" w:sz="4" w:space="0" w:color="auto"/>
              <w:right w:val="single" w:sz="4" w:space="0" w:color="auto"/>
            </w:tcBorders>
            <w:shd w:val="clear" w:color="auto" w:fill="FFFFFF"/>
          </w:tcPr>
          <w:p w14:paraId="4217530C"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18</w:t>
            </w:r>
          </w:p>
        </w:tc>
      </w:tr>
      <w:tr w:rsidR="00CA27E3" w:rsidRPr="00D83000" w14:paraId="0D79C0D8" w14:textId="77777777" w:rsidTr="009338B9">
        <w:trPr>
          <w:jc w:val="center"/>
        </w:trPr>
        <w:tc>
          <w:tcPr>
            <w:tcW w:w="2405" w:type="dxa"/>
            <w:vMerge/>
            <w:tcBorders>
              <w:left w:val="single" w:sz="4" w:space="0" w:color="auto"/>
            </w:tcBorders>
            <w:shd w:val="clear" w:color="auto" w:fill="FFFFFF"/>
            <w:vAlign w:val="center"/>
          </w:tcPr>
          <w:p w14:paraId="273CFCB5"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69B77748"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G2</w:t>
            </w:r>
          </w:p>
        </w:tc>
        <w:tc>
          <w:tcPr>
            <w:tcW w:w="2405" w:type="dxa"/>
            <w:tcBorders>
              <w:top w:val="single" w:sz="4" w:space="0" w:color="auto"/>
              <w:left w:val="single" w:sz="4" w:space="0" w:color="auto"/>
            </w:tcBorders>
            <w:shd w:val="clear" w:color="auto" w:fill="FFFFFF"/>
          </w:tcPr>
          <w:p w14:paraId="3E67E298"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54</w:t>
            </w:r>
          </w:p>
        </w:tc>
        <w:tc>
          <w:tcPr>
            <w:tcW w:w="2410" w:type="dxa"/>
            <w:tcBorders>
              <w:top w:val="single" w:sz="4" w:space="0" w:color="auto"/>
              <w:left w:val="single" w:sz="4" w:space="0" w:color="auto"/>
              <w:right w:val="single" w:sz="4" w:space="0" w:color="auto"/>
            </w:tcBorders>
            <w:shd w:val="clear" w:color="auto" w:fill="FFFFFF"/>
          </w:tcPr>
          <w:p w14:paraId="326CA81A"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30</w:t>
            </w:r>
          </w:p>
        </w:tc>
      </w:tr>
      <w:tr w:rsidR="00CA27E3" w:rsidRPr="00D83000" w14:paraId="6FB695A1" w14:textId="77777777" w:rsidTr="009338B9">
        <w:trPr>
          <w:jc w:val="center"/>
        </w:trPr>
        <w:tc>
          <w:tcPr>
            <w:tcW w:w="2405" w:type="dxa"/>
            <w:vMerge/>
            <w:tcBorders>
              <w:left w:val="single" w:sz="4" w:space="0" w:color="auto"/>
            </w:tcBorders>
            <w:shd w:val="clear" w:color="auto" w:fill="FFFFFF"/>
            <w:vAlign w:val="center"/>
          </w:tcPr>
          <w:p w14:paraId="12E7D851"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63625797"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G3</w:t>
            </w:r>
          </w:p>
        </w:tc>
        <w:tc>
          <w:tcPr>
            <w:tcW w:w="2405" w:type="dxa"/>
            <w:tcBorders>
              <w:top w:val="single" w:sz="4" w:space="0" w:color="auto"/>
              <w:left w:val="single" w:sz="4" w:space="0" w:color="auto"/>
            </w:tcBorders>
            <w:shd w:val="clear" w:color="auto" w:fill="FFFFFF"/>
          </w:tcPr>
          <w:p w14:paraId="4EC7369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69</w:t>
            </w:r>
          </w:p>
        </w:tc>
        <w:tc>
          <w:tcPr>
            <w:tcW w:w="2410" w:type="dxa"/>
            <w:tcBorders>
              <w:top w:val="single" w:sz="4" w:space="0" w:color="auto"/>
              <w:left w:val="single" w:sz="4" w:space="0" w:color="auto"/>
              <w:right w:val="single" w:sz="4" w:space="0" w:color="auto"/>
            </w:tcBorders>
            <w:shd w:val="clear" w:color="auto" w:fill="FFFFFF"/>
          </w:tcPr>
          <w:p w14:paraId="4B86069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38</w:t>
            </w:r>
          </w:p>
        </w:tc>
      </w:tr>
      <w:tr w:rsidR="00CA27E3" w:rsidRPr="00D83000" w14:paraId="5624BC74" w14:textId="77777777" w:rsidTr="009338B9">
        <w:trPr>
          <w:jc w:val="center"/>
        </w:trPr>
        <w:tc>
          <w:tcPr>
            <w:tcW w:w="2405" w:type="dxa"/>
            <w:vMerge/>
            <w:tcBorders>
              <w:left w:val="single" w:sz="4" w:space="0" w:color="auto"/>
            </w:tcBorders>
            <w:shd w:val="clear" w:color="auto" w:fill="FFFFFF"/>
            <w:vAlign w:val="center"/>
          </w:tcPr>
          <w:p w14:paraId="4A974117"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27A8F615"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G4</w:t>
            </w:r>
          </w:p>
        </w:tc>
        <w:tc>
          <w:tcPr>
            <w:tcW w:w="2405" w:type="dxa"/>
            <w:tcBorders>
              <w:top w:val="single" w:sz="4" w:space="0" w:color="auto"/>
              <w:left w:val="single" w:sz="4" w:space="0" w:color="auto"/>
            </w:tcBorders>
            <w:shd w:val="clear" w:color="auto" w:fill="FFFFFF"/>
          </w:tcPr>
          <w:p w14:paraId="17F55E98"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100</w:t>
            </w:r>
          </w:p>
        </w:tc>
        <w:tc>
          <w:tcPr>
            <w:tcW w:w="2410" w:type="dxa"/>
            <w:tcBorders>
              <w:top w:val="single" w:sz="4" w:space="0" w:color="auto"/>
              <w:left w:val="single" w:sz="4" w:space="0" w:color="auto"/>
              <w:right w:val="single" w:sz="4" w:space="0" w:color="auto"/>
            </w:tcBorders>
            <w:shd w:val="clear" w:color="auto" w:fill="FFFFFF"/>
          </w:tcPr>
          <w:p w14:paraId="3B3AB45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54</w:t>
            </w:r>
          </w:p>
        </w:tc>
      </w:tr>
      <w:tr w:rsidR="00CA27E3" w:rsidRPr="00D83000" w14:paraId="62D6E20A" w14:textId="77777777" w:rsidTr="009338B9">
        <w:trPr>
          <w:jc w:val="center"/>
        </w:trPr>
        <w:tc>
          <w:tcPr>
            <w:tcW w:w="2405" w:type="dxa"/>
            <w:vMerge/>
            <w:tcBorders>
              <w:left w:val="single" w:sz="4" w:space="0" w:color="auto"/>
            </w:tcBorders>
            <w:shd w:val="clear" w:color="auto" w:fill="FFFFFF"/>
            <w:vAlign w:val="center"/>
          </w:tcPr>
          <w:p w14:paraId="5A5E81FC"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76AD843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G5</w:t>
            </w:r>
          </w:p>
        </w:tc>
        <w:tc>
          <w:tcPr>
            <w:tcW w:w="2405" w:type="dxa"/>
            <w:tcBorders>
              <w:top w:val="single" w:sz="4" w:space="0" w:color="auto"/>
              <w:left w:val="single" w:sz="4" w:space="0" w:color="auto"/>
            </w:tcBorders>
            <w:shd w:val="clear" w:color="auto" w:fill="FFFFFF"/>
          </w:tcPr>
          <w:p w14:paraId="79B588B1"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133</w:t>
            </w:r>
          </w:p>
        </w:tc>
        <w:tc>
          <w:tcPr>
            <w:tcW w:w="2410" w:type="dxa"/>
            <w:tcBorders>
              <w:top w:val="single" w:sz="4" w:space="0" w:color="auto"/>
              <w:left w:val="single" w:sz="4" w:space="0" w:color="auto"/>
              <w:right w:val="single" w:sz="4" w:space="0" w:color="auto"/>
            </w:tcBorders>
            <w:shd w:val="clear" w:color="auto" w:fill="FFFFFF"/>
          </w:tcPr>
          <w:p w14:paraId="4449EB5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72</w:t>
            </w:r>
          </w:p>
        </w:tc>
      </w:tr>
      <w:tr w:rsidR="00CA27E3" w:rsidRPr="00D83000" w14:paraId="34DD9F01" w14:textId="77777777" w:rsidTr="009338B9">
        <w:trPr>
          <w:jc w:val="center"/>
        </w:trPr>
        <w:tc>
          <w:tcPr>
            <w:tcW w:w="2405" w:type="dxa"/>
            <w:vMerge/>
            <w:tcBorders>
              <w:left w:val="single" w:sz="4" w:space="0" w:color="auto"/>
            </w:tcBorders>
            <w:shd w:val="clear" w:color="auto" w:fill="FFFFFF"/>
            <w:vAlign w:val="center"/>
          </w:tcPr>
          <w:p w14:paraId="68AA8D9F"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7207ED7E"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G6</w:t>
            </w:r>
          </w:p>
        </w:tc>
        <w:tc>
          <w:tcPr>
            <w:tcW w:w="2405" w:type="dxa"/>
            <w:tcBorders>
              <w:top w:val="single" w:sz="4" w:space="0" w:color="auto"/>
              <w:left w:val="single" w:sz="4" w:space="0" w:color="auto"/>
            </w:tcBorders>
            <w:shd w:val="clear" w:color="auto" w:fill="FFFFFF"/>
          </w:tcPr>
          <w:p w14:paraId="352EE7B8"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166</w:t>
            </w:r>
          </w:p>
        </w:tc>
        <w:tc>
          <w:tcPr>
            <w:tcW w:w="2410" w:type="dxa"/>
            <w:tcBorders>
              <w:top w:val="single" w:sz="4" w:space="0" w:color="auto"/>
              <w:left w:val="single" w:sz="4" w:space="0" w:color="auto"/>
              <w:right w:val="single" w:sz="4" w:space="0" w:color="auto"/>
            </w:tcBorders>
            <w:shd w:val="clear" w:color="auto" w:fill="FFFFFF"/>
          </w:tcPr>
          <w:p w14:paraId="637C5BE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90</w:t>
            </w:r>
          </w:p>
        </w:tc>
      </w:tr>
      <w:tr w:rsidR="00CA27E3" w:rsidRPr="00D83000" w14:paraId="58AAD0FC" w14:textId="77777777" w:rsidTr="009338B9">
        <w:trPr>
          <w:jc w:val="center"/>
        </w:trPr>
        <w:tc>
          <w:tcPr>
            <w:tcW w:w="2405" w:type="dxa"/>
            <w:vMerge/>
            <w:tcBorders>
              <w:left w:val="single" w:sz="4" w:space="0" w:color="auto"/>
            </w:tcBorders>
            <w:shd w:val="clear" w:color="auto" w:fill="FFFFFF"/>
            <w:vAlign w:val="center"/>
          </w:tcPr>
          <w:p w14:paraId="3529C227"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1E0A356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G7</w:t>
            </w:r>
          </w:p>
        </w:tc>
        <w:tc>
          <w:tcPr>
            <w:tcW w:w="2405" w:type="dxa"/>
            <w:tcBorders>
              <w:top w:val="single" w:sz="4" w:space="0" w:color="auto"/>
              <w:left w:val="single" w:sz="4" w:space="0" w:color="auto"/>
            </w:tcBorders>
            <w:shd w:val="clear" w:color="auto" w:fill="FFFFFF"/>
          </w:tcPr>
          <w:p w14:paraId="08AE6A3D"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225</w:t>
            </w:r>
          </w:p>
        </w:tc>
        <w:tc>
          <w:tcPr>
            <w:tcW w:w="2410" w:type="dxa"/>
            <w:tcBorders>
              <w:top w:val="single" w:sz="4" w:space="0" w:color="auto"/>
              <w:left w:val="single" w:sz="4" w:space="0" w:color="auto"/>
              <w:right w:val="single" w:sz="4" w:space="0" w:color="auto"/>
            </w:tcBorders>
            <w:shd w:val="clear" w:color="auto" w:fill="FFFFFF"/>
          </w:tcPr>
          <w:p w14:paraId="262E48C7"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122</w:t>
            </w:r>
          </w:p>
        </w:tc>
      </w:tr>
      <w:tr w:rsidR="00CA27E3" w:rsidRPr="00D83000" w14:paraId="57A0567C" w14:textId="77777777" w:rsidTr="009338B9">
        <w:trPr>
          <w:jc w:val="center"/>
        </w:trPr>
        <w:tc>
          <w:tcPr>
            <w:tcW w:w="2405" w:type="dxa"/>
            <w:vMerge w:val="restart"/>
            <w:tcBorders>
              <w:top w:val="single" w:sz="4" w:space="0" w:color="auto"/>
              <w:left w:val="single" w:sz="4" w:space="0" w:color="auto"/>
            </w:tcBorders>
            <w:shd w:val="clear" w:color="auto" w:fill="FFFFFF"/>
            <w:vAlign w:val="center"/>
          </w:tcPr>
          <w:p w14:paraId="2C203375"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Յուրաքանչյուր լրացուցիչ դիսկրետային տեսաքարտ (dGfx)</w:t>
            </w:r>
          </w:p>
        </w:tc>
        <w:tc>
          <w:tcPr>
            <w:tcW w:w="2400" w:type="dxa"/>
            <w:tcBorders>
              <w:top w:val="single" w:sz="4" w:space="0" w:color="auto"/>
              <w:left w:val="single" w:sz="4" w:space="0" w:color="auto"/>
            </w:tcBorders>
            <w:shd w:val="clear" w:color="auto" w:fill="FFFFFF"/>
          </w:tcPr>
          <w:p w14:paraId="6A62D629"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G1</w:t>
            </w:r>
          </w:p>
        </w:tc>
        <w:tc>
          <w:tcPr>
            <w:tcW w:w="2405" w:type="dxa"/>
            <w:tcBorders>
              <w:top w:val="single" w:sz="4" w:space="0" w:color="auto"/>
              <w:left w:val="single" w:sz="4" w:space="0" w:color="auto"/>
            </w:tcBorders>
            <w:shd w:val="clear" w:color="auto" w:fill="FFFFFF"/>
          </w:tcPr>
          <w:p w14:paraId="6CBEC7BF"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20</w:t>
            </w:r>
          </w:p>
        </w:tc>
        <w:tc>
          <w:tcPr>
            <w:tcW w:w="2410" w:type="dxa"/>
            <w:tcBorders>
              <w:top w:val="single" w:sz="4" w:space="0" w:color="auto"/>
              <w:left w:val="single" w:sz="4" w:space="0" w:color="auto"/>
              <w:right w:val="single" w:sz="4" w:space="0" w:color="auto"/>
            </w:tcBorders>
            <w:shd w:val="clear" w:color="auto" w:fill="FFFFFF"/>
          </w:tcPr>
          <w:p w14:paraId="6E01D6F5"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11</w:t>
            </w:r>
          </w:p>
        </w:tc>
      </w:tr>
      <w:tr w:rsidR="00CA27E3" w:rsidRPr="00D83000" w14:paraId="04DDF2AD" w14:textId="77777777" w:rsidTr="00CA27E3">
        <w:trPr>
          <w:jc w:val="center"/>
        </w:trPr>
        <w:tc>
          <w:tcPr>
            <w:tcW w:w="2405" w:type="dxa"/>
            <w:vMerge/>
            <w:tcBorders>
              <w:left w:val="single" w:sz="4" w:space="0" w:color="auto"/>
            </w:tcBorders>
            <w:shd w:val="clear" w:color="auto" w:fill="FFFFFF"/>
          </w:tcPr>
          <w:p w14:paraId="3D22B906"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tcBorders>
            <w:shd w:val="clear" w:color="auto" w:fill="FFFFFF"/>
          </w:tcPr>
          <w:p w14:paraId="7820FD2F"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G2</w:t>
            </w:r>
          </w:p>
        </w:tc>
        <w:tc>
          <w:tcPr>
            <w:tcW w:w="2405" w:type="dxa"/>
            <w:tcBorders>
              <w:top w:val="single" w:sz="4" w:space="0" w:color="auto"/>
              <w:left w:val="single" w:sz="4" w:space="0" w:color="auto"/>
            </w:tcBorders>
            <w:shd w:val="clear" w:color="auto" w:fill="FFFFFF"/>
          </w:tcPr>
          <w:p w14:paraId="249DE465"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32</w:t>
            </w:r>
          </w:p>
        </w:tc>
        <w:tc>
          <w:tcPr>
            <w:tcW w:w="2410" w:type="dxa"/>
            <w:tcBorders>
              <w:top w:val="single" w:sz="4" w:space="0" w:color="auto"/>
              <w:left w:val="single" w:sz="4" w:space="0" w:color="auto"/>
              <w:right w:val="single" w:sz="4" w:space="0" w:color="auto"/>
            </w:tcBorders>
            <w:shd w:val="clear" w:color="auto" w:fill="FFFFFF"/>
          </w:tcPr>
          <w:p w14:paraId="584FB4F5"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17</w:t>
            </w:r>
          </w:p>
        </w:tc>
      </w:tr>
      <w:tr w:rsidR="00CA27E3" w:rsidRPr="00D83000" w14:paraId="6DE38C8E" w14:textId="77777777" w:rsidTr="00CA27E3">
        <w:trPr>
          <w:jc w:val="center"/>
        </w:trPr>
        <w:tc>
          <w:tcPr>
            <w:tcW w:w="2405" w:type="dxa"/>
            <w:vMerge/>
            <w:tcBorders>
              <w:left w:val="single" w:sz="4" w:space="0" w:color="auto"/>
            </w:tcBorders>
            <w:shd w:val="clear" w:color="auto" w:fill="FFFFFF"/>
          </w:tcPr>
          <w:p w14:paraId="51B377E4"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bottom w:val="single" w:sz="4" w:space="0" w:color="auto"/>
            </w:tcBorders>
            <w:shd w:val="clear" w:color="auto" w:fill="FFFFFF"/>
          </w:tcPr>
          <w:p w14:paraId="6D0B43A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G3</w:t>
            </w:r>
          </w:p>
        </w:tc>
        <w:tc>
          <w:tcPr>
            <w:tcW w:w="2405" w:type="dxa"/>
            <w:tcBorders>
              <w:top w:val="single" w:sz="4" w:space="0" w:color="auto"/>
              <w:left w:val="single" w:sz="4" w:space="0" w:color="auto"/>
              <w:bottom w:val="single" w:sz="4" w:space="0" w:color="auto"/>
            </w:tcBorders>
            <w:shd w:val="clear" w:color="auto" w:fill="FFFFFF"/>
          </w:tcPr>
          <w:p w14:paraId="642EADF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41</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DD3B56A"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22</w:t>
            </w:r>
          </w:p>
        </w:tc>
      </w:tr>
      <w:tr w:rsidR="00CA27E3" w:rsidRPr="00D83000" w14:paraId="6E276958" w14:textId="77777777" w:rsidTr="00CA27E3">
        <w:trPr>
          <w:jc w:val="center"/>
        </w:trPr>
        <w:tc>
          <w:tcPr>
            <w:tcW w:w="2405" w:type="dxa"/>
            <w:vMerge/>
            <w:tcBorders>
              <w:left w:val="single" w:sz="4" w:space="0" w:color="auto"/>
            </w:tcBorders>
            <w:shd w:val="clear" w:color="auto" w:fill="FFFFFF"/>
          </w:tcPr>
          <w:p w14:paraId="4D9416E6"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bottom w:val="single" w:sz="4" w:space="0" w:color="auto"/>
            </w:tcBorders>
            <w:shd w:val="clear" w:color="auto" w:fill="FFFFFF"/>
          </w:tcPr>
          <w:p w14:paraId="453F646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G4</w:t>
            </w:r>
          </w:p>
        </w:tc>
        <w:tc>
          <w:tcPr>
            <w:tcW w:w="2405" w:type="dxa"/>
            <w:tcBorders>
              <w:top w:val="single" w:sz="4" w:space="0" w:color="auto"/>
              <w:left w:val="single" w:sz="4" w:space="0" w:color="auto"/>
              <w:bottom w:val="single" w:sz="4" w:space="0" w:color="auto"/>
            </w:tcBorders>
            <w:shd w:val="clear" w:color="auto" w:fill="FFFFFF"/>
          </w:tcPr>
          <w:p w14:paraId="2BFA8327"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59</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4486458F"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32</w:t>
            </w:r>
          </w:p>
        </w:tc>
      </w:tr>
      <w:tr w:rsidR="00CA27E3" w:rsidRPr="00D83000" w14:paraId="5223FC6E" w14:textId="77777777" w:rsidTr="00CA27E3">
        <w:trPr>
          <w:jc w:val="center"/>
        </w:trPr>
        <w:tc>
          <w:tcPr>
            <w:tcW w:w="2405" w:type="dxa"/>
            <w:vMerge/>
            <w:tcBorders>
              <w:left w:val="single" w:sz="4" w:space="0" w:color="auto"/>
            </w:tcBorders>
            <w:shd w:val="clear" w:color="auto" w:fill="FFFFFF"/>
          </w:tcPr>
          <w:p w14:paraId="79015278"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bottom w:val="single" w:sz="4" w:space="0" w:color="auto"/>
            </w:tcBorders>
            <w:shd w:val="clear" w:color="auto" w:fill="FFFFFF"/>
          </w:tcPr>
          <w:p w14:paraId="42C5CF6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G5</w:t>
            </w:r>
          </w:p>
        </w:tc>
        <w:tc>
          <w:tcPr>
            <w:tcW w:w="2405" w:type="dxa"/>
            <w:tcBorders>
              <w:top w:val="single" w:sz="4" w:space="0" w:color="auto"/>
              <w:left w:val="single" w:sz="4" w:space="0" w:color="auto"/>
              <w:bottom w:val="single" w:sz="4" w:space="0" w:color="auto"/>
            </w:tcBorders>
            <w:shd w:val="clear" w:color="auto" w:fill="FFFFFF"/>
          </w:tcPr>
          <w:p w14:paraId="39B1E44E"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78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89047E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42</w:t>
            </w:r>
          </w:p>
        </w:tc>
      </w:tr>
      <w:tr w:rsidR="00CA27E3" w:rsidRPr="00D83000" w14:paraId="435FB449" w14:textId="77777777" w:rsidTr="00CA27E3">
        <w:trPr>
          <w:jc w:val="center"/>
        </w:trPr>
        <w:tc>
          <w:tcPr>
            <w:tcW w:w="2405" w:type="dxa"/>
            <w:vMerge/>
            <w:tcBorders>
              <w:left w:val="single" w:sz="4" w:space="0" w:color="auto"/>
            </w:tcBorders>
            <w:shd w:val="clear" w:color="auto" w:fill="FFFFFF"/>
          </w:tcPr>
          <w:p w14:paraId="4997DDC1"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bottom w:val="single" w:sz="4" w:space="0" w:color="auto"/>
            </w:tcBorders>
            <w:shd w:val="clear" w:color="auto" w:fill="FFFFFF"/>
          </w:tcPr>
          <w:p w14:paraId="62230E2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G6</w:t>
            </w:r>
          </w:p>
        </w:tc>
        <w:tc>
          <w:tcPr>
            <w:tcW w:w="2405" w:type="dxa"/>
            <w:tcBorders>
              <w:top w:val="single" w:sz="4" w:space="0" w:color="auto"/>
              <w:left w:val="single" w:sz="4" w:space="0" w:color="auto"/>
              <w:bottom w:val="single" w:sz="4" w:space="0" w:color="auto"/>
            </w:tcBorders>
            <w:shd w:val="clear" w:color="auto" w:fill="FFFFFF"/>
          </w:tcPr>
          <w:p w14:paraId="75E1D9B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98</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746AE1A7"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53</w:t>
            </w:r>
          </w:p>
        </w:tc>
      </w:tr>
      <w:tr w:rsidR="00CA27E3" w:rsidRPr="00D83000" w14:paraId="04F88949" w14:textId="77777777" w:rsidTr="00CA27E3">
        <w:trPr>
          <w:jc w:val="center"/>
        </w:trPr>
        <w:tc>
          <w:tcPr>
            <w:tcW w:w="2405" w:type="dxa"/>
            <w:vMerge/>
            <w:tcBorders>
              <w:left w:val="single" w:sz="4" w:space="0" w:color="auto"/>
              <w:bottom w:val="single" w:sz="4" w:space="0" w:color="auto"/>
            </w:tcBorders>
            <w:shd w:val="clear" w:color="auto" w:fill="FFFFFF"/>
          </w:tcPr>
          <w:p w14:paraId="49942EA8"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bottom w:val="single" w:sz="4" w:space="0" w:color="auto"/>
            </w:tcBorders>
            <w:shd w:val="clear" w:color="auto" w:fill="FFFFFF"/>
          </w:tcPr>
          <w:p w14:paraId="54CED09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G7</w:t>
            </w:r>
          </w:p>
        </w:tc>
        <w:tc>
          <w:tcPr>
            <w:tcW w:w="2405" w:type="dxa"/>
            <w:tcBorders>
              <w:top w:val="single" w:sz="4" w:space="0" w:color="auto"/>
              <w:left w:val="single" w:sz="4" w:space="0" w:color="auto"/>
              <w:bottom w:val="single" w:sz="4" w:space="0" w:color="auto"/>
            </w:tcBorders>
            <w:shd w:val="clear" w:color="auto" w:fill="FFFFFF"/>
          </w:tcPr>
          <w:p w14:paraId="1D2486AC"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133</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1D4F443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72</w:t>
            </w:r>
          </w:p>
        </w:tc>
      </w:tr>
    </w:tbl>
    <w:p w14:paraId="4DB77BCD" w14:textId="77777777" w:rsidR="009338B9" w:rsidRPr="00D83000" w:rsidRDefault="009338B9" w:rsidP="004D5828">
      <w:pPr>
        <w:pStyle w:val="Tablecaption20"/>
        <w:shd w:val="clear" w:color="auto" w:fill="auto"/>
        <w:spacing w:after="160" w:line="360" w:lineRule="auto"/>
        <w:jc w:val="both"/>
        <w:rPr>
          <w:rFonts w:ascii="Sylfaen" w:hAnsi="Sylfaen"/>
          <w:sz w:val="20"/>
          <w:szCs w:val="20"/>
        </w:rPr>
      </w:pPr>
      <w:r w:rsidRPr="00D83000">
        <w:rPr>
          <w:rFonts w:ascii="Sylfaen" w:hAnsi="Sylfaen"/>
          <w:sz w:val="20"/>
          <w:szCs w:val="20"/>
        </w:rPr>
        <w:t>* 2020 թվականի սեպտեմբերի 1-ից.</w:t>
      </w:r>
    </w:p>
    <w:p w14:paraId="13154FDA" w14:textId="77777777" w:rsidR="00CA27E3" w:rsidRDefault="009338B9" w:rsidP="009338B9">
      <w:pPr>
        <w:spacing w:after="160" w:line="360" w:lineRule="auto"/>
        <w:jc w:val="both"/>
        <w:rPr>
          <w:rFonts w:ascii="Sylfaen" w:hAnsi="Sylfaen"/>
          <w:sz w:val="20"/>
          <w:szCs w:val="20"/>
          <w:lang w:val="en-US"/>
        </w:rPr>
      </w:pPr>
      <w:r w:rsidRPr="00D83000">
        <w:rPr>
          <w:rFonts w:ascii="Sylfaen" w:hAnsi="Sylfaen"/>
          <w:sz w:val="20"/>
          <w:szCs w:val="20"/>
        </w:rPr>
        <w:t>** 2022 թվականի սեպտեմբերի 1-ից:</w:t>
      </w:r>
    </w:p>
    <w:p w14:paraId="33A512A5" w14:textId="77777777" w:rsidR="009338B9" w:rsidRPr="009338B9" w:rsidRDefault="009338B9" w:rsidP="009338B9">
      <w:pPr>
        <w:spacing w:after="160" w:line="360" w:lineRule="auto"/>
        <w:jc w:val="both"/>
        <w:rPr>
          <w:rFonts w:ascii="Sylfaen" w:hAnsi="Sylfaen"/>
          <w:lang w:val="en-US"/>
        </w:rPr>
      </w:pPr>
    </w:p>
    <w:p w14:paraId="5EC92379" w14:textId="77777777" w:rsidR="009338B9"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1-ին աղյուսակում նշված՝ տեսաքարտերի համար էլեկտրաէներգիայի սպառման թույլատրելի արժեքները չեն տարածվում D կատեգորիայի սեղանի համակարգիչների </w:t>
      </w:r>
      <w:r>
        <w:rPr>
          <w:rFonts w:ascii="Sylfaen" w:hAnsi="Sylfaen"/>
          <w:sz w:val="24"/>
          <w:szCs w:val="24"/>
        </w:rPr>
        <w:t>եւ</w:t>
      </w:r>
      <w:r w:rsidRPr="00CA27E3">
        <w:rPr>
          <w:rFonts w:ascii="Sylfaen" w:hAnsi="Sylfaen"/>
          <w:sz w:val="24"/>
          <w:szCs w:val="24"/>
        </w:rPr>
        <w:t xml:space="preserve"> միաբլոկ սեղանի համակարգիչների վրա, որոնք ունեն հետ</w:t>
      </w:r>
      <w:r>
        <w:rPr>
          <w:rFonts w:ascii="Sylfaen" w:hAnsi="Sylfaen"/>
          <w:sz w:val="24"/>
          <w:szCs w:val="24"/>
        </w:rPr>
        <w:t>եւ</w:t>
      </w:r>
      <w:r w:rsidRPr="00CA27E3">
        <w:rPr>
          <w:rFonts w:ascii="Sylfaen" w:hAnsi="Sylfaen"/>
          <w:sz w:val="24"/>
          <w:szCs w:val="24"/>
        </w:rPr>
        <w:t>յալ տեխնիկական բնութագրերը՝</w:t>
      </w:r>
    </w:p>
    <w:p w14:paraId="6562C97F" w14:textId="77777777" w:rsidR="009338B9" w:rsidRDefault="009338B9">
      <w:pPr>
        <w:rPr>
          <w:rFonts w:ascii="Sylfaen" w:eastAsia="Times New Roman" w:hAnsi="Sylfaen" w:cs="Times New Roman"/>
        </w:rPr>
      </w:pPr>
      <w:r>
        <w:rPr>
          <w:rFonts w:ascii="Sylfaen" w:hAnsi="Sylfaen"/>
        </w:rPr>
        <w:br w:type="page"/>
      </w:r>
    </w:p>
    <w:p w14:paraId="19D90699" w14:textId="77777777" w:rsidR="00CA27E3" w:rsidRPr="00CA27E3" w:rsidRDefault="00CA27E3" w:rsidP="00CA27E3">
      <w:pPr>
        <w:pStyle w:val="Bodytext212"/>
        <w:shd w:val="clear" w:color="auto" w:fill="auto"/>
        <w:spacing w:after="160" w:line="360" w:lineRule="auto"/>
        <w:ind w:firstLine="567"/>
        <w:rPr>
          <w:rFonts w:ascii="Sylfaen" w:hAnsi="Sylfaen"/>
          <w:sz w:val="24"/>
          <w:szCs w:val="24"/>
        </w:rPr>
      </w:pPr>
      <w:r w:rsidRPr="00CA27E3">
        <w:rPr>
          <w:rFonts w:ascii="Sylfaen" w:hAnsi="Sylfaen"/>
          <w:sz w:val="24"/>
          <w:szCs w:val="24"/>
        </w:rPr>
        <w:lastRenderedPageBreak/>
        <w:t>կենտրոնական պրոցեսորում (CPU) առնվազն 6 ֆիզիկական միջուկ.</w:t>
      </w:r>
    </w:p>
    <w:p w14:paraId="35DEDFE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դիսկրետային տեսաքարտը (dGfx) ապահովում է 320 Գբ/վրկ-ից բարձր՝ կադրերի բուֆերի ընդհանուր թողունակությունը.</w:t>
      </w:r>
    </w:p>
    <w:p w14:paraId="42410706" w14:textId="77777777" w:rsidR="00CA27E3" w:rsidRPr="00CA27E3" w:rsidRDefault="00CA27E3" w:rsidP="00CA27E3">
      <w:pPr>
        <w:pStyle w:val="Bodytext212"/>
        <w:shd w:val="clear" w:color="auto" w:fill="auto"/>
        <w:spacing w:after="160" w:line="360" w:lineRule="auto"/>
        <w:ind w:firstLine="567"/>
        <w:rPr>
          <w:rFonts w:ascii="Sylfaen" w:hAnsi="Sylfaen"/>
          <w:sz w:val="24"/>
          <w:szCs w:val="24"/>
        </w:rPr>
      </w:pPr>
      <w:r w:rsidRPr="00CA27E3">
        <w:rPr>
          <w:rFonts w:ascii="Sylfaen" w:hAnsi="Sylfaen"/>
          <w:sz w:val="24"/>
          <w:szCs w:val="24"/>
        </w:rPr>
        <w:t>համակարգային հիշողությունը կազմում է առնվազն 16 Գբ.</w:t>
      </w:r>
    </w:p>
    <w:p w14:paraId="53B7440D" w14:textId="77777777" w:rsidR="00CA27E3" w:rsidRPr="00CA27E3" w:rsidRDefault="00CA27E3" w:rsidP="00CA27E3">
      <w:pPr>
        <w:pStyle w:val="Bodytext212"/>
        <w:shd w:val="clear" w:color="auto" w:fill="auto"/>
        <w:spacing w:after="160" w:line="360" w:lineRule="auto"/>
        <w:ind w:firstLine="567"/>
        <w:rPr>
          <w:rFonts w:ascii="Sylfaen" w:hAnsi="Sylfaen"/>
          <w:sz w:val="24"/>
          <w:szCs w:val="24"/>
        </w:rPr>
      </w:pPr>
      <w:r w:rsidRPr="00CA27E3">
        <w:rPr>
          <w:rFonts w:ascii="Sylfaen" w:hAnsi="Sylfaen"/>
          <w:sz w:val="24"/>
          <w:szCs w:val="24"/>
        </w:rPr>
        <w:t>սնուցման բլոկն ունի առնվազն 1000 Վտ անվանական ելքային հզորություն:</w:t>
      </w:r>
    </w:p>
    <w:p w14:paraId="38BA7C84"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5.</w:t>
      </w:r>
      <w:r w:rsidR="00003F9A" w:rsidRPr="00003F9A">
        <w:rPr>
          <w:rFonts w:ascii="Sylfaen" w:hAnsi="Sylfaen"/>
          <w:sz w:val="24"/>
          <w:szCs w:val="24"/>
        </w:rPr>
        <w:tab/>
      </w:r>
      <w:r w:rsidRPr="00CA27E3">
        <w:rPr>
          <w:rFonts w:ascii="Sylfaen" w:hAnsi="Sylfaen"/>
          <w:sz w:val="24"/>
          <w:szCs w:val="24"/>
        </w:rPr>
        <w:t xml:space="preserve">2022 թվականի սեպտեմբերի 1-ից սեղանի համակարգչի </w:t>
      </w:r>
      <w:r>
        <w:rPr>
          <w:rFonts w:ascii="Sylfaen" w:hAnsi="Sylfaen"/>
          <w:sz w:val="24"/>
          <w:szCs w:val="24"/>
        </w:rPr>
        <w:t>եւ</w:t>
      </w:r>
      <w:r w:rsidRPr="00CA27E3">
        <w:rPr>
          <w:rFonts w:ascii="Sylfaen" w:hAnsi="Sylfaen"/>
          <w:sz w:val="24"/>
          <w:szCs w:val="24"/>
        </w:rPr>
        <w:t xml:space="preserve"> միաբլոկ սեղանի համակարգչի՝ 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 (կՎտժ/տարով) չպետք է գերազանցի՝</w:t>
      </w:r>
    </w:p>
    <w:p w14:paraId="6547ACF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А կատեգորիայի համար՝ 94,00.</w:t>
      </w:r>
    </w:p>
    <w:p w14:paraId="09C377D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B կատեգորիայի համար՝ 112,00.</w:t>
      </w:r>
    </w:p>
    <w:p w14:paraId="2AD9537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С կատեգորիայի համար՝ 134,00.</w:t>
      </w:r>
    </w:p>
    <w:p w14:paraId="6E63C65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D կատեգորիայի համար՝ 150,00:</w:t>
      </w:r>
    </w:p>
    <w:p w14:paraId="04BC9D6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1-ին աղյուսակում բերված՝ դիսկրետային տեսաքարտերի (dGfx) համար էլեկտրաէներգիայի սպառման արժեքների նկատմամբ կիրառվում են փոփոխություններ (Փուլ II):</w:t>
      </w:r>
    </w:p>
    <w:p w14:paraId="52EE0DF7"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6.</w:t>
      </w:r>
      <w:r w:rsidR="00003F9A" w:rsidRPr="00003F9A">
        <w:rPr>
          <w:rFonts w:ascii="Sylfaen" w:hAnsi="Sylfaen"/>
          <w:sz w:val="24"/>
          <w:szCs w:val="24"/>
        </w:rPr>
        <w:tab/>
      </w:r>
      <w:r w:rsidRPr="00CA27E3">
        <w:rPr>
          <w:rFonts w:ascii="Sylfaen" w:hAnsi="Sylfaen"/>
          <w:sz w:val="24"/>
          <w:szCs w:val="24"/>
        </w:rPr>
        <w:t>2020 թվականի սեպտեմբերի 1-ից նոութբուքի՝ 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 xml:space="preserve">) (կՎտժ/տարով) չպետք է գերազանցի՝ </w:t>
      </w:r>
    </w:p>
    <w:p w14:paraId="119AAF60"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А կատեգորիայի համար՝ 36,00. </w:t>
      </w:r>
    </w:p>
    <w:p w14:paraId="7646A5E7"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B կատեգորիայի համար՝ 48,00. </w:t>
      </w:r>
    </w:p>
    <w:p w14:paraId="0F577952"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С կատեգորիայի համար՝ 80,50:</w:t>
      </w:r>
    </w:p>
    <w:p w14:paraId="29D5EF92"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Նոութբուքի՝ 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 հաշվարկվում է հետ</w:t>
      </w:r>
      <w:r>
        <w:rPr>
          <w:rFonts w:ascii="Sylfaen" w:hAnsi="Sylfaen"/>
          <w:sz w:val="24"/>
          <w:szCs w:val="24"/>
        </w:rPr>
        <w:t>եւ</w:t>
      </w:r>
      <w:r w:rsidRPr="00CA27E3">
        <w:rPr>
          <w:rFonts w:ascii="Sylfaen" w:hAnsi="Sylfaen"/>
          <w:sz w:val="24"/>
          <w:szCs w:val="24"/>
        </w:rPr>
        <w:t>յալ բանաձ</w:t>
      </w:r>
      <w:r>
        <w:rPr>
          <w:rFonts w:ascii="Sylfaen" w:hAnsi="Sylfaen"/>
          <w:sz w:val="24"/>
          <w:szCs w:val="24"/>
        </w:rPr>
        <w:t>եւ</w:t>
      </w:r>
      <w:r w:rsidRPr="00CA27E3">
        <w:rPr>
          <w:rFonts w:ascii="Sylfaen" w:hAnsi="Sylfaen"/>
          <w:sz w:val="24"/>
          <w:szCs w:val="24"/>
        </w:rPr>
        <w:t>ով (մինչ</w:t>
      </w:r>
      <w:r>
        <w:rPr>
          <w:rFonts w:ascii="Sylfaen" w:hAnsi="Sylfaen"/>
          <w:sz w:val="24"/>
          <w:szCs w:val="24"/>
        </w:rPr>
        <w:t>եւ</w:t>
      </w:r>
      <w:r w:rsidRPr="00CA27E3">
        <w:rPr>
          <w:rFonts w:ascii="Sylfaen" w:hAnsi="Sylfaen"/>
          <w:sz w:val="24"/>
          <w:szCs w:val="24"/>
        </w:rPr>
        <w:t xml:space="preserve"> 2 տասնորդական նիշ կլորացմամբ)՝</w:t>
      </w:r>
    </w:p>
    <w:p w14:paraId="0F547109" w14:textId="77777777" w:rsidR="00CA27E3" w:rsidRPr="00CA27E3" w:rsidRDefault="00000000" w:rsidP="00003F9A">
      <w:pPr>
        <w:pStyle w:val="Bodytext212"/>
        <w:shd w:val="clear" w:color="auto" w:fill="auto"/>
        <w:spacing w:after="160" w:line="360" w:lineRule="auto"/>
        <w:ind w:firstLine="567"/>
        <w:jc w:val="both"/>
        <w:rPr>
          <w:rStyle w:val="Bodytext2SmallCaps"/>
          <w:rFonts w:ascii="Sylfaen" w:hAnsi="Sylfaen"/>
          <w:sz w:val="24"/>
          <w:szCs w:val="24"/>
        </w:rPr>
      </w:pPr>
      <m:oMathPara>
        <m:oMathParaPr>
          <m:jc m:val="center"/>
        </m:oMathParaPr>
        <m:oMath>
          <m:sSub>
            <m:sSubPr>
              <m:ctrlPr>
                <w:rPr>
                  <w:rStyle w:val="Bodytext2SmallCaps"/>
                  <w:rFonts w:ascii="Cambria Math" w:hAnsi="Cambria Math"/>
                  <w:sz w:val="24"/>
                  <w:szCs w:val="24"/>
                </w:rPr>
              </m:ctrlPr>
            </m:sSubPr>
            <m:e>
              <m:r>
                <m:rPr>
                  <m:sty m:val="p"/>
                </m:rPr>
                <w:rPr>
                  <w:rStyle w:val="Bodytext2SmallCaps"/>
                  <w:rFonts w:ascii="Cambria Math" w:hAnsi="Cambria Math"/>
                  <w:sz w:val="24"/>
                  <w:szCs w:val="24"/>
                </w:rPr>
                <m:t>E</m:t>
              </m:r>
            </m:e>
            <m:sub>
              <m:r>
                <m:rPr>
                  <m:sty m:val="p"/>
                </m:rPr>
                <w:rPr>
                  <w:rStyle w:val="Bodytext2SmallCaps"/>
                  <w:rFonts w:ascii="Cambria Math" w:hAnsi="Cambria Math"/>
                  <w:sz w:val="24"/>
                  <w:szCs w:val="24"/>
                </w:rPr>
                <m:t>TEC</m:t>
              </m:r>
            </m:sub>
          </m:sSub>
          <m:r>
            <m:rPr>
              <m:sty m:val="p"/>
            </m:rPr>
            <w:rPr>
              <w:rStyle w:val="Bodytext2SmallCaps"/>
              <w:rFonts w:ascii="Cambria Math" w:hAnsi="Cambria Math"/>
              <w:sz w:val="24"/>
              <w:szCs w:val="24"/>
            </w:rPr>
            <m:t>=(8760/1000)×(0,60×</m:t>
          </m:r>
          <m:sSub>
            <m:sSubPr>
              <m:ctrlPr>
                <w:rPr>
                  <w:rStyle w:val="Bodytext2SmallCaps"/>
                  <w:rFonts w:ascii="Cambria Math" w:hAnsi="Cambria Math"/>
                  <w:sz w:val="24"/>
                  <w:szCs w:val="24"/>
                </w:rPr>
              </m:ctrlPr>
            </m:sSubPr>
            <m:e>
              <m:r>
                <m:rPr>
                  <m:sty m:val="p"/>
                </m:rPr>
                <w:rPr>
                  <w:rStyle w:val="Bodytext2SmallCaps"/>
                  <w:rFonts w:ascii="Cambria Math" w:hAnsi="Cambria Math"/>
                  <w:sz w:val="24"/>
                  <w:szCs w:val="24"/>
                </w:rPr>
                <m:t>P</m:t>
              </m:r>
            </m:e>
            <m:sub>
              <m:r>
                <m:rPr>
                  <m:sty m:val="p"/>
                </m:rPr>
                <w:rPr>
                  <w:rFonts w:ascii="Cambria Math" w:hAnsi="Cambria Math"/>
                  <w:sz w:val="24"/>
                  <w:szCs w:val="24"/>
                  <w:vertAlign w:val="subscript"/>
                </w:rPr>
                <m:t>OFF</m:t>
              </m:r>
            </m:sub>
          </m:sSub>
          <m:r>
            <m:rPr>
              <m:sty m:val="p"/>
            </m:rPr>
            <w:rPr>
              <w:rStyle w:val="Bodytext2SmallCaps"/>
              <w:rFonts w:ascii="Cambria Math" w:hAnsi="Cambria Math"/>
              <w:sz w:val="24"/>
              <w:szCs w:val="24"/>
            </w:rPr>
            <m:t>+0,10×</m:t>
          </m:r>
          <m:sSub>
            <m:sSubPr>
              <m:ctrlPr>
                <w:rPr>
                  <w:rStyle w:val="Bodytext2SmallCaps"/>
                  <w:rFonts w:ascii="Cambria Math" w:hAnsi="Cambria Math"/>
                  <w:sz w:val="24"/>
                  <w:szCs w:val="24"/>
                </w:rPr>
              </m:ctrlPr>
            </m:sSubPr>
            <m:e>
              <m:r>
                <m:rPr>
                  <m:sty m:val="p"/>
                </m:rPr>
                <w:rPr>
                  <w:rStyle w:val="Bodytext2SmallCaps"/>
                  <w:rFonts w:ascii="Cambria Math" w:hAnsi="Cambria Math"/>
                  <w:sz w:val="24"/>
                  <w:szCs w:val="24"/>
                </w:rPr>
                <m:t>P</m:t>
              </m:r>
            </m:e>
            <m:sub>
              <m:r>
                <m:rPr>
                  <m:sty m:val="p"/>
                </m:rPr>
                <w:rPr>
                  <w:rFonts w:ascii="Cambria Math" w:hAnsi="Cambria Math"/>
                  <w:sz w:val="24"/>
                  <w:szCs w:val="24"/>
                  <w:vertAlign w:val="subscript"/>
                </w:rPr>
                <m:t>SLEEP</m:t>
              </m:r>
            </m:sub>
          </m:sSub>
          <m:r>
            <m:rPr>
              <m:sty m:val="p"/>
            </m:rPr>
            <w:rPr>
              <w:rStyle w:val="Bodytext2SmallCaps"/>
              <w:rFonts w:ascii="Cambria Math" w:hAnsi="Cambria Math"/>
              <w:sz w:val="24"/>
              <w:szCs w:val="24"/>
            </w:rPr>
            <m:t>+0,30×</m:t>
          </m:r>
          <m:sSub>
            <m:sSubPr>
              <m:ctrlPr>
                <w:rPr>
                  <w:rStyle w:val="Bodytext2SmallCaps"/>
                  <w:rFonts w:ascii="Cambria Math" w:hAnsi="Cambria Math"/>
                  <w:sz w:val="24"/>
                  <w:szCs w:val="24"/>
                </w:rPr>
              </m:ctrlPr>
            </m:sSubPr>
            <m:e>
              <m:r>
                <m:rPr>
                  <m:sty m:val="p"/>
                </m:rPr>
                <w:rPr>
                  <w:rStyle w:val="Bodytext2SmallCaps"/>
                  <w:rFonts w:ascii="Cambria Math" w:hAnsi="Cambria Math"/>
                  <w:sz w:val="24"/>
                  <w:szCs w:val="24"/>
                </w:rPr>
                <m:t>P</m:t>
              </m:r>
            </m:e>
            <m:sub>
              <m:r>
                <m:rPr>
                  <m:sty m:val="p"/>
                </m:rPr>
                <w:rPr>
                  <w:rFonts w:ascii="Cambria Math" w:hAnsi="Cambria Math"/>
                  <w:sz w:val="24"/>
                  <w:szCs w:val="24"/>
                </w:rPr>
                <m:t>IDLE</m:t>
              </m:r>
            </m:sub>
          </m:sSub>
          <m:r>
            <m:rPr>
              <m:sty m:val="p"/>
            </m:rPr>
            <w:rPr>
              <w:rStyle w:val="Bodytext2SmallCaps"/>
              <w:rFonts w:ascii="Cambria Math" w:hAnsi="Cambria Math"/>
              <w:sz w:val="24"/>
              <w:szCs w:val="24"/>
            </w:rPr>
            <m:t>).</m:t>
          </m:r>
        </m:oMath>
      </m:oMathPara>
    </w:p>
    <w:p w14:paraId="35811434" w14:textId="77777777" w:rsidR="00CA27E3" w:rsidRPr="00CA27E3" w:rsidRDefault="00CA27E3" w:rsidP="00003F9A">
      <w:pPr>
        <w:pStyle w:val="Bodytext212"/>
        <w:shd w:val="clear" w:color="auto" w:fill="auto"/>
        <w:spacing w:after="160" w:line="360" w:lineRule="auto"/>
        <w:ind w:firstLine="567"/>
        <w:jc w:val="both"/>
        <w:rPr>
          <w:rStyle w:val="Bodytext2SmallCaps"/>
          <w:rFonts w:ascii="Sylfaen" w:hAnsi="Sylfaen"/>
          <w:sz w:val="24"/>
          <w:szCs w:val="24"/>
        </w:rPr>
      </w:pPr>
    </w:p>
    <w:p w14:paraId="33F0CFA1"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P</w:t>
      </w:r>
      <w:r w:rsidRPr="00CA27E3">
        <w:rPr>
          <w:rFonts w:ascii="Sylfaen" w:hAnsi="Sylfaen"/>
          <w:sz w:val="24"/>
          <w:szCs w:val="24"/>
          <w:vertAlign w:val="subscript"/>
        </w:rPr>
        <w:t>OFF</w:t>
      </w:r>
      <w:r w:rsidRPr="00CA27E3">
        <w:rPr>
          <w:rFonts w:ascii="Sylfaen" w:hAnsi="Sylfaen"/>
          <w:sz w:val="24"/>
          <w:szCs w:val="24"/>
        </w:rPr>
        <w:t>, P</w:t>
      </w:r>
      <w:r w:rsidRPr="00CA27E3">
        <w:rPr>
          <w:rFonts w:ascii="Sylfaen" w:hAnsi="Sylfaen"/>
          <w:sz w:val="24"/>
          <w:szCs w:val="24"/>
          <w:vertAlign w:val="subscript"/>
        </w:rPr>
        <w:t>SLEEP</w:t>
      </w:r>
      <w:r w:rsidRPr="00CA27E3">
        <w:rPr>
          <w:rFonts w:ascii="Sylfaen" w:hAnsi="Sylfaen"/>
          <w:sz w:val="24"/>
          <w:szCs w:val="24"/>
        </w:rPr>
        <w:t xml:space="preserve"> </w:t>
      </w:r>
      <w:r>
        <w:rPr>
          <w:rFonts w:ascii="Sylfaen" w:hAnsi="Sylfaen"/>
          <w:sz w:val="24"/>
          <w:szCs w:val="24"/>
        </w:rPr>
        <w:t>եւ</w:t>
      </w:r>
      <w:r w:rsidRPr="00CA27E3">
        <w:rPr>
          <w:rFonts w:ascii="Sylfaen" w:hAnsi="Sylfaen"/>
          <w:sz w:val="24"/>
          <w:szCs w:val="24"/>
        </w:rPr>
        <w:t xml:space="preserve"> P</w:t>
      </w:r>
      <w:r w:rsidRPr="00CA27E3">
        <w:rPr>
          <w:rFonts w:ascii="Sylfaen" w:hAnsi="Sylfaen"/>
          <w:sz w:val="24"/>
          <w:szCs w:val="24"/>
          <w:vertAlign w:val="subscript"/>
        </w:rPr>
        <w:t>IDLE</w:t>
      </w:r>
      <w:r w:rsidRPr="00CA27E3">
        <w:rPr>
          <w:rFonts w:ascii="Sylfaen" w:hAnsi="Sylfaen"/>
          <w:sz w:val="24"/>
          <w:szCs w:val="24"/>
        </w:rPr>
        <w:t xml:space="preserve"> չափումների ժամանակ կիրառվում են նոութբուքի բաղադրիչների համար էլեկտրաէներգիայի սպառման հետ</w:t>
      </w:r>
      <w:r>
        <w:rPr>
          <w:rFonts w:ascii="Sylfaen" w:hAnsi="Sylfaen"/>
          <w:sz w:val="24"/>
          <w:szCs w:val="24"/>
        </w:rPr>
        <w:t>եւ</w:t>
      </w:r>
      <w:r w:rsidRPr="00CA27E3">
        <w:rPr>
          <w:rFonts w:ascii="Sylfaen" w:hAnsi="Sylfaen"/>
          <w:sz w:val="24"/>
          <w:szCs w:val="24"/>
        </w:rPr>
        <w:t>յալ արժեքները՝</w:t>
      </w:r>
    </w:p>
    <w:p w14:paraId="385A2AEE"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օպերատիվ հիշողություն՝ նոութբուքերի համար 4 Գբ կազմող բազային ծավալից ավելի յուրաքանչյուր գիգաբայթի (Գբ) համար՝ 0,4 կՎտժ/տարի.</w:t>
      </w:r>
    </w:p>
    <w:p w14:paraId="762DC553"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լրացուցիչ ներքին հիշողություն՝ 3 կՎտժ/տարի.</w:t>
      </w:r>
    </w:p>
    <w:p w14:paraId="54F7EB53"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դիսկրետային ՀՏ-տյուներ՝ 2,1 կՎտժ/տարի.</w:t>
      </w:r>
    </w:p>
    <w:p w14:paraId="460BB7D4"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առաջին դիսկրետային տեսաքարտի (dGfx) </w:t>
      </w:r>
      <w:r>
        <w:rPr>
          <w:rFonts w:ascii="Sylfaen" w:hAnsi="Sylfaen"/>
          <w:sz w:val="24"/>
          <w:szCs w:val="24"/>
        </w:rPr>
        <w:t>եւ</w:t>
      </w:r>
      <w:r w:rsidRPr="00CA27E3">
        <w:rPr>
          <w:rFonts w:ascii="Sylfaen" w:hAnsi="Sylfaen"/>
          <w:sz w:val="24"/>
          <w:szCs w:val="24"/>
        </w:rPr>
        <w:t xml:space="preserve"> յուրաքանչյուր լրացուցիչ դիսկրետային տեսաքարտի (dGfx) համար սպառումը բերված է 2-րդ աղյուսակում (Փուլ I):</w:t>
      </w:r>
    </w:p>
    <w:p w14:paraId="4A981057" w14:textId="77777777" w:rsidR="00CA27E3" w:rsidRPr="00CA27E3" w:rsidRDefault="00CA27E3" w:rsidP="00003F9A">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2-րդ աղյուսակում նշված՝ դիսկրետային տեսաքարտերի (dGfx) </w:t>
      </w:r>
      <w:r>
        <w:rPr>
          <w:rFonts w:ascii="Sylfaen" w:hAnsi="Sylfaen"/>
          <w:sz w:val="24"/>
          <w:szCs w:val="24"/>
        </w:rPr>
        <w:t>եւ</w:t>
      </w:r>
      <w:r w:rsidRPr="00CA27E3">
        <w:rPr>
          <w:rFonts w:ascii="Sylfaen" w:hAnsi="Sylfaen"/>
          <w:sz w:val="24"/>
          <w:szCs w:val="24"/>
        </w:rPr>
        <w:t xml:space="preserve"> դիսկրետային ՀՏ-տյուներների համար էլեկտրաէներգիայի սպառման արժեքները կիրառվում են միայն այն տեսաքարտերի </w:t>
      </w:r>
      <w:r>
        <w:rPr>
          <w:rFonts w:ascii="Sylfaen" w:hAnsi="Sylfaen"/>
          <w:sz w:val="24"/>
          <w:szCs w:val="24"/>
        </w:rPr>
        <w:t>եւ</w:t>
      </w:r>
      <w:r w:rsidRPr="00CA27E3">
        <w:rPr>
          <w:rFonts w:ascii="Sylfaen" w:hAnsi="Sylfaen"/>
          <w:sz w:val="24"/>
          <w:szCs w:val="24"/>
        </w:rPr>
        <w:t xml:space="preserve"> տյուներների նկատմամբ, որոնք օգտագործվում են նոութբուքերի փորձարկման ժամանակ:</w:t>
      </w:r>
    </w:p>
    <w:p w14:paraId="46B7A8A8" w14:textId="77777777" w:rsidR="00CA27E3" w:rsidRPr="00CA27E3" w:rsidRDefault="00CA27E3" w:rsidP="00CA27E3">
      <w:pPr>
        <w:spacing w:after="160" w:line="360" w:lineRule="auto"/>
        <w:rPr>
          <w:rFonts w:ascii="Sylfaen" w:eastAsia="Times New Roman" w:hAnsi="Sylfaen" w:cs="Times New Roman"/>
        </w:rPr>
      </w:pPr>
      <w:r w:rsidRPr="00CA27E3">
        <w:rPr>
          <w:rFonts w:ascii="Sylfaen" w:hAnsi="Sylfaen"/>
        </w:rPr>
        <w:br w:type="page"/>
      </w:r>
    </w:p>
    <w:p w14:paraId="0ECE00B6" w14:textId="77777777" w:rsidR="00CA27E3" w:rsidRPr="00CA27E3" w:rsidRDefault="00CA27E3" w:rsidP="00CA27E3">
      <w:pPr>
        <w:pStyle w:val="Tablecaption20"/>
        <w:shd w:val="clear" w:color="auto" w:fill="auto"/>
        <w:spacing w:after="160" w:line="360" w:lineRule="auto"/>
        <w:jc w:val="right"/>
        <w:rPr>
          <w:rFonts w:ascii="Sylfaen" w:hAnsi="Sylfaen"/>
          <w:sz w:val="24"/>
          <w:szCs w:val="24"/>
        </w:rPr>
      </w:pPr>
      <w:r w:rsidRPr="00CA27E3">
        <w:rPr>
          <w:rFonts w:ascii="Sylfaen" w:hAnsi="Sylfaen"/>
          <w:sz w:val="24"/>
          <w:szCs w:val="24"/>
        </w:rPr>
        <w:lastRenderedPageBreak/>
        <w:t>Աղյուսակ 2</w:t>
      </w:r>
    </w:p>
    <w:p w14:paraId="0FFE0B21" w14:textId="77777777" w:rsidR="00CA27E3" w:rsidRPr="00CA27E3" w:rsidRDefault="00CA27E3" w:rsidP="00CA27E3">
      <w:pPr>
        <w:pStyle w:val="Tablecaption20"/>
        <w:shd w:val="clear" w:color="auto" w:fill="auto"/>
        <w:spacing w:after="160" w:line="360" w:lineRule="auto"/>
        <w:rPr>
          <w:rFonts w:ascii="Sylfaen" w:hAnsi="Sylfaen"/>
          <w:sz w:val="24"/>
          <w:szCs w:val="24"/>
        </w:rPr>
      </w:pPr>
      <w:r w:rsidRPr="00CA27E3">
        <w:rPr>
          <w:rFonts w:ascii="Sylfaen" w:hAnsi="Sylfaen"/>
          <w:sz w:val="24"/>
          <w:szCs w:val="24"/>
        </w:rPr>
        <w:t>Նոութբութի տեսաքարտերի համար էլեկտրաէներգիայի տարեկան սպառումը</w:t>
      </w:r>
    </w:p>
    <w:tbl>
      <w:tblPr>
        <w:tblOverlap w:val="never"/>
        <w:tblW w:w="9620" w:type="dxa"/>
        <w:jc w:val="center"/>
        <w:tblLayout w:type="fixed"/>
        <w:tblCellMar>
          <w:left w:w="10" w:type="dxa"/>
          <w:right w:w="10" w:type="dxa"/>
        </w:tblCellMar>
        <w:tblLook w:val="04A0" w:firstRow="1" w:lastRow="0" w:firstColumn="1" w:lastColumn="0" w:noHBand="0" w:noVBand="1"/>
      </w:tblPr>
      <w:tblGrid>
        <w:gridCol w:w="2405"/>
        <w:gridCol w:w="2400"/>
        <w:gridCol w:w="2405"/>
        <w:gridCol w:w="2410"/>
      </w:tblGrid>
      <w:tr w:rsidR="00CA27E3" w:rsidRPr="00D83000" w14:paraId="2C1E1823" w14:textId="77777777" w:rsidTr="009338B9">
        <w:trPr>
          <w:jc w:val="center"/>
        </w:trPr>
        <w:tc>
          <w:tcPr>
            <w:tcW w:w="2405" w:type="dxa"/>
            <w:vMerge w:val="restart"/>
            <w:tcBorders>
              <w:top w:val="single" w:sz="4" w:space="0" w:color="auto"/>
              <w:left w:val="single" w:sz="4" w:space="0" w:color="auto"/>
            </w:tcBorders>
            <w:shd w:val="clear" w:color="auto" w:fill="FFFFFF"/>
            <w:vAlign w:val="center"/>
          </w:tcPr>
          <w:p w14:paraId="1FFDAFA1"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Տեսաքարտեր</w:t>
            </w:r>
          </w:p>
        </w:tc>
        <w:tc>
          <w:tcPr>
            <w:tcW w:w="2400" w:type="dxa"/>
            <w:vMerge w:val="restart"/>
            <w:tcBorders>
              <w:top w:val="single" w:sz="4" w:space="0" w:color="auto"/>
              <w:left w:val="single" w:sz="4" w:space="0" w:color="auto"/>
            </w:tcBorders>
            <w:shd w:val="clear" w:color="auto" w:fill="FFFFFF"/>
            <w:vAlign w:val="center"/>
          </w:tcPr>
          <w:p w14:paraId="624787A2"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dGfx կատեգորիա</w:t>
            </w:r>
          </w:p>
        </w:tc>
        <w:tc>
          <w:tcPr>
            <w:tcW w:w="4815" w:type="dxa"/>
            <w:gridSpan w:val="2"/>
            <w:tcBorders>
              <w:top w:val="single" w:sz="4" w:space="0" w:color="auto"/>
              <w:left w:val="single" w:sz="4" w:space="0" w:color="auto"/>
              <w:right w:val="single" w:sz="4" w:space="0" w:color="auto"/>
            </w:tcBorders>
            <w:shd w:val="clear" w:color="auto" w:fill="FFFFFF"/>
          </w:tcPr>
          <w:p w14:paraId="6D2B2B0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Սպառումը մեկ տարում (կՎտժ/տարի)</w:t>
            </w:r>
          </w:p>
        </w:tc>
      </w:tr>
      <w:tr w:rsidR="00CA27E3" w:rsidRPr="00D83000" w14:paraId="5A653282" w14:textId="77777777" w:rsidTr="00CA27E3">
        <w:trPr>
          <w:jc w:val="center"/>
        </w:trPr>
        <w:tc>
          <w:tcPr>
            <w:tcW w:w="2405" w:type="dxa"/>
            <w:vMerge/>
            <w:tcBorders>
              <w:left w:val="single" w:sz="4" w:space="0" w:color="auto"/>
            </w:tcBorders>
            <w:shd w:val="clear" w:color="auto" w:fill="FFFFFF"/>
          </w:tcPr>
          <w:p w14:paraId="1990CEE8" w14:textId="77777777" w:rsidR="00CA27E3" w:rsidRPr="00D83000" w:rsidRDefault="00CA27E3" w:rsidP="00D83000">
            <w:pPr>
              <w:spacing w:after="120"/>
              <w:rPr>
                <w:rFonts w:ascii="Sylfaen" w:hAnsi="Sylfaen"/>
                <w:sz w:val="20"/>
                <w:szCs w:val="20"/>
              </w:rPr>
            </w:pPr>
          </w:p>
        </w:tc>
        <w:tc>
          <w:tcPr>
            <w:tcW w:w="2400" w:type="dxa"/>
            <w:vMerge/>
            <w:tcBorders>
              <w:left w:val="single" w:sz="4" w:space="0" w:color="auto"/>
            </w:tcBorders>
            <w:shd w:val="clear" w:color="auto" w:fill="FFFFFF"/>
          </w:tcPr>
          <w:p w14:paraId="635E6C1A" w14:textId="77777777" w:rsidR="00CA27E3" w:rsidRPr="00D83000" w:rsidRDefault="00CA27E3" w:rsidP="00D83000">
            <w:pPr>
              <w:spacing w:after="120"/>
              <w:rPr>
                <w:rFonts w:ascii="Sylfaen" w:hAnsi="Sylfaen"/>
                <w:sz w:val="20"/>
                <w:szCs w:val="20"/>
              </w:rPr>
            </w:pPr>
          </w:p>
        </w:tc>
        <w:tc>
          <w:tcPr>
            <w:tcW w:w="2405" w:type="dxa"/>
            <w:tcBorders>
              <w:top w:val="single" w:sz="4" w:space="0" w:color="auto"/>
              <w:left w:val="single" w:sz="4" w:space="0" w:color="auto"/>
            </w:tcBorders>
            <w:shd w:val="clear" w:color="auto" w:fill="FFFFFF"/>
          </w:tcPr>
          <w:p w14:paraId="386608C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Փուլ I*</w:t>
            </w:r>
          </w:p>
        </w:tc>
        <w:tc>
          <w:tcPr>
            <w:tcW w:w="2410" w:type="dxa"/>
            <w:tcBorders>
              <w:top w:val="single" w:sz="4" w:space="0" w:color="auto"/>
              <w:left w:val="single" w:sz="4" w:space="0" w:color="auto"/>
              <w:right w:val="single" w:sz="4" w:space="0" w:color="auto"/>
            </w:tcBorders>
            <w:shd w:val="clear" w:color="auto" w:fill="FFFFFF"/>
          </w:tcPr>
          <w:p w14:paraId="3D6B59EA"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Fonts w:ascii="Sylfaen" w:hAnsi="Sylfaen"/>
                <w:sz w:val="20"/>
                <w:szCs w:val="20"/>
              </w:rPr>
              <w:t>Փուլ II**</w:t>
            </w:r>
          </w:p>
        </w:tc>
      </w:tr>
      <w:tr w:rsidR="00CA27E3" w:rsidRPr="00D83000" w14:paraId="7DA55171" w14:textId="77777777" w:rsidTr="009338B9">
        <w:trPr>
          <w:jc w:val="center"/>
        </w:trPr>
        <w:tc>
          <w:tcPr>
            <w:tcW w:w="2405" w:type="dxa"/>
            <w:vMerge w:val="restart"/>
            <w:tcBorders>
              <w:top w:val="single" w:sz="4" w:space="0" w:color="auto"/>
              <w:left w:val="single" w:sz="4" w:space="0" w:color="auto"/>
            </w:tcBorders>
            <w:shd w:val="clear" w:color="auto" w:fill="FFFFFF"/>
            <w:vAlign w:val="center"/>
          </w:tcPr>
          <w:p w14:paraId="774F9085" w14:textId="77777777" w:rsidR="00CA27E3" w:rsidRPr="00D83000" w:rsidRDefault="00CA27E3" w:rsidP="009338B9">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Առաջին դիսկրետային տեսաքարտը (dGfx)</w:t>
            </w:r>
          </w:p>
        </w:tc>
        <w:tc>
          <w:tcPr>
            <w:tcW w:w="2400" w:type="dxa"/>
            <w:tcBorders>
              <w:top w:val="single" w:sz="4" w:space="0" w:color="auto"/>
              <w:left w:val="single" w:sz="4" w:space="0" w:color="auto"/>
            </w:tcBorders>
            <w:shd w:val="clear" w:color="auto" w:fill="FFFFFF"/>
          </w:tcPr>
          <w:p w14:paraId="426842B7"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G1</w:t>
            </w:r>
          </w:p>
        </w:tc>
        <w:tc>
          <w:tcPr>
            <w:tcW w:w="2405" w:type="dxa"/>
            <w:tcBorders>
              <w:top w:val="single" w:sz="4" w:space="0" w:color="auto"/>
              <w:left w:val="single" w:sz="4" w:space="0" w:color="auto"/>
            </w:tcBorders>
            <w:shd w:val="clear" w:color="auto" w:fill="FFFFFF"/>
          </w:tcPr>
          <w:p w14:paraId="34D43ED2"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12</w:t>
            </w:r>
          </w:p>
        </w:tc>
        <w:tc>
          <w:tcPr>
            <w:tcW w:w="2410" w:type="dxa"/>
            <w:tcBorders>
              <w:top w:val="single" w:sz="4" w:space="0" w:color="auto"/>
              <w:left w:val="single" w:sz="4" w:space="0" w:color="auto"/>
              <w:right w:val="single" w:sz="4" w:space="0" w:color="auto"/>
            </w:tcBorders>
            <w:shd w:val="clear" w:color="auto" w:fill="FFFFFF"/>
          </w:tcPr>
          <w:p w14:paraId="4D7ADE0C"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7</w:t>
            </w:r>
          </w:p>
        </w:tc>
      </w:tr>
      <w:tr w:rsidR="00CA27E3" w:rsidRPr="00D83000" w14:paraId="1CF93FAC" w14:textId="77777777" w:rsidTr="009338B9">
        <w:trPr>
          <w:jc w:val="center"/>
        </w:trPr>
        <w:tc>
          <w:tcPr>
            <w:tcW w:w="2405" w:type="dxa"/>
            <w:vMerge/>
            <w:tcBorders>
              <w:left w:val="single" w:sz="4" w:space="0" w:color="auto"/>
            </w:tcBorders>
            <w:shd w:val="clear" w:color="auto" w:fill="FFFFFF"/>
            <w:vAlign w:val="center"/>
          </w:tcPr>
          <w:p w14:paraId="4A324925"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062CFC4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G2</w:t>
            </w:r>
          </w:p>
        </w:tc>
        <w:tc>
          <w:tcPr>
            <w:tcW w:w="2405" w:type="dxa"/>
            <w:tcBorders>
              <w:top w:val="single" w:sz="4" w:space="0" w:color="auto"/>
              <w:left w:val="single" w:sz="4" w:space="0" w:color="auto"/>
            </w:tcBorders>
            <w:shd w:val="clear" w:color="auto" w:fill="FFFFFF"/>
          </w:tcPr>
          <w:p w14:paraId="06D67EC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20</w:t>
            </w:r>
          </w:p>
        </w:tc>
        <w:tc>
          <w:tcPr>
            <w:tcW w:w="2410" w:type="dxa"/>
            <w:tcBorders>
              <w:top w:val="single" w:sz="4" w:space="0" w:color="auto"/>
              <w:left w:val="single" w:sz="4" w:space="0" w:color="auto"/>
              <w:right w:val="single" w:sz="4" w:space="0" w:color="auto"/>
            </w:tcBorders>
            <w:shd w:val="clear" w:color="auto" w:fill="FFFFFF"/>
          </w:tcPr>
          <w:p w14:paraId="6DCAED29"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11</w:t>
            </w:r>
          </w:p>
        </w:tc>
      </w:tr>
      <w:tr w:rsidR="00CA27E3" w:rsidRPr="00D83000" w14:paraId="38192B0E" w14:textId="77777777" w:rsidTr="009338B9">
        <w:trPr>
          <w:jc w:val="center"/>
        </w:trPr>
        <w:tc>
          <w:tcPr>
            <w:tcW w:w="2405" w:type="dxa"/>
            <w:vMerge/>
            <w:tcBorders>
              <w:left w:val="single" w:sz="4" w:space="0" w:color="auto"/>
            </w:tcBorders>
            <w:shd w:val="clear" w:color="auto" w:fill="FFFFFF"/>
            <w:vAlign w:val="center"/>
          </w:tcPr>
          <w:p w14:paraId="210C740A"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75CC733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G3</w:t>
            </w:r>
          </w:p>
        </w:tc>
        <w:tc>
          <w:tcPr>
            <w:tcW w:w="2405" w:type="dxa"/>
            <w:tcBorders>
              <w:top w:val="single" w:sz="4" w:space="0" w:color="auto"/>
              <w:left w:val="single" w:sz="4" w:space="0" w:color="auto"/>
            </w:tcBorders>
            <w:shd w:val="clear" w:color="auto" w:fill="FFFFFF"/>
          </w:tcPr>
          <w:p w14:paraId="3F6C8E59"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26</w:t>
            </w:r>
          </w:p>
        </w:tc>
        <w:tc>
          <w:tcPr>
            <w:tcW w:w="2410" w:type="dxa"/>
            <w:tcBorders>
              <w:top w:val="single" w:sz="4" w:space="0" w:color="auto"/>
              <w:left w:val="single" w:sz="4" w:space="0" w:color="auto"/>
              <w:right w:val="single" w:sz="4" w:space="0" w:color="auto"/>
            </w:tcBorders>
            <w:shd w:val="clear" w:color="auto" w:fill="FFFFFF"/>
          </w:tcPr>
          <w:p w14:paraId="429DBAEF"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13</w:t>
            </w:r>
          </w:p>
        </w:tc>
      </w:tr>
      <w:tr w:rsidR="00CA27E3" w:rsidRPr="00D83000" w14:paraId="44F28B60" w14:textId="77777777" w:rsidTr="009338B9">
        <w:trPr>
          <w:jc w:val="center"/>
        </w:trPr>
        <w:tc>
          <w:tcPr>
            <w:tcW w:w="2405" w:type="dxa"/>
            <w:vMerge/>
            <w:tcBorders>
              <w:left w:val="single" w:sz="4" w:space="0" w:color="auto"/>
            </w:tcBorders>
            <w:shd w:val="clear" w:color="auto" w:fill="FFFFFF"/>
            <w:vAlign w:val="center"/>
          </w:tcPr>
          <w:p w14:paraId="389595D2"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5DA17C0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G4</w:t>
            </w:r>
          </w:p>
        </w:tc>
        <w:tc>
          <w:tcPr>
            <w:tcW w:w="2405" w:type="dxa"/>
            <w:tcBorders>
              <w:top w:val="single" w:sz="4" w:space="0" w:color="auto"/>
              <w:left w:val="single" w:sz="4" w:space="0" w:color="auto"/>
            </w:tcBorders>
            <w:shd w:val="clear" w:color="auto" w:fill="FFFFFF"/>
          </w:tcPr>
          <w:p w14:paraId="17209B4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37</w:t>
            </w:r>
          </w:p>
        </w:tc>
        <w:tc>
          <w:tcPr>
            <w:tcW w:w="2410" w:type="dxa"/>
            <w:tcBorders>
              <w:top w:val="single" w:sz="4" w:space="0" w:color="auto"/>
              <w:left w:val="single" w:sz="4" w:space="0" w:color="auto"/>
              <w:right w:val="single" w:sz="4" w:space="0" w:color="auto"/>
            </w:tcBorders>
            <w:shd w:val="clear" w:color="auto" w:fill="FFFFFF"/>
          </w:tcPr>
          <w:p w14:paraId="58F187C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20</w:t>
            </w:r>
          </w:p>
        </w:tc>
      </w:tr>
      <w:tr w:rsidR="00CA27E3" w:rsidRPr="00D83000" w14:paraId="625FD61E" w14:textId="77777777" w:rsidTr="009338B9">
        <w:trPr>
          <w:jc w:val="center"/>
        </w:trPr>
        <w:tc>
          <w:tcPr>
            <w:tcW w:w="2405" w:type="dxa"/>
            <w:vMerge/>
            <w:tcBorders>
              <w:left w:val="single" w:sz="4" w:space="0" w:color="auto"/>
            </w:tcBorders>
            <w:shd w:val="clear" w:color="auto" w:fill="FFFFFF"/>
            <w:vAlign w:val="center"/>
          </w:tcPr>
          <w:p w14:paraId="27D9B08D"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6556E06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G5</w:t>
            </w:r>
          </w:p>
        </w:tc>
        <w:tc>
          <w:tcPr>
            <w:tcW w:w="2405" w:type="dxa"/>
            <w:tcBorders>
              <w:top w:val="single" w:sz="4" w:space="0" w:color="auto"/>
              <w:left w:val="single" w:sz="4" w:space="0" w:color="auto"/>
            </w:tcBorders>
            <w:shd w:val="clear" w:color="auto" w:fill="FFFFFF"/>
          </w:tcPr>
          <w:p w14:paraId="50EC68D9"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49</w:t>
            </w:r>
          </w:p>
        </w:tc>
        <w:tc>
          <w:tcPr>
            <w:tcW w:w="2410" w:type="dxa"/>
            <w:tcBorders>
              <w:top w:val="single" w:sz="4" w:space="0" w:color="auto"/>
              <w:left w:val="single" w:sz="4" w:space="0" w:color="auto"/>
              <w:right w:val="single" w:sz="4" w:space="0" w:color="auto"/>
            </w:tcBorders>
            <w:shd w:val="clear" w:color="auto" w:fill="FFFFFF"/>
          </w:tcPr>
          <w:p w14:paraId="187F2FF7"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27</w:t>
            </w:r>
          </w:p>
        </w:tc>
      </w:tr>
      <w:tr w:rsidR="00CA27E3" w:rsidRPr="00D83000" w14:paraId="2512A232" w14:textId="77777777" w:rsidTr="009338B9">
        <w:trPr>
          <w:jc w:val="center"/>
        </w:trPr>
        <w:tc>
          <w:tcPr>
            <w:tcW w:w="2405" w:type="dxa"/>
            <w:vMerge/>
            <w:tcBorders>
              <w:left w:val="single" w:sz="4" w:space="0" w:color="auto"/>
            </w:tcBorders>
            <w:shd w:val="clear" w:color="auto" w:fill="FFFFFF"/>
            <w:vAlign w:val="center"/>
          </w:tcPr>
          <w:p w14:paraId="11A6305E"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2F9A361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G6</w:t>
            </w:r>
          </w:p>
        </w:tc>
        <w:tc>
          <w:tcPr>
            <w:tcW w:w="2405" w:type="dxa"/>
            <w:tcBorders>
              <w:top w:val="single" w:sz="4" w:space="0" w:color="auto"/>
              <w:left w:val="single" w:sz="4" w:space="0" w:color="auto"/>
            </w:tcBorders>
            <w:shd w:val="clear" w:color="auto" w:fill="FFFFFF"/>
          </w:tcPr>
          <w:p w14:paraId="4A1A66E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61</w:t>
            </w:r>
          </w:p>
        </w:tc>
        <w:tc>
          <w:tcPr>
            <w:tcW w:w="2410" w:type="dxa"/>
            <w:tcBorders>
              <w:top w:val="single" w:sz="4" w:space="0" w:color="auto"/>
              <w:left w:val="single" w:sz="4" w:space="0" w:color="auto"/>
              <w:right w:val="single" w:sz="4" w:space="0" w:color="auto"/>
            </w:tcBorders>
            <w:shd w:val="clear" w:color="auto" w:fill="FFFFFF"/>
          </w:tcPr>
          <w:p w14:paraId="71E97AA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33</w:t>
            </w:r>
          </w:p>
        </w:tc>
      </w:tr>
      <w:tr w:rsidR="00CA27E3" w:rsidRPr="00D83000" w14:paraId="74DAA8EB" w14:textId="77777777" w:rsidTr="009338B9">
        <w:trPr>
          <w:jc w:val="center"/>
        </w:trPr>
        <w:tc>
          <w:tcPr>
            <w:tcW w:w="2405" w:type="dxa"/>
            <w:vMerge/>
            <w:tcBorders>
              <w:left w:val="single" w:sz="4" w:space="0" w:color="auto"/>
            </w:tcBorders>
            <w:shd w:val="clear" w:color="auto" w:fill="FFFFFF"/>
            <w:vAlign w:val="center"/>
          </w:tcPr>
          <w:p w14:paraId="56E5300E" w14:textId="77777777" w:rsidR="00CA27E3" w:rsidRPr="00D83000" w:rsidRDefault="00CA27E3" w:rsidP="009338B9">
            <w:pPr>
              <w:spacing w:after="120"/>
              <w:jc w:val="center"/>
              <w:rPr>
                <w:rFonts w:ascii="Sylfaen" w:hAnsi="Sylfaen"/>
                <w:sz w:val="20"/>
                <w:szCs w:val="20"/>
              </w:rPr>
            </w:pPr>
          </w:p>
        </w:tc>
        <w:tc>
          <w:tcPr>
            <w:tcW w:w="2400" w:type="dxa"/>
            <w:tcBorders>
              <w:top w:val="single" w:sz="4" w:space="0" w:color="auto"/>
              <w:left w:val="single" w:sz="4" w:space="0" w:color="auto"/>
            </w:tcBorders>
            <w:shd w:val="clear" w:color="auto" w:fill="FFFFFF"/>
          </w:tcPr>
          <w:p w14:paraId="3171656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G7</w:t>
            </w:r>
          </w:p>
        </w:tc>
        <w:tc>
          <w:tcPr>
            <w:tcW w:w="2405" w:type="dxa"/>
            <w:tcBorders>
              <w:top w:val="single" w:sz="4" w:space="0" w:color="auto"/>
              <w:left w:val="single" w:sz="4" w:space="0" w:color="auto"/>
            </w:tcBorders>
            <w:shd w:val="clear" w:color="auto" w:fill="FFFFFF"/>
          </w:tcPr>
          <w:p w14:paraId="664BCB80"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113</w:t>
            </w:r>
          </w:p>
        </w:tc>
        <w:tc>
          <w:tcPr>
            <w:tcW w:w="2410" w:type="dxa"/>
            <w:tcBorders>
              <w:top w:val="single" w:sz="4" w:space="0" w:color="auto"/>
              <w:left w:val="single" w:sz="4" w:space="0" w:color="auto"/>
              <w:right w:val="single" w:sz="4" w:space="0" w:color="auto"/>
            </w:tcBorders>
            <w:shd w:val="clear" w:color="auto" w:fill="FFFFFF"/>
          </w:tcPr>
          <w:p w14:paraId="04CAD85A"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61</w:t>
            </w:r>
          </w:p>
        </w:tc>
      </w:tr>
      <w:tr w:rsidR="00CA27E3" w:rsidRPr="00D83000" w14:paraId="6D3092CD" w14:textId="77777777" w:rsidTr="009338B9">
        <w:trPr>
          <w:jc w:val="center"/>
        </w:trPr>
        <w:tc>
          <w:tcPr>
            <w:tcW w:w="2405" w:type="dxa"/>
            <w:vMerge w:val="restart"/>
            <w:tcBorders>
              <w:top w:val="single" w:sz="4" w:space="0" w:color="auto"/>
              <w:left w:val="single" w:sz="4" w:space="0" w:color="auto"/>
            </w:tcBorders>
            <w:shd w:val="clear" w:color="auto" w:fill="FFFFFF"/>
            <w:vAlign w:val="center"/>
          </w:tcPr>
          <w:p w14:paraId="038F305E" w14:textId="77777777" w:rsidR="00CA27E3" w:rsidRPr="00D83000" w:rsidRDefault="00CA27E3" w:rsidP="009338B9">
            <w:pPr>
              <w:pStyle w:val="Bodytext212"/>
              <w:shd w:val="clear" w:color="auto" w:fill="auto"/>
              <w:spacing w:after="120" w:line="240" w:lineRule="auto"/>
              <w:ind w:right="135" w:firstLine="0"/>
              <w:jc w:val="center"/>
              <w:rPr>
                <w:rFonts w:ascii="Sylfaen" w:hAnsi="Sylfaen"/>
                <w:sz w:val="20"/>
                <w:szCs w:val="20"/>
              </w:rPr>
            </w:pPr>
            <w:r w:rsidRPr="00D83000">
              <w:rPr>
                <w:rStyle w:val="Bodytext211pt"/>
                <w:rFonts w:ascii="Sylfaen" w:hAnsi="Sylfaen"/>
                <w:sz w:val="20"/>
                <w:szCs w:val="20"/>
              </w:rPr>
              <w:t>Յուրաքանչյուր լրացուցիչ դիսկրետային տեսաքարտ (dGfx)</w:t>
            </w:r>
          </w:p>
        </w:tc>
        <w:tc>
          <w:tcPr>
            <w:tcW w:w="2400" w:type="dxa"/>
            <w:tcBorders>
              <w:top w:val="single" w:sz="4" w:space="0" w:color="auto"/>
              <w:left w:val="single" w:sz="4" w:space="0" w:color="auto"/>
            </w:tcBorders>
            <w:shd w:val="clear" w:color="auto" w:fill="FFFFFF"/>
          </w:tcPr>
          <w:p w14:paraId="273F365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G1</w:t>
            </w:r>
          </w:p>
        </w:tc>
        <w:tc>
          <w:tcPr>
            <w:tcW w:w="2405" w:type="dxa"/>
            <w:tcBorders>
              <w:top w:val="single" w:sz="4" w:space="0" w:color="auto"/>
              <w:left w:val="single" w:sz="4" w:space="0" w:color="auto"/>
            </w:tcBorders>
            <w:shd w:val="clear" w:color="auto" w:fill="FFFFFF"/>
          </w:tcPr>
          <w:p w14:paraId="3F14067D"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7</w:t>
            </w:r>
          </w:p>
        </w:tc>
        <w:tc>
          <w:tcPr>
            <w:tcW w:w="2410" w:type="dxa"/>
            <w:tcBorders>
              <w:top w:val="single" w:sz="4" w:space="0" w:color="auto"/>
              <w:left w:val="single" w:sz="4" w:space="0" w:color="auto"/>
              <w:right w:val="single" w:sz="4" w:space="0" w:color="auto"/>
            </w:tcBorders>
            <w:shd w:val="clear" w:color="auto" w:fill="FFFFFF"/>
          </w:tcPr>
          <w:p w14:paraId="7E49B84E"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4</w:t>
            </w:r>
          </w:p>
        </w:tc>
      </w:tr>
      <w:tr w:rsidR="00CA27E3" w:rsidRPr="00D83000" w14:paraId="1FAB1CE9" w14:textId="77777777" w:rsidTr="00CA27E3">
        <w:trPr>
          <w:jc w:val="center"/>
        </w:trPr>
        <w:tc>
          <w:tcPr>
            <w:tcW w:w="2405" w:type="dxa"/>
            <w:vMerge/>
            <w:tcBorders>
              <w:left w:val="single" w:sz="4" w:space="0" w:color="auto"/>
            </w:tcBorders>
            <w:shd w:val="clear" w:color="auto" w:fill="FFFFFF"/>
          </w:tcPr>
          <w:p w14:paraId="7B7CB615"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tcBorders>
            <w:shd w:val="clear" w:color="auto" w:fill="FFFFFF"/>
          </w:tcPr>
          <w:p w14:paraId="7A624E51"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G2</w:t>
            </w:r>
          </w:p>
        </w:tc>
        <w:tc>
          <w:tcPr>
            <w:tcW w:w="2405" w:type="dxa"/>
            <w:tcBorders>
              <w:top w:val="single" w:sz="4" w:space="0" w:color="auto"/>
              <w:left w:val="single" w:sz="4" w:space="0" w:color="auto"/>
            </w:tcBorders>
            <w:shd w:val="clear" w:color="auto" w:fill="FFFFFF"/>
          </w:tcPr>
          <w:p w14:paraId="28638206"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12</w:t>
            </w:r>
          </w:p>
        </w:tc>
        <w:tc>
          <w:tcPr>
            <w:tcW w:w="2410" w:type="dxa"/>
            <w:tcBorders>
              <w:top w:val="single" w:sz="4" w:space="0" w:color="auto"/>
              <w:left w:val="single" w:sz="4" w:space="0" w:color="auto"/>
              <w:right w:val="single" w:sz="4" w:space="0" w:color="auto"/>
            </w:tcBorders>
            <w:shd w:val="clear" w:color="auto" w:fill="FFFFFF"/>
          </w:tcPr>
          <w:p w14:paraId="0C7FD8C1"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6</w:t>
            </w:r>
          </w:p>
        </w:tc>
      </w:tr>
      <w:tr w:rsidR="00CA27E3" w:rsidRPr="00D83000" w14:paraId="4B84B674" w14:textId="77777777" w:rsidTr="00CA27E3">
        <w:trPr>
          <w:jc w:val="center"/>
        </w:trPr>
        <w:tc>
          <w:tcPr>
            <w:tcW w:w="2405" w:type="dxa"/>
            <w:vMerge/>
            <w:tcBorders>
              <w:left w:val="single" w:sz="4" w:space="0" w:color="auto"/>
            </w:tcBorders>
            <w:shd w:val="clear" w:color="auto" w:fill="FFFFFF"/>
          </w:tcPr>
          <w:p w14:paraId="0280E459"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tcBorders>
            <w:shd w:val="clear" w:color="auto" w:fill="FFFFFF"/>
          </w:tcPr>
          <w:p w14:paraId="25C4EBAC"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G3</w:t>
            </w:r>
          </w:p>
        </w:tc>
        <w:tc>
          <w:tcPr>
            <w:tcW w:w="2405" w:type="dxa"/>
            <w:tcBorders>
              <w:top w:val="single" w:sz="4" w:space="0" w:color="auto"/>
              <w:left w:val="single" w:sz="4" w:space="0" w:color="auto"/>
            </w:tcBorders>
            <w:shd w:val="clear" w:color="auto" w:fill="FFFFFF"/>
          </w:tcPr>
          <w:p w14:paraId="0E91E7F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15</w:t>
            </w:r>
          </w:p>
        </w:tc>
        <w:tc>
          <w:tcPr>
            <w:tcW w:w="2410" w:type="dxa"/>
            <w:tcBorders>
              <w:top w:val="single" w:sz="4" w:space="0" w:color="auto"/>
              <w:left w:val="single" w:sz="4" w:space="0" w:color="auto"/>
              <w:right w:val="single" w:sz="4" w:space="0" w:color="auto"/>
            </w:tcBorders>
            <w:shd w:val="clear" w:color="auto" w:fill="FFFFFF"/>
          </w:tcPr>
          <w:p w14:paraId="0E7C242E"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8</w:t>
            </w:r>
          </w:p>
        </w:tc>
      </w:tr>
      <w:tr w:rsidR="00CA27E3" w:rsidRPr="00D83000" w14:paraId="2CFF4B7F" w14:textId="77777777" w:rsidTr="00CA27E3">
        <w:trPr>
          <w:jc w:val="center"/>
        </w:trPr>
        <w:tc>
          <w:tcPr>
            <w:tcW w:w="2405" w:type="dxa"/>
            <w:vMerge/>
            <w:tcBorders>
              <w:left w:val="single" w:sz="4" w:space="0" w:color="auto"/>
            </w:tcBorders>
            <w:shd w:val="clear" w:color="auto" w:fill="FFFFFF"/>
          </w:tcPr>
          <w:p w14:paraId="3D584D64"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tcBorders>
            <w:shd w:val="clear" w:color="auto" w:fill="FFFFFF"/>
          </w:tcPr>
          <w:p w14:paraId="7F9DD99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G4</w:t>
            </w:r>
          </w:p>
        </w:tc>
        <w:tc>
          <w:tcPr>
            <w:tcW w:w="2405" w:type="dxa"/>
            <w:tcBorders>
              <w:top w:val="single" w:sz="4" w:space="0" w:color="auto"/>
              <w:left w:val="single" w:sz="4" w:space="0" w:color="auto"/>
            </w:tcBorders>
            <w:shd w:val="clear" w:color="auto" w:fill="FFFFFF"/>
          </w:tcPr>
          <w:p w14:paraId="65B10451"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22</w:t>
            </w:r>
          </w:p>
        </w:tc>
        <w:tc>
          <w:tcPr>
            <w:tcW w:w="2410" w:type="dxa"/>
            <w:tcBorders>
              <w:top w:val="single" w:sz="4" w:space="0" w:color="auto"/>
              <w:left w:val="single" w:sz="4" w:space="0" w:color="auto"/>
              <w:right w:val="single" w:sz="4" w:space="0" w:color="auto"/>
            </w:tcBorders>
            <w:shd w:val="clear" w:color="auto" w:fill="FFFFFF"/>
          </w:tcPr>
          <w:p w14:paraId="52FF738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12</w:t>
            </w:r>
          </w:p>
        </w:tc>
      </w:tr>
      <w:tr w:rsidR="00CA27E3" w:rsidRPr="00D83000" w14:paraId="4791BC64" w14:textId="77777777" w:rsidTr="00CA27E3">
        <w:trPr>
          <w:jc w:val="center"/>
        </w:trPr>
        <w:tc>
          <w:tcPr>
            <w:tcW w:w="2405" w:type="dxa"/>
            <w:vMerge/>
            <w:tcBorders>
              <w:left w:val="single" w:sz="4" w:space="0" w:color="auto"/>
            </w:tcBorders>
            <w:shd w:val="clear" w:color="auto" w:fill="FFFFFF"/>
          </w:tcPr>
          <w:p w14:paraId="590017FC"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tcBorders>
            <w:shd w:val="clear" w:color="auto" w:fill="FFFFFF"/>
          </w:tcPr>
          <w:p w14:paraId="73A4F802"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G5</w:t>
            </w:r>
          </w:p>
        </w:tc>
        <w:tc>
          <w:tcPr>
            <w:tcW w:w="2405" w:type="dxa"/>
            <w:tcBorders>
              <w:top w:val="single" w:sz="4" w:space="0" w:color="auto"/>
              <w:left w:val="single" w:sz="4" w:space="0" w:color="auto"/>
            </w:tcBorders>
            <w:shd w:val="clear" w:color="auto" w:fill="FFFFFF"/>
          </w:tcPr>
          <w:p w14:paraId="1ACB6049"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29</w:t>
            </w:r>
          </w:p>
        </w:tc>
        <w:tc>
          <w:tcPr>
            <w:tcW w:w="2410" w:type="dxa"/>
            <w:tcBorders>
              <w:top w:val="single" w:sz="4" w:space="0" w:color="auto"/>
              <w:left w:val="single" w:sz="4" w:space="0" w:color="auto"/>
              <w:right w:val="single" w:sz="4" w:space="0" w:color="auto"/>
            </w:tcBorders>
            <w:shd w:val="clear" w:color="auto" w:fill="FFFFFF"/>
          </w:tcPr>
          <w:p w14:paraId="0739983B"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16</w:t>
            </w:r>
          </w:p>
        </w:tc>
      </w:tr>
      <w:tr w:rsidR="00CA27E3" w:rsidRPr="00D83000" w14:paraId="330DC5DA" w14:textId="77777777" w:rsidTr="00CA27E3">
        <w:trPr>
          <w:jc w:val="center"/>
        </w:trPr>
        <w:tc>
          <w:tcPr>
            <w:tcW w:w="2405" w:type="dxa"/>
            <w:vMerge/>
            <w:tcBorders>
              <w:left w:val="single" w:sz="4" w:space="0" w:color="auto"/>
            </w:tcBorders>
            <w:shd w:val="clear" w:color="auto" w:fill="FFFFFF"/>
          </w:tcPr>
          <w:p w14:paraId="3CF52191"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tcBorders>
            <w:shd w:val="clear" w:color="auto" w:fill="FFFFFF"/>
          </w:tcPr>
          <w:p w14:paraId="23159E54"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G6</w:t>
            </w:r>
          </w:p>
        </w:tc>
        <w:tc>
          <w:tcPr>
            <w:tcW w:w="2405" w:type="dxa"/>
            <w:tcBorders>
              <w:top w:val="single" w:sz="4" w:space="0" w:color="auto"/>
              <w:left w:val="single" w:sz="4" w:space="0" w:color="auto"/>
            </w:tcBorders>
            <w:shd w:val="clear" w:color="auto" w:fill="FFFFFF"/>
          </w:tcPr>
          <w:p w14:paraId="0F67D083"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36</w:t>
            </w:r>
          </w:p>
        </w:tc>
        <w:tc>
          <w:tcPr>
            <w:tcW w:w="2410" w:type="dxa"/>
            <w:tcBorders>
              <w:top w:val="single" w:sz="4" w:space="0" w:color="auto"/>
              <w:left w:val="single" w:sz="4" w:space="0" w:color="auto"/>
              <w:right w:val="single" w:sz="4" w:space="0" w:color="auto"/>
            </w:tcBorders>
            <w:shd w:val="clear" w:color="auto" w:fill="FFFFFF"/>
          </w:tcPr>
          <w:p w14:paraId="1CB6FCD2"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20</w:t>
            </w:r>
          </w:p>
        </w:tc>
      </w:tr>
      <w:tr w:rsidR="00CA27E3" w:rsidRPr="00D83000" w14:paraId="0A5427DF" w14:textId="77777777" w:rsidTr="00CA27E3">
        <w:trPr>
          <w:jc w:val="center"/>
        </w:trPr>
        <w:tc>
          <w:tcPr>
            <w:tcW w:w="2405" w:type="dxa"/>
            <w:vMerge/>
            <w:tcBorders>
              <w:left w:val="single" w:sz="4" w:space="0" w:color="auto"/>
              <w:bottom w:val="single" w:sz="4" w:space="0" w:color="auto"/>
            </w:tcBorders>
            <w:shd w:val="clear" w:color="auto" w:fill="FFFFFF"/>
          </w:tcPr>
          <w:p w14:paraId="326C1390" w14:textId="77777777" w:rsidR="00CA27E3" w:rsidRPr="00D83000" w:rsidRDefault="00CA27E3" w:rsidP="00D83000">
            <w:pPr>
              <w:spacing w:after="120"/>
              <w:rPr>
                <w:rFonts w:ascii="Sylfaen" w:hAnsi="Sylfaen"/>
                <w:sz w:val="20"/>
                <w:szCs w:val="20"/>
              </w:rPr>
            </w:pPr>
          </w:p>
        </w:tc>
        <w:tc>
          <w:tcPr>
            <w:tcW w:w="2400" w:type="dxa"/>
            <w:tcBorders>
              <w:top w:val="single" w:sz="4" w:space="0" w:color="auto"/>
              <w:left w:val="single" w:sz="4" w:space="0" w:color="auto"/>
              <w:bottom w:val="single" w:sz="4" w:space="0" w:color="auto"/>
            </w:tcBorders>
            <w:shd w:val="clear" w:color="auto" w:fill="FFFFFF"/>
          </w:tcPr>
          <w:p w14:paraId="77374D35"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G7</w:t>
            </w:r>
          </w:p>
        </w:tc>
        <w:tc>
          <w:tcPr>
            <w:tcW w:w="2405" w:type="dxa"/>
            <w:tcBorders>
              <w:top w:val="single" w:sz="4" w:space="0" w:color="auto"/>
              <w:left w:val="single" w:sz="4" w:space="0" w:color="auto"/>
              <w:bottom w:val="single" w:sz="4" w:space="0" w:color="auto"/>
            </w:tcBorders>
            <w:shd w:val="clear" w:color="auto" w:fill="FFFFFF"/>
          </w:tcPr>
          <w:p w14:paraId="1F99D88D"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66</w:t>
            </w:r>
          </w:p>
        </w:tc>
        <w:tc>
          <w:tcPr>
            <w:tcW w:w="2410" w:type="dxa"/>
            <w:tcBorders>
              <w:top w:val="single" w:sz="4" w:space="0" w:color="auto"/>
              <w:left w:val="single" w:sz="4" w:space="0" w:color="auto"/>
              <w:bottom w:val="single" w:sz="4" w:space="0" w:color="auto"/>
              <w:right w:val="single" w:sz="4" w:space="0" w:color="auto"/>
            </w:tcBorders>
            <w:shd w:val="clear" w:color="auto" w:fill="FFFFFF"/>
          </w:tcPr>
          <w:p w14:paraId="6C155B15" w14:textId="77777777" w:rsidR="00CA27E3" w:rsidRPr="00D83000" w:rsidRDefault="00CA27E3" w:rsidP="00D83000">
            <w:pPr>
              <w:pStyle w:val="Bodytext212"/>
              <w:shd w:val="clear" w:color="auto" w:fill="auto"/>
              <w:spacing w:after="120" w:line="240" w:lineRule="auto"/>
              <w:ind w:firstLine="0"/>
              <w:jc w:val="center"/>
              <w:rPr>
                <w:rFonts w:ascii="Sylfaen" w:hAnsi="Sylfaen"/>
                <w:sz w:val="20"/>
                <w:szCs w:val="20"/>
              </w:rPr>
            </w:pPr>
            <w:r w:rsidRPr="00D83000">
              <w:rPr>
                <w:rStyle w:val="Bodytext211pt"/>
                <w:rFonts w:ascii="Sylfaen" w:hAnsi="Sylfaen"/>
                <w:sz w:val="20"/>
                <w:szCs w:val="20"/>
              </w:rPr>
              <w:t>36</w:t>
            </w:r>
          </w:p>
        </w:tc>
      </w:tr>
    </w:tbl>
    <w:p w14:paraId="598A5793" w14:textId="77777777" w:rsidR="00CA27E3" w:rsidRDefault="009338B9" w:rsidP="009338B9">
      <w:pPr>
        <w:spacing w:after="160" w:line="360" w:lineRule="auto"/>
        <w:jc w:val="both"/>
        <w:rPr>
          <w:rFonts w:ascii="Sylfaen" w:hAnsi="Sylfaen"/>
          <w:sz w:val="20"/>
          <w:szCs w:val="20"/>
          <w:lang w:val="en-US"/>
        </w:rPr>
      </w:pPr>
      <w:r w:rsidRPr="00D83000">
        <w:rPr>
          <w:rFonts w:ascii="Sylfaen" w:hAnsi="Sylfaen"/>
          <w:sz w:val="20"/>
          <w:szCs w:val="20"/>
        </w:rPr>
        <w:t>* 2020 թվականի սեպտեմբերի 1-ից.</w:t>
      </w:r>
    </w:p>
    <w:p w14:paraId="2B4E79C5" w14:textId="77777777" w:rsidR="009338B9" w:rsidRDefault="009338B9" w:rsidP="009338B9">
      <w:pPr>
        <w:spacing w:after="160" w:line="360" w:lineRule="auto"/>
        <w:jc w:val="both"/>
        <w:rPr>
          <w:rFonts w:ascii="Sylfaen" w:hAnsi="Sylfaen"/>
          <w:sz w:val="20"/>
          <w:szCs w:val="20"/>
          <w:lang w:val="en-US"/>
        </w:rPr>
      </w:pPr>
      <w:r w:rsidRPr="00D83000">
        <w:rPr>
          <w:rFonts w:ascii="Sylfaen" w:hAnsi="Sylfaen"/>
          <w:sz w:val="20"/>
          <w:szCs w:val="20"/>
        </w:rPr>
        <w:t>** 2022 թվականի սեպտեմբերի 1-ից:</w:t>
      </w:r>
    </w:p>
    <w:p w14:paraId="7CA24C76" w14:textId="77777777" w:rsidR="009338B9" w:rsidRPr="009338B9" w:rsidRDefault="009338B9" w:rsidP="009338B9">
      <w:pPr>
        <w:spacing w:after="160" w:line="360" w:lineRule="auto"/>
        <w:jc w:val="both"/>
        <w:rPr>
          <w:rFonts w:ascii="Sylfaen" w:hAnsi="Sylfaen"/>
          <w:lang w:val="en-US"/>
        </w:rPr>
      </w:pPr>
    </w:p>
    <w:p w14:paraId="795C3929" w14:textId="77777777" w:rsidR="00CA27E3" w:rsidRPr="00CA27E3" w:rsidRDefault="00CA27E3" w:rsidP="00003F9A">
      <w:pPr>
        <w:pStyle w:val="Footnote30"/>
        <w:shd w:val="clear" w:color="auto" w:fill="auto"/>
        <w:spacing w:before="0" w:after="160" w:line="360" w:lineRule="auto"/>
        <w:ind w:right="-1" w:firstLine="567"/>
        <w:rPr>
          <w:rFonts w:ascii="Sylfaen" w:hAnsi="Sylfaen"/>
          <w:sz w:val="24"/>
          <w:szCs w:val="24"/>
        </w:rPr>
      </w:pPr>
      <w:r w:rsidRPr="00CA27E3">
        <w:rPr>
          <w:rFonts w:ascii="Sylfaen" w:hAnsi="Sylfaen"/>
          <w:sz w:val="24"/>
          <w:szCs w:val="24"/>
        </w:rPr>
        <w:t>2-րդ աղյուսակում նշված՝ էլեկտրաէներգիայի սպառման թույլատրելի արժեքները չեն տարածվում հետ</w:t>
      </w:r>
      <w:r>
        <w:rPr>
          <w:rFonts w:ascii="Sylfaen" w:hAnsi="Sylfaen"/>
          <w:sz w:val="24"/>
          <w:szCs w:val="24"/>
        </w:rPr>
        <w:t>եւ</w:t>
      </w:r>
      <w:r w:rsidRPr="00CA27E3">
        <w:rPr>
          <w:rFonts w:ascii="Sylfaen" w:hAnsi="Sylfaen"/>
          <w:sz w:val="24"/>
          <w:szCs w:val="24"/>
        </w:rPr>
        <w:t>յալ տեխնիկական բնութագրերով С</w:t>
      </w:r>
      <w:r w:rsidR="009338B9">
        <w:rPr>
          <w:rFonts w:ascii="Sylfaen" w:hAnsi="Sylfaen"/>
          <w:sz w:val="24"/>
          <w:szCs w:val="24"/>
          <w:lang w:val="en-US"/>
        </w:rPr>
        <w:t> </w:t>
      </w:r>
      <w:r w:rsidRPr="00CA27E3">
        <w:rPr>
          <w:rFonts w:ascii="Sylfaen" w:hAnsi="Sylfaen"/>
          <w:sz w:val="24"/>
          <w:szCs w:val="24"/>
        </w:rPr>
        <w:t>կատեգորիայի նոութբուքերի վրա՝</w:t>
      </w:r>
    </w:p>
    <w:p w14:paraId="6209C21E" w14:textId="77777777" w:rsidR="00CA27E3" w:rsidRPr="00CA27E3" w:rsidRDefault="00CA27E3" w:rsidP="009338B9">
      <w:pPr>
        <w:pStyle w:val="Footnote30"/>
        <w:shd w:val="clear" w:color="auto" w:fill="auto"/>
        <w:spacing w:before="0" w:after="160" w:line="360" w:lineRule="auto"/>
        <w:ind w:right="-1" w:firstLine="567"/>
        <w:rPr>
          <w:rFonts w:ascii="Sylfaen" w:hAnsi="Sylfaen"/>
          <w:sz w:val="24"/>
          <w:szCs w:val="24"/>
        </w:rPr>
      </w:pPr>
      <w:r w:rsidRPr="00CA27E3">
        <w:rPr>
          <w:rFonts w:ascii="Sylfaen" w:hAnsi="Sylfaen"/>
          <w:sz w:val="24"/>
          <w:szCs w:val="24"/>
        </w:rPr>
        <w:t>կենտրոնական պրոցեսորում (CPU) առնվազն 4 ֆիզիկական միջուկ.</w:t>
      </w:r>
    </w:p>
    <w:p w14:paraId="2B68EC37" w14:textId="77777777" w:rsidR="00CA27E3" w:rsidRPr="00CA27E3" w:rsidRDefault="00CA27E3" w:rsidP="009338B9">
      <w:pPr>
        <w:pStyle w:val="Footnote30"/>
        <w:shd w:val="clear" w:color="auto" w:fill="auto"/>
        <w:spacing w:before="0" w:after="160" w:line="360" w:lineRule="auto"/>
        <w:ind w:right="-1" w:firstLine="567"/>
        <w:rPr>
          <w:rFonts w:ascii="Sylfaen" w:hAnsi="Sylfaen"/>
          <w:sz w:val="24"/>
          <w:szCs w:val="24"/>
        </w:rPr>
      </w:pPr>
      <w:r w:rsidRPr="00CA27E3">
        <w:rPr>
          <w:rFonts w:ascii="Sylfaen" w:hAnsi="Sylfaen"/>
          <w:sz w:val="24"/>
          <w:szCs w:val="24"/>
        </w:rPr>
        <w:t>դիսկրետային տեսաքարտը (dGfx) ապահովում է 225 Գբ/վրկ-ից բարձր կադրերի բուֆերի ընդհանուր թողունակություն.</w:t>
      </w:r>
    </w:p>
    <w:p w14:paraId="733AC25C" w14:textId="77777777" w:rsidR="009338B9" w:rsidRDefault="00CA27E3" w:rsidP="009338B9">
      <w:pPr>
        <w:pStyle w:val="Footnote30"/>
        <w:shd w:val="clear" w:color="auto" w:fill="auto"/>
        <w:spacing w:before="0" w:after="160" w:line="360" w:lineRule="auto"/>
        <w:ind w:right="-1" w:firstLine="567"/>
        <w:rPr>
          <w:rFonts w:ascii="Sylfaen" w:hAnsi="Sylfaen"/>
          <w:sz w:val="24"/>
          <w:szCs w:val="24"/>
        </w:rPr>
      </w:pPr>
      <w:r w:rsidRPr="00CA27E3">
        <w:rPr>
          <w:rFonts w:ascii="Sylfaen" w:hAnsi="Sylfaen"/>
          <w:sz w:val="24"/>
          <w:szCs w:val="24"/>
        </w:rPr>
        <w:t>համակարգային հիշողությունը կազմում է առնվազն 16 Գբ:</w:t>
      </w:r>
    </w:p>
    <w:p w14:paraId="303F2F18" w14:textId="77777777" w:rsidR="009338B9" w:rsidRDefault="009338B9">
      <w:pPr>
        <w:rPr>
          <w:rFonts w:ascii="Sylfaen" w:eastAsia="Times New Roman" w:hAnsi="Sylfaen" w:cs="Times New Roman"/>
          <w:color w:val="auto"/>
        </w:rPr>
      </w:pPr>
      <w:r>
        <w:rPr>
          <w:rFonts w:ascii="Sylfaen" w:hAnsi="Sylfaen"/>
        </w:rPr>
        <w:br w:type="page"/>
      </w:r>
    </w:p>
    <w:p w14:paraId="02FE8650" w14:textId="77777777" w:rsidR="00CA27E3" w:rsidRPr="00CA27E3" w:rsidRDefault="00CA27E3" w:rsidP="009338B9">
      <w:pPr>
        <w:pStyle w:val="Footnote30"/>
        <w:shd w:val="clear" w:color="auto" w:fill="auto"/>
        <w:tabs>
          <w:tab w:val="left" w:pos="1134"/>
        </w:tabs>
        <w:spacing w:before="0" w:after="160" w:line="360" w:lineRule="auto"/>
        <w:ind w:right="-1" w:firstLine="567"/>
        <w:rPr>
          <w:rFonts w:ascii="Sylfaen" w:hAnsi="Sylfaen"/>
          <w:sz w:val="24"/>
          <w:szCs w:val="24"/>
        </w:rPr>
      </w:pPr>
      <w:r w:rsidRPr="00CA27E3">
        <w:rPr>
          <w:rFonts w:ascii="Sylfaen" w:hAnsi="Sylfaen"/>
          <w:sz w:val="24"/>
          <w:szCs w:val="24"/>
        </w:rPr>
        <w:lastRenderedPageBreak/>
        <w:t>7.</w:t>
      </w:r>
      <w:r w:rsidR="00003F9A" w:rsidRPr="00003F9A">
        <w:rPr>
          <w:rFonts w:ascii="Sylfaen" w:hAnsi="Sylfaen"/>
          <w:sz w:val="24"/>
          <w:szCs w:val="24"/>
        </w:rPr>
        <w:tab/>
      </w:r>
      <w:r w:rsidRPr="00CA27E3">
        <w:rPr>
          <w:rFonts w:ascii="Sylfaen" w:hAnsi="Sylfaen"/>
          <w:sz w:val="24"/>
          <w:szCs w:val="24"/>
        </w:rPr>
        <w:t>2022 թվականի սեպտեմբերի 1-ից նոութբուքի՝ էլեկտրաէներգիայի տարեկան սպառումը (E</w:t>
      </w:r>
      <w:r w:rsidRPr="00CA27E3">
        <w:rPr>
          <w:rFonts w:ascii="Sylfaen" w:hAnsi="Sylfaen"/>
          <w:sz w:val="24"/>
          <w:szCs w:val="24"/>
          <w:vertAlign w:val="subscript"/>
        </w:rPr>
        <w:t>TEC</w:t>
      </w:r>
      <w:r w:rsidRPr="00CA27E3">
        <w:rPr>
          <w:rFonts w:ascii="Sylfaen" w:hAnsi="Sylfaen"/>
          <w:sz w:val="24"/>
          <w:szCs w:val="24"/>
        </w:rPr>
        <w:t>) (կՎտժ/տարով) չպետք է գերազանցի՝</w:t>
      </w:r>
    </w:p>
    <w:p w14:paraId="79734F53" w14:textId="77777777" w:rsidR="00CA27E3" w:rsidRPr="00CA27E3" w:rsidRDefault="00CA27E3" w:rsidP="00CA27E3">
      <w:pPr>
        <w:spacing w:after="160" w:line="360" w:lineRule="auto"/>
        <w:ind w:firstLine="567"/>
        <w:rPr>
          <w:rFonts w:ascii="Sylfaen" w:hAnsi="Sylfaen"/>
        </w:rPr>
      </w:pPr>
      <w:r w:rsidRPr="00CA27E3">
        <w:rPr>
          <w:rFonts w:ascii="Sylfaen" w:hAnsi="Sylfaen"/>
        </w:rPr>
        <w:t>А կատեգորիայի համար՝ 27,00.</w:t>
      </w:r>
    </w:p>
    <w:p w14:paraId="57B7200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B կատեգորիայի համար՝ 36,00.</w:t>
      </w:r>
    </w:p>
    <w:p w14:paraId="2755C86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С կատեգորիայի համար՝ 60,50:</w:t>
      </w:r>
    </w:p>
    <w:p w14:paraId="20F6C36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2-րդ աղյուսակում բերված՝ դիսկրետային տեսաքարտերի (dGfx) համար էլեկտրաէներգիայի սպառման արժեքների նկատմամբ կիրառվում են փոփոխություններ (Փուլ II):</w:t>
      </w:r>
    </w:p>
    <w:p w14:paraId="35B437E4"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8.</w:t>
      </w:r>
      <w:r w:rsidR="00003F9A" w:rsidRPr="00003F9A">
        <w:rPr>
          <w:rFonts w:ascii="Sylfaen" w:hAnsi="Sylfaen"/>
          <w:sz w:val="24"/>
          <w:szCs w:val="24"/>
        </w:rPr>
        <w:tab/>
      </w:r>
      <w:r w:rsidRPr="00CA27E3">
        <w:rPr>
          <w:rFonts w:ascii="Sylfaen" w:hAnsi="Sylfaen"/>
          <w:sz w:val="24"/>
          <w:szCs w:val="24"/>
        </w:rPr>
        <w:t xml:space="preserve">Համակարգիչը պետք է ապահովի քնի ռեժիմ </w:t>
      </w:r>
      <w:r>
        <w:rPr>
          <w:rFonts w:ascii="Sylfaen" w:hAnsi="Sylfaen"/>
          <w:sz w:val="24"/>
          <w:szCs w:val="24"/>
        </w:rPr>
        <w:t>եւ</w:t>
      </w:r>
      <w:r w:rsidRPr="00CA27E3">
        <w:rPr>
          <w:rFonts w:ascii="Sylfaen" w:hAnsi="Sylfaen"/>
          <w:sz w:val="24"/>
          <w:szCs w:val="24"/>
        </w:rPr>
        <w:t xml:space="preserve"> (կամ) այլ վիճակ, որն ապահովում է քնի ռեժիմի գործառությունը </w:t>
      </w:r>
      <w:r>
        <w:rPr>
          <w:rFonts w:ascii="Sylfaen" w:hAnsi="Sylfaen"/>
          <w:sz w:val="24"/>
          <w:szCs w:val="24"/>
        </w:rPr>
        <w:t>եւ</w:t>
      </w:r>
      <w:r w:rsidRPr="00CA27E3">
        <w:rPr>
          <w:rFonts w:ascii="Sylfaen" w:hAnsi="Sylfaen"/>
          <w:sz w:val="24"/>
          <w:szCs w:val="24"/>
        </w:rPr>
        <w:t xml:space="preserve"> որում սպառվող թույլատրելի հզորությունը չի գերազանցում քնի ռեժիմի համար պահանջները, այդ թվում՝</w:t>
      </w:r>
    </w:p>
    <w:p w14:paraId="5DD0F301"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003F9A" w:rsidRPr="00003F9A">
        <w:rPr>
          <w:rFonts w:ascii="Sylfaen" w:hAnsi="Sylfaen"/>
          <w:sz w:val="24"/>
          <w:szCs w:val="24"/>
        </w:rPr>
        <w:tab/>
      </w:r>
      <w:r w:rsidRPr="00CA27E3">
        <w:rPr>
          <w:rFonts w:ascii="Sylfaen" w:hAnsi="Sylfaen"/>
          <w:sz w:val="24"/>
          <w:szCs w:val="24"/>
        </w:rPr>
        <w:t xml:space="preserve">քնի ռեժիմում սպառվող հզորությունը չպետք է գերազանցի 5,00 Վտ՝ սեղանի համակարգիչներում </w:t>
      </w:r>
      <w:r>
        <w:rPr>
          <w:rFonts w:ascii="Sylfaen" w:hAnsi="Sylfaen"/>
          <w:sz w:val="24"/>
          <w:szCs w:val="24"/>
        </w:rPr>
        <w:t>եւ</w:t>
      </w:r>
      <w:r w:rsidRPr="00CA27E3">
        <w:rPr>
          <w:rFonts w:ascii="Sylfaen" w:hAnsi="Sylfaen"/>
          <w:sz w:val="24"/>
          <w:szCs w:val="24"/>
        </w:rPr>
        <w:t xml:space="preserve"> միաբլոկ սեղանի համակարգիչներում, ու 3,00 Վտ՝ նոութբուքերում.</w:t>
      </w:r>
    </w:p>
    <w:p w14:paraId="34074AA6"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 xml:space="preserve">սեղանի համակարգիչները </w:t>
      </w:r>
      <w:r>
        <w:rPr>
          <w:rFonts w:ascii="Sylfaen" w:hAnsi="Sylfaen"/>
          <w:sz w:val="24"/>
          <w:szCs w:val="24"/>
        </w:rPr>
        <w:t>եւ</w:t>
      </w:r>
      <w:r w:rsidRPr="00CA27E3">
        <w:rPr>
          <w:rFonts w:ascii="Sylfaen" w:hAnsi="Sylfaen"/>
          <w:sz w:val="24"/>
          <w:szCs w:val="24"/>
        </w:rPr>
        <w:t xml:space="preserve"> միաբլոկ սեղանի համակարգիչները, </w:t>
      </w:r>
      <w:r w:rsidRPr="009338B9">
        <w:rPr>
          <w:rFonts w:ascii="Sylfaen" w:hAnsi="Sylfaen"/>
          <w:spacing w:val="-4"/>
          <w:sz w:val="24"/>
          <w:szCs w:val="24"/>
        </w:rPr>
        <w:t>որոնց սպառվող հզորությունը պակաս է 10,00 Վտ-ից կամ հավասար դրան, կարող են չունենալ</w:t>
      </w:r>
      <w:r w:rsidRPr="00CA27E3">
        <w:rPr>
          <w:rFonts w:ascii="Sylfaen" w:hAnsi="Sylfaen"/>
          <w:sz w:val="24"/>
          <w:szCs w:val="24"/>
        </w:rPr>
        <w:t xml:space="preserve"> քնի ռեժիմ.</w:t>
      </w:r>
    </w:p>
    <w:p w14:paraId="16C7A19E"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003F9A" w:rsidRPr="00003F9A">
        <w:rPr>
          <w:rFonts w:ascii="Sylfaen" w:hAnsi="Sylfaen"/>
          <w:sz w:val="24"/>
          <w:szCs w:val="24"/>
        </w:rPr>
        <w:tab/>
      </w:r>
      <w:r w:rsidRPr="00CA27E3">
        <w:rPr>
          <w:rFonts w:ascii="Sylfaen" w:hAnsi="Sylfaen"/>
          <w:sz w:val="24"/>
          <w:szCs w:val="24"/>
        </w:rPr>
        <w:t>եթե համալրված է քնի ռեժիմում աշխատող WOL գործառույթով, ապա՝</w:t>
      </w:r>
    </w:p>
    <w:p w14:paraId="038FDFAD"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կարող է կիրառվել 0,70 Վտ ավելացում թույլատրելի նորմատիվին.</w:t>
      </w:r>
    </w:p>
    <w:p w14:paraId="4184A8F1"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 xml:space="preserve">համակարգիչը պետք է ստուգվի միացված </w:t>
      </w:r>
      <w:r>
        <w:rPr>
          <w:rFonts w:ascii="Sylfaen" w:hAnsi="Sylfaen"/>
          <w:sz w:val="24"/>
          <w:szCs w:val="24"/>
        </w:rPr>
        <w:t>եւ</w:t>
      </w:r>
      <w:r w:rsidRPr="00CA27E3">
        <w:rPr>
          <w:rFonts w:ascii="Sylfaen" w:hAnsi="Sylfaen"/>
          <w:sz w:val="24"/>
          <w:szCs w:val="24"/>
        </w:rPr>
        <w:t xml:space="preserve"> անջատված WOL գործառույթով </w:t>
      </w:r>
      <w:r>
        <w:rPr>
          <w:rFonts w:ascii="Sylfaen" w:hAnsi="Sylfaen"/>
          <w:sz w:val="24"/>
          <w:szCs w:val="24"/>
        </w:rPr>
        <w:t>եւ</w:t>
      </w:r>
      <w:r w:rsidRPr="00CA27E3">
        <w:rPr>
          <w:rFonts w:ascii="Sylfaen" w:hAnsi="Sylfaen"/>
          <w:sz w:val="24"/>
          <w:szCs w:val="24"/>
        </w:rPr>
        <w:t xml:space="preserve"> երկու դեպքերում էլ պետք է համապատասխանի սույն պահանջներին.</w:t>
      </w:r>
    </w:p>
    <w:p w14:paraId="19520F21"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003F9A" w:rsidRPr="00003F9A">
        <w:rPr>
          <w:rFonts w:ascii="Sylfaen" w:hAnsi="Sylfaen"/>
          <w:sz w:val="24"/>
          <w:szCs w:val="24"/>
        </w:rPr>
        <w:tab/>
      </w:r>
      <w:r w:rsidRPr="00CA27E3">
        <w:rPr>
          <w:rFonts w:ascii="Sylfaen" w:hAnsi="Sylfaen"/>
          <w:sz w:val="24"/>
          <w:szCs w:val="24"/>
        </w:rPr>
        <w:t>եթե համակարգիչը չի աջակցում Ethernet տեղային ցանցին, ապա այն պետք է փորձարկվի առանց միացված WOL գործառույթի:</w:t>
      </w:r>
    </w:p>
    <w:p w14:paraId="7C1B15D7"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9.</w:t>
      </w:r>
      <w:r w:rsidR="00003F9A" w:rsidRPr="00003F9A">
        <w:rPr>
          <w:rFonts w:ascii="Sylfaen" w:hAnsi="Sylfaen"/>
          <w:sz w:val="24"/>
          <w:szCs w:val="24"/>
        </w:rPr>
        <w:tab/>
      </w:r>
      <w:r w:rsidRPr="00CA27E3">
        <w:rPr>
          <w:rFonts w:ascii="Sylfaen" w:hAnsi="Sylfaen"/>
          <w:sz w:val="24"/>
          <w:szCs w:val="24"/>
        </w:rPr>
        <w:t xml:space="preserve">Սեղանի համակարգիչը, միաբլոկ համակարգիչը </w:t>
      </w:r>
      <w:r>
        <w:rPr>
          <w:rFonts w:ascii="Sylfaen" w:hAnsi="Sylfaen"/>
          <w:sz w:val="24"/>
          <w:szCs w:val="24"/>
        </w:rPr>
        <w:t>եւ</w:t>
      </w:r>
      <w:r w:rsidRPr="00CA27E3">
        <w:rPr>
          <w:rFonts w:ascii="Sylfaen" w:hAnsi="Sylfaen"/>
          <w:sz w:val="24"/>
          <w:szCs w:val="24"/>
        </w:rPr>
        <w:t xml:space="preserve"> նոութբուքը նվազագույն էներգասպառման վիճակում չպետք է սպառեն 0,50 Վտ-ից ավելի:</w:t>
      </w:r>
    </w:p>
    <w:p w14:paraId="3621C36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Համակարգիչը պետք է ապահովի այնպիսի վիճակ կամ էներգասպառման ռեժիմ, որի դեպքում սպառվող թույլատրելի հզորությունը պետք է լինի նվազագույն էներգասպառման վիճակին ներկայացվող պահանջից ոչ ավելի՝ երբ այն միացված է էլեկտրասնուցման ցանցին:</w:t>
      </w:r>
    </w:p>
    <w:p w14:paraId="4853233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Եթե համակարգչի կազմի մեջ մտնում է տեղեկատվական դիսփլեյը կամ վիճակի ցուցիչը, ապա կարող է կիրառվել 0,50 Վտ ավելացում թույլատրելի նորմատիվին:</w:t>
      </w:r>
    </w:p>
    <w:p w14:paraId="387A96B3"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10.</w:t>
      </w:r>
      <w:r w:rsidR="00003F9A" w:rsidRPr="00003F9A">
        <w:rPr>
          <w:rFonts w:ascii="Sylfaen" w:hAnsi="Sylfaen"/>
          <w:sz w:val="24"/>
          <w:szCs w:val="24"/>
        </w:rPr>
        <w:tab/>
      </w:r>
      <w:r w:rsidRPr="00CA27E3">
        <w:rPr>
          <w:rFonts w:ascii="Sylfaen" w:hAnsi="Sylfaen"/>
          <w:sz w:val="24"/>
          <w:szCs w:val="24"/>
        </w:rPr>
        <w:t xml:space="preserve">Սեղանի համակարգիչը, միաբլոկ սեղանի համակարգիչը </w:t>
      </w:r>
      <w:r>
        <w:rPr>
          <w:rFonts w:ascii="Sylfaen" w:hAnsi="Sylfaen"/>
          <w:sz w:val="24"/>
          <w:szCs w:val="24"/>
        </w:rPr>
        <w:t>եւ</w:t>
      </w:r>
      <w:r w:rsidRPr="00CA27E3">
        <w:rPr>
          <w:rFonts w:ascii="Sylfaen" w:hAnsi="Sylfaen"/>
          <w:sz w:val="24"/>
          <w:szCs w:val="24"/>
        </w:rPr>
        <w:t xml:space="preserve"> նոութբուքը պետք է ապահովեն անջատման ռեժիմին ներկայացվող հետ</w:t>
      </w:r>
      <w:r>
        <w:rPr>
          <w:rFonts w:ascii="Sylfaen" w:hAnsi="Sylfaen"/>
          <w:sz w:val="24"/>
          <w:szCs w:val="24"/>
        </w:rPr>
        <w:t>եւ</w:t>
      </w:r>
      <w:r w:rsidRPr="00CA27E3">
        <w:rPr>
          <w:rFonts w:ascii="Sylfaen" w:hAnsi="Sylfaen"/>
          <w:sz w:val="24"/>
          <w:szCs w:val="24"/>
        </w:rPr>
        <w:t>յալ պահանջների կատարումը՝</w:t>
      </w:r>
    </w:p>
    <w:p w14:paraId="51F420D3"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9338B9" w:rsidRPr="009338B9">
        <w:rPr>
          <w:rFonts w:ascii="Sylfaen" w:hAnsi="Sylfaen"/>
          <w:sz w:val="24"/>
          <w:szCs w:val="24"/>
        </w:rPr>
        <w:tab/>
      </w:r>
      <w:r w:rsidRPr="00CA27E3">
        <w:rPr>
          <w:rFonts w:ascii="Sylfaen" w:hAnsi="Sylfaen"/>
          <w:sz w:val="24"/>
          <w:szCs w:val="24"/>
        </w:rPr>
        <w:t>անջատված վիճակում սպառվող հզորությունը չպետք է գերազանցի 1,00</w:t>
      </w:r>
      <w:r w:rsidR="009338B9" w:rsidRPr="009338B9">
        <w:rPr>
          <w:rFonts w:ascii="Sylfaen" w:hAnsi="Sylfaen"/>
          <w:sz w:val="24"/>
          <w:szCs w:val="24"/>
        </w:rPr>
        <w:t> </w:t>
      </w:r>
      <w:r w:rsidRPr="00CA27E3">
        <w:rPr>
          <w:rFonts w:ascii="Sylfaen" w:hAnsi="Sylfaen"/>
          <w:sz w:val="24"/>
          <w:szCs w:val="24"/>
        </w:rPr>
        <w:t>Վտ-ը:</w:t>
      </w:r>
    </w:p>
    <w:p w14:paraId="1D9C29A7" w14:textId="77777777" w:rsidR="00CA27E3" w:rsidRPr="00CA27E3" w:rsidRDefault="00CA27E3" w:rsidP="009338B9">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 xml:space="preserve">համակարգիչը պետք է ապահովի անջատման ռեժիմ </w:t>
      </w:r>
      <w:r>
        <w:rPr>
          <w:rFonts w:ascii="Sylfaen" w:hAnsi="Sylfaen"/>
          <w:sz w:val="24"/>
          <w:szCs w:val="24"/>
        </w:rPr>
        <w:t>եւ</w:t>
      </w:r>
      <w:r w:rsidRPr="00CA27E3">
        <w:rPr>
          <w:rFonts w:ascii="Sylfaen" w:hAnsi="Sylfaen"/>
          <w:sz w:val="24"/>
          <w:szCs w:val="24"/>
        </w:rPr>
        <w:t xml:space="preserve"> (կամ) այլ վիճակ, որի դեպքում թույլատրելի հզորությունը պետք է լինի անջատման ռեժիմում էներգասպառմանը ներկայացվող պահանջներից ոչ ավելի, երբ այն միացված է սնուցման աղբյուրին.</w:t>
      </w:r>
    </w:p>
    <w:p w14:paraId="0AF6ADD5" w14:textId="77777777" w:rsidR="00CA27E3" w:rsidRPr="00CA27E3" w:rsidRDefault="00CA27E3" w:rsidP="009338B9">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գ)</w:t>
      </w:r>
      <w:r w:rsidR="00003F9A" w:rsidRPr="00003F9A">
        <w:rPr>
          <w:rFonts w:ascii="Sylfaen" w:hAnsi="Sylfaen"/>
          <w:sz w:val="24"/>
          <w:szCs w:val="24"/>
        </w:rPr>
        <w:tab/>
      </w:r>
      <w:r w:rsidRPr="00CA27E3">
        <w:rPr>
          <w:rFonts w:ascii="Sylfaen" w:hAnsi="Sylfaen"/>
          <w:sz w:val="24"/>
          <w:szCs w:val="24"/>
        </w:rPr>
        <w:t>եթե համակարգիչը համալրված է անջատման ռեժիմում աշխատող WOL գործառույթով, ապա՝</w:t>
      </w:r>
    </w:p>
    <w:p w14:paraId="347786C4" w14:textId="77777777" w:rsidR="00CA27E3" w:rsidRPr="00CA27E3" w:rsidRDefault="00CA27E3" w:rsidP="009338B9">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կարող է կիրառվել 0,70 Վտ ավելացում թույլատրելի նորմատիվին.</w:t>
      </w:r>
    </w:p>
    <w:p w14:paraId="6879E47E" w14:textId="77777777" w:rsidR="00CA27E3" w:rsidRPr="00CA27E3" w:rsidRDefault="00CA27E3" w:rsidP="009338B9">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 xml:space="preserve">համակարգիչը պետք է ստուգվի միացված </w:t>
      </w:r>
      <w:r>
        <w:rPr>
          <w:rFonts w:ascii="Sylfaen" w:hAnsi="Sylfaen"/>
          <w:sz w:val="24"/>
          <w:szCs w:val="24"/>
        </w:rPr>
        <w:t>եւ</w:t>
      </w:r>
      <w:r w:rsidRPr="00CA27E3">
        <w:rPr>
          <w:rFonts w:ascii="Sylfaen" w:hAnsi="Sylfaen"/>
          <w:sz w:val="24"/>
          <w:szCs w:val="24"/>
        </w:rPr>
        <w:t xml:space="preserve"> անջատված WOL գործառույթով </w:t>
      </w:r>
      <w:r>
        <w:rPr>
          <w:rFonts w:ascii="Sylfaen" w:hAnsi="Sylfaen"/>
          <w:sz w:val="24"/>
          <w:szCs w:val="24"/>
        </w:rPr>
        <w:t>եւ</w:t>
      </w:r>
      <w:r w:rsidRPr="00CA27E3">
        <w:rPr>
          <w:rFonts w:ascii="Sylfaen" w:hAnsi="Sylfaen"/>
          <w:sz w:val="24"/>
          <w:szCs w:val="24"/>
        </w:rPr>
        <w:t xml:space="preserve"> երկու դեպքերում էլ պետք է համապատասխանի սույն պահանջներին.</w:t>
      </w:r>
    </w:p>
    <w:p w14:paraId="273FA711" w14:textId="77777777" w:rsidR="00CA27E3" w:rsidRPr="00CA27E3" w:rsidRDefault="00CA27E3" w:rsidP="009338B9">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դ)</w:t>
      </w:r>
      <w:r w:rsidR="00003F9A" w:rsidRPr="00003F9A">
        <w:rPr>
          <w:rFonts w:ascii="Sylfaen" w:hAnsi="Sylfaen"/>
          <w:sz w:val="24"/>
          <w:szCs w:val="24"/>
        </w:rPr>
        <w:tab/>
      </w:r>
      <w:r w:rsidRPr="00CA27E3">
        <w:rPr>
          <w:rFonts w:ascii="Sylfaen" w:hAnsi="Sylfaen"/>
          <w:sz w:val="24"/>
          <w:szCs w:val="24"/>
        </w:rPr>
        <w:t>եթե համակարգիչը չի աջակցում Ethernet տեղային ցանցին, ապա այն պետք է փորձարկվի առանց միացված WOL գործառույթի:</w:t>
      </w:r>
    </w:p>
    <w:p w14:paraId="4FF9033A" w14:textId="77777777" w:rsidR="00CA27E3" w:rsidRPr="00CA27E3" w:rsidRDefault="00CA27E3" w:rsidP="009338B9">
      <w:pPr>
        <w:pStyle w:val="Bodytext212"/>
        <w:shd w:val="clear" w:color="auto" w:fill="auto"/>
        <w:tabs>
          <w:tab w:val="left" w:pos="1134"/>
        </w:tabs>
        <w:spacing w:after="160" w:line="348" w:lineRule="auto"/>
        <w:ind w:firstLine="567"/>
        <w:jc w:val="both"/>
        <w:rPr>
          <w:rFonts w:ascii="Sylfaen" w:hAnsi="Sylfaen"/>
          <w:sz w:val="24"/>
          <w:szCs w:val="24"/>
        </w:rPr>
      </w:pPr>
      <w:r w:rsidRPr="00CA27E3">
        <w:rPr>
          <w:rFonts w:ascii="Sylfaen" w:hAnsi="Sylfaen"/>
          <w:sz w:val="24"/>
          <w:szCs w:val="24"/>
        </w:rPr>
        <w:t>11.</w:t>
      </w:r>
      <w:r w:rsidR="00003F9A" w:rsidRPr="00003F9A">
        <w:rPr>
          <w:rFonts w:ascii="Sylfaen" w:hAnsi="Sylfaen"/>
          <w:sz w:val="24"/>
          <w:szCs w:val="24"/>
        </w:rPr>
        <w:tab/>
      </w:r>
      <w:r w:rsidRPr="00CA27E3">
        <w:rPr>
          <w:rFonts w:ascii="Sylfaen" w:hAnsi="Sylfaen"/>
          <w:sz w:val="24"/>
          <w:szCs w:val="24"/>
        </w:rPr>
        <w:t xml:space="preserve">Սեղանի համակարգչի, միաբլոկ սեղանի համակարգչի, սեղանի բարակ սպասառուի, աշխատանքային կայանի </w:t>
      </w:r>
      <w:r>
        <w:rPr>
          <w:rFonts w:ascii="Sylfaen" w:hAnsi="Sylfaen"/>
          <w:sz w:val="24"/>
          <w:szCs w:val="24"/>
        </w:rPr>
        <w:t>եւ</w:t>
      </w:r>
      <w:r w:rsidRPr="00CA27E3">
        <w:rPr>
          <w:rFonts w:ascii="Sylfaen" w:hAnsi="Sylfaen"/>
          <w:sz w:val="24"/>
          <w:szCs w:val="24"/>
        </w:rPr>
        <w:t xml:space="preserve"> փոքր սերվերի սնուցման բոլոր ներքին աղբյուրները պետք է ունենան հետ</w:t>
      </w:r>
      <w:r>
        <w:rPr>
          <w:rFonts w:ascii="Sylfaen" w:hAnsi="Sylfaen"/>
          <w:sz w:val="24"/>
          <w:szCs w:val="24"/>
        </w:rPr>
        <w:t>եւ</w:t>
      </w:r>
      <w:r w:rsidRPr="00CA27E3">
        <w:rPr>
          <w:rFonts w:ascii="Sylfaen" w:hAnsi="Sylfaen"/>
          <w:sz w:val="24"/>
          <w:szCs w:val="24"/>
        </w:rPr>
        <w:t xml:space="preserve">յալ արժեքներից ոչ ցածր ՕԳԳ </w:t>
      </w:r>
      <w:r>
        <w:rPr>
          <w:rFonts w:ascii="Sylfaen" w:hAnsi="Sylfaen"/>
          <w:sz w:val="24"/>
          <w:szCs w:val="24"/>
        </w:rPr>
        <w:t>եւ</w:t>
      </w:r>
      <w:r w:rsidRPr="00CA27E3">
        <w:rPr>
          <w:rFonts w:ascii="Sylfaen" w:hAnsi="Sylfaen"/>
          <w:sz w:val="24"/>
          <w:szCs w:val="24"/>
        </w:rPr>
        <w:t xml:space="preserve"> հզորության գործակից՝</w:t>
      </w:r>
    </w:p>
    <w:p w14:paraId="1EFDAFE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85 % ՕԳԳ՝ անվանական մեծությունից 50 % ելքային հզորության դեպքում.</w:t>
      </w:r>
    </w:p>
    <w:p w14:paraId="0552C12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82 % ՕԳԳ՝ անվանական մեծությունից 20 % </w:t>
      </w:r>
      <w:r>
        <w:rPr>
          <w:rFonts w:ascii="Sylfaen" w:hAnsi="Sylfaen"/>
          <w:sz w:val="24"/>
          <w:szCs w:val="24"/>
        </w:rPr>
        <w:t>եւ</w:t>
      </w:r>
      <w:r w:rsidRPr="00CA27E3">
        <w:rPr>
          <w:rFonts w:ascii="Sylfaen" w:hAnsi="Sylfaen"/>
          <w:sz w:val="24"/>
          <w:szCs w:val="24"/>
        </w:rPr>
        <w:t xml:space="preserve"> 100 % ելքային հզորության դեպքում.</w:t>
      </w:r>
    </w:p>
    <w:p w14:paraId="52C80B5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 հզորության գործակից՝ անվանական մեծությունից 100 % ելքային հզորության դեպքում:</w:t>
      </w:r>
    </w:p>
    <w:p w14:paraId="5F69031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75 Վտ-ից ցածր առավելագույն անվանական ելքային հզորությամբ ներքին սնուցման աղբյուրների վրա հզորության գործակցի մեծության մասով պահանջները չեն տարածվում:</w:t>
      </w:r>
    </w:p>
    <w:p w14:paraId="5AA78EEC"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12.</w:t>
      </w:r>
      <w:r w:rsidR="00003F9A" w:rsidRPr="00003F9A">
        <w:rPr>
          <w:rFonts w:ascii="Sylfaen" w:hAnsi="Sylfaen"/>
          <w:sz w:val="24"/>
          <w:szCs w:val="24"/>
        </w:rPr>
        <w:tab/>
      </w:r>
      <w:r w:rsidRPr="00CA27E3">
        <w:rPr>
          <w:rFonts w:ascii="Sylfaen" w:hAnsi="Sylfaen"/>
          <w:sz w:val="24"/>
          <w:szCs w:val="24"/>
        </w:rPr>
        <w:t xml:space="preserve">Համակարգիչ-սերվերի բլոկների </w:t>
      </w:r>
      <w:r>
        <w:rPr>
          <w:rFonts w:ascii="Sylfaen" w:hAnsi="Sylfaen"/>
          <w:sz w:val="24"/>
          <w:szCs w:val="24"/>
        </w:rPr>
        <w:t>եւ</w:t>
      </w:r>
      <w:r w:rsidRPr="00CA27E3">
        <w:rPr>
          <w:rFonts w:ascii="Sylfaen" w:hAnsi="Sylfaen"/>
          <w:sz w:val="24"/>
          <w:szCs w:val="24"/>
        </w:rPr>
        <w:t xml:space="preserve"> սնուցման աղբյուրների համար պետք է կատարվեն հետ</w:t>
      </w:r>
      <w:r>
        <w:rPr>
          <w:rFonts w:ascii="Sylfaen" w:hAnsi="Sylfaen"/>
          <w:sz w:val="24"/>
          <w:szCs w:val="24"/>
        </w:rPr>
        <w:t>եւ</w:t>
      </w:r>
      <w:r w:rsidRPr="00CA27E3">
        <w:rPr>
          <w:rFonts w:ascii="Sylfaen" w:hAnsi="Sylfaen"/>
          <w:sz w:val="24"/>
          <w:szCs w:val="24"/>
        </w:rPr>
        <w:t>յալ էներգաարդյունավետության հետ</w:t>
      </w:r>
      <w:r>
        <w:rPr>
          <w:rFonts w:ascii="Sylfaen" w:hAnsi="Sylfaen"/>
          <w:sz w:val="24"/>
          <w:szCs w:val="24"/>
        </w:rPr>
        <w:t>եւ</w:t>
      </w:r>
      <w:r w:rsidRPr="00CA27E3">
        <w:rPr>
          <w:rFonts w:ascii="Sylfaen" w:hAnsi="Sylfaen"/>
          <w:sz w:val="24"/>
          <w:szCs w:val="24"/>
        </w:rPr>
        <w:t>յալ պահանջները՝</w:t>
      </w:r>
    </w:p>
    <w:p w14:paraId="6922D537"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003F9A" w:rsidRPr="00003F9A">
        <w:rPr>
          <w:rFonts w:ascii="Sylfaen" w:hAnsi="Sylfaen"/>
          <w:sz w:val="24"/>
          <w:szCs w:val="24"/>
        </w:rPr>
        <w:tab/>
      </w:r>
      <w:r w:rsidRPr="00CA27E3">
        <w:rPr>
          <w:rFonts w:ascii="Sylfaen" w:hAnsi="Sylfaen"/>
          <w:sz w:val="24"/>
          <w:szCs w:val="24"/>
        </w:rPr>
        <w:t>մի քանի ելքային լարմամբ բոլոր սնուցման բլոկները (AC-DC տիպի) պետք է ունենան՝</w:t>
      </w:r>
    </w:p>
    <w:p w14:paraId="785A84E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ՕԳԳ՝ ոչ պակաս, քան՝</w:t>
      </w:r>
    </w:p>
    <w:p w14:paraId="43A8AD2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85 %՝ անվանական մեծությունից 50 % ելքային հզորության դեպքում.</w:t>
      </w:r>
    </w:p>
    <w:p w14:paraId="39070C3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82 %՝ անվանական մեծությունից 20 % </w:t>
      </w:r>
      <w:r>
        <w:rPr>
          <w:rFonts w:ascii="Sylfaen" w:hAnsi="Sylfaen"/>
          <w:sz w:val="24"/>
          <w:szCs w:val="24"/>
        </w:rPr>
        <w:t>եւ</w:t>
      </w:r>
      <w:r w:rsidRPr="00CA27E3">
        <w:rPr>
          <w:rFonts w:ascii="Sylfaen" w:hAnsi="Sylfaen"/>
          <w:sz w:val="24"/>
          <w:szCs w:val="24"/>
        </w:rPr>
        <w:t xml:space="preserve"> 100 % ելքային հզորության դեպքում.</w:t>
      </w:r>
    </w:p>
    <w:p w14:paraId="5E6CF83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հզորության գործակից՝ ոչ պակաս, քան՝</w:t>
      </w:r>
    </w:p>
    <w:p w14:paraId="157B4C7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0,8՝ անվանական մեծությունից 20 % ելքային հզորության դեպքում.</w:t>
      </w:r>
    </w:p>
    <w:p w14:paraId="36306B8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 անվանական մեծությունից 50 % ելքային հզորության դեպքում.</w:t>
      </w:r>
    </w:p>
    <w:p w14:paraId="7A9B24F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0,95՝ անվանական մեծությունից 100 % ելքային հզորության դեպքում.</w:t>
      </w:r>
    </w:p>
    <w:p w14:paraId="2CE6E829"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 xml:space="preserve">մեկ (AC-DC տիպի) արտածմամբ </w:t>
      </w:r>
      <w:r>
        <w:rPr>
          <w:rFonts w:ascii="Sylfaen" w:hAnsi="Sylfaen"/>
          <w:sz w:val="24"/>
          <w:szCs w:val="24"/>
        </w:rPr>
        <w:t>եւ</w:t>
      </w:r>
      <w:r w:rsidRPr="00CA27E3">
        <w:rPr>
          <w:rFonts w:ascii="Sylfaen" w:hAnsi="Sylfaen"/>
          <w:sz w:val="24"/>
          <w:szCs w:val="24"/>
        </w:rPr>
        <w:t xml:space="preserve"> 500 Վտ-ից ոչ ավելի անվանական հզորությամբ բոլոր սնուցման աղբյուրները պետք է ունենան ՕԳԳ ոչ պակաս, քան՝</w:t>
      </w:r>
    </w:p>
    <w:p w14:paraId="3165364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70 %՝ անվանական մեծությունից 10 % ելքային հզորության դեպքում.</w:t>
      </w:r>
    </w:p>
    <w:p w14:paraId="12DF086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82 %՝ անվանական մեծությունից 20 % ելքային հզորության դեպքում.</w:t>
      </w:r>
    </w:p>
    <w:p w14:paraId="1152E28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89 %՝ անվանական մեծությունից 50 % ելքային հզորության դեպքում.</w:t>
      </w:r>
    </w:p>
    <w:p w14:paraId="33C990A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85 %՝ անվանական մեծությունից 100 % ելքային հզորության դեպքում.</w:t>
      </w:r>
    </w:p>
    <w:p w14:paraId="56BF9D01"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003F9A" w:rsidRPr="00003F9A">
        <w:rPr>
          <w:rFonts w:ascii="Sylfaen" w:hAnsi="Sylfaen"/>
          <w:sz w:val="24"/>
          <w:szCs w:val="24"/>
        </w:rPr>
        <w:tab/>
      </w:r>
      <w:r w:rsidRPr="00CA27E3">
        <w:rPr>
          <w:rFonts w:ascii="Sylfaen" w:hAnsi="Sylfaen"/>
          <w:sz w:val="24"/>
          <w:szCs w:val="24"/>
        </w:rPr>
        <w:t>մեկ (AC-DC տիպի) արտածմամբ</w:t>
      </w:r>
      <w:r>
        <w:rPr>
          <w:rFonts w:ascii="Sylfaen" w:hAnsi="Sylfaen"/>
          <w:sz w:val="24"/>
          <w:szCs w:val="24"/>
        </w:rPr>
        <w:t xml:space="preserve"> եւ</w:t>
      </w:r>
      <w:r w:rsidRPr="00CA27E3">
        <w:rPr>
          <w:rFonts w:ascii="Sylfaen" w:hAnsi="Sylfaen"/>
          <w:sz w:val="24"/>
          <w:szCs w:val="24"/>
        </w:rPr>
        <w:t xml:space="preserve"> 500 Վտ-ից ոչ ավելի անվանական հզորությամբ բոլոր սնուցման աղբյուրները պետք է ունենան հզորության գործակից՝ ոչ պակաս, քան՝</w:t>
      </w:r>
    </w:p>
    <w:p w14:paraId="0FF701A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0,8՝ անվանական մեծությունից 20 % ելքային հզորության դեպքում.</w:t>
      </w:r>
    </w:p>
    <w:p w14:paraId="12068EA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 անվանական մեծությունից 50 % ելքային հզորության դեպքում.</w:t>
      </w:r>
    </w:p>
    <w:p w14:paraId="209A63B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0,95՝ անվանական մեծությունից 100 % ելքային հզորության դեպքում.</w:t>
      </w:r>
    </w:p>
    <w:p w14:paraId="5DF16523"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9338B9">
        <w:rPr>
          <w:rFonts w:ascii="Sylfaen" w:hAnsi="Sylfaen"/>
          <w:spacing w:val="-4"/>
          <w:sz w:val="24"/>
          <w:szCs w:val="24"/>
        </w:rPr>
        <w:t>դ)</w:t>
      </w:r>
      <w:r w:rsidR="00003F9A" w:rsidRPr="009338B9">
        <w:rPr>
          <w:rFonts w:ascii="Sylfaen" w:hAnsi="Sylfaen"/>
          <w:spacing w:val="-4"/>
          <w:sz w:val="24"/>
          <w:szCs w:val="24"/>
        </w:rPr>
        <w:tab/>
      </w:r>
      <w:r w:rsidRPr="009338B9">
        <w:rPr>
          <w:rFonts w:ascii="Sylfaen" w:hAnsi="Sylfaen"/>
          <w:spacing w:val="-4"/>
          <w:sz w:val="24"/>
          <w:szCs w:val="24"/>
        </w:rPr>
        <w:t>մեկ (AC-DC տիպի) արտածմամբ եւ 500 Վտ-ից ավելի, սակայն 1000 Վտ-ից ոչ ավելի</w:t>
      </w:r>
      <w:r w:rsidRPr="00CA27E3">
        <w:rPr>
          <w:rFonts w:ascii="Sylfaen" w:hAnsi="Sylfaen"/>
          <w:sz w:val="24"/>
          <w:szCs w:val="24"/>
        </w:rPr>
        <w:t xml:space="preserve"> անվանական հզորությամբ բոլոր սնուցման աղբյուրները պետք է ունենան ՕԳԳ ոչ պակաս, քան՝</w:t>
      </w:r>
    </w:p>
    <w:p w14:paraId="10C1C5E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75 %՝ անվանական մեծությունից 10 % ելքային հզորության դեպքում.</w:t>
      </w:r>
    </w:p>
    <w:p w14:paraId="74D1449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85 %՝ անվանական մեծությունից 20 % </w:t>
      </w:r>
      <w:r>
        <w:rPr>
          <w:rFonts w:ascii="Sylfaen" w:hAnsi="Sylfaen"/>
          <w:sz w:val="24"/>
          <w:szCs w:val="24"/>
        </w:rPr>
        <w:t>եւ</w:t>
      </w:r>
      <w:r w:rsidRPr="00CA27E3">
        <w:rPr>
          <w:rFonts w:ascii="Sylfaen" w:hAnsi="Sylfaen"/>
          <w:sz w:val="24"/>
          <w:szCs w:val="24"/>
        </w:rPr>
        <w:t xml:space="preserve"> 100 % ելքային հզորության դեպքում.</w:t>
      </w:r>
    </w:p>
    <w:p w14:paraId="1B415EB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89 %՝ անվանական մեծությունից 50 % ելքային հզորության դեպքում.</w:t>
      </w:r>
    </w:p>
    <w:p w14:paraId="35DBC170"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003F9A" w:rsidRPr="00003F9A">
        <w:rPr>
          <w:rFonts w:ascii="Sylfaen" w:hAnsi="Sylfaen"/>
          <w:sz w:val="24"/>
          <w:szCs w:val="24"/>
        </w:rPr>
        <w:tab/>
      </w:r>
      <w:r w:rsidRPr="00CA27E3">
        <w:rPr>
          <w:rFonts w:ascii="Sylfaen" w:hAnsi="Sylfaen"/>
          <w:sz w:val="24"/>
          <w:szCs w:val="24"/>
        </w:rPr>
        <w:t xml:space="preserve">մեկ (AC-DC տեսակի) արտածմամբ </w:t>
      </w:r>
      <w:r>
        <w:rPr>
          <w:rFonts w:ascii="Sylfaen" w:hAnsi="Sylfaen"/>
          <w:sz w:val="24"/>
          <w:szCs w:val="24"/>
        </w:rPr>
        <w:t>եւ</w:t>
      </w:r>
      <w:r w:rsidRPr="00CA27E3">
        <w:rPr>
          <w:rFonts w:ascii="Sylfaen" w:hAnsi="Sylfaen"/>
          <w:sz w:val="24"/>
          <w:szCs w:val="24"/>
        </w:rPr>
        <w:t xml:space="preserve"> 500 Վտ-ից ավելի, սակայն 1000</w:t>
      </w:r>
      <w:r w:rsidR="009338B9" w:rsidRPr="009338B9">
        <w:rPr>
          <w:rFonts w:ascii="Sylfaen" w:hAnsi="Sylfaen"/>
          <w:sz w:val="24"/>
          <w:szCs w:val="24"/>
        </w:rPr>
        <w:t> </w:t>
      </w:r>
      <w:r w:rsidRPr="00CA27E3">
        <w:rPr>
          <w:rFonts w:ascii="Sylfaen" w:hAnsi="Sylfaen"/>
          <w:sz w:val="24"/>
          <w:szCs w:val="24"/>
        </w:rPr>
        <w:t>Վտ-ից ոչ ավելի անվանական հզորությամբ բոլոր սնուցման աղբյուրները պետք է ունենան հզորության գործակից ոչ պակաս, քան՝</w:t>
      </w:r>
    </w:p>
    <w:p w14:paraId="4A98C48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0,65՝ անվանական մեծությունից 10 % ելքային հզորության դեպքում.</w:t>
      </w:r>
    </w:p>
    <w:p w14:paraId="61B9070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0,8՝ անվանական մեծությունից 20 % ելքային հզորության դեպքում.</w:t>
      </w:r>
    </w:p>
    <w:p w14:paraId="12504F8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 անվանական մեծությունից 50 % ելքային հզորության դեպքում.</w:t>
      </w:r>
    </w:p>
    <w:p w14:paraId="2E086ED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0,95՝ անվանական մեծությունից 100 % ելքային հզորության դեպքում.</w:t>
      </w:r>
    </w:p>
    <w:p w14:paraId="14905AA3"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զ)</w:t>
      </w:r>
      <w:r w:rsidR="00003F9A" w:rsidRPr="00003F9A">
        <w:rPr>
          <w:rFonts w:ascii="Sylfaen" w:hAnsi="Sylfaen"/>
          <w:sz w:val="24"/>
          <w:szCs w:val="24"/>
        </w:rPr>
        <w:tab/>
      </w:r>
      <w:r w:rsidRPr="00CA27E3">
        <w:rPr>
          <w:rFonts w:ascii="Sylfaen" w:hAnsi="Sylfaen"/>
          <w:sz w:val="24"/>
          <w:szCs w:val="24"/>
        </w:rPr>
        <w:t xml:space="preserve">մեկ (AC-DC տեսակի) արտածմամբ </w:t>
      </w:r>
      <w:r>
        <w:rPr>
          <w:rFonts w:ascii="Sylfaen" w:hAnsi="Sylfaen"/>
          <w:sz w:val="24"/>
          <w:szCs w:val="24"/>
        </w:rPr>
        <w:t>եւ</w:t>
      </w:r>
      <w:r w:rsidRPr="00CA27E3">
        <w:rPr>
          <w:rFonts w:ascii="Sylfaen" w:hAnsi="Sylfaen"/>
          <w:sz w:val="24"/>
          <w:szCs w:val="24"/>
        </w:rPr>
        <w:t xml:space="preserve"> 1000 Վտ-ից ավելի անվանական հզորությամբ բոլոր սնուցման աղբյուրները պետք է ունենան ՕԳԳ ոչ պակաս, քան՝</w:t>
      </w:r>
    </w:p>
    <w:p w14:paraId="00F1EBB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80 %՝ անվանական մեծությունից 10 % ելքային հզորության դեպքում.</w:t>
      </w:r>
    </w:p>
    <w:p w14:paraId="5BECB6C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 xml:space="preserve">88 %՝ անվանական մեծությունից 20 % </w:t>
      </w:r>
      <w:r>
        <w:rPr>
          <w:rFonts w:ascii="Sylfaen" w:hAnsi="Sylfaen"/>
          <w:sz w:val="24"/>
          <w:szCs w:val="24"/>
        </w:rPr>
        <w:t>եւ</w:t>
      </w:r>
      <w:r w:rsidRPr="00CA27E3">
        <w:rPr>
          <w:rFonts w:ascii="Sylfaen" w:hAnsi="Sylfaen"/>
          <w:sz w:val="24"/>
          <w:szCs w:val="24"/>
        </w:rPr>
        <w:t xml:space="preserve"> 100 % ելքային հզորության դեպքում.</w:t>
      </w:r>
    </w:p>
    <w:p w14:paraId="232CCE5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92 %՝ անվանական մեծությունից 50 % ելքային հզորության դեպքում.</w:t>
      </w:r>
    </w:p>
    <w:p w14:paraId="08F45040"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է)</w:t>
      </w:r>
      <w:r w:rsidR="00003F9A" w:rsidRPr="00003F9A">
        <w:rPr>
          <w:rFonts w:ascii="Sylfaen" w:hAnsi="Sylfaen"/>
          <w:sz w:val="24"/>
          <w:szCs w:val="24"/>
        </w:rPr>
        <w:tab/>
      </w:r>
      <w:r w:rsidRPr="00CA27E3">
        <w:rPr>
          <w:rFonts w:ascii="Sylfaen" w:hAnsi="Sylfaen"/>
          <w:sz w:val="24"/>
          <w:szCs w:val="24"/>
        </w:rPr>
        <w:t xml:space="preserve">մեկ (AC-DC տեսակի) արտածմամբ </w:t>
      </w:r>
      <w:r>
        <w:rPr>
          <w:rFonts w:ascii="Sylfaen" w:hAnsi="Sylfaen"/>
          <w:sz w:val="24"/>
          <w:szCs w:val="24"/>
        </w:rPr>
        <w:t>եւ</w:t>
      </w:r>
      <w:r w:rsidRPr="00CA27E3">
        <w:rPr>
          <w:rFonts w:ascii="Sylfaen" w:hAnsi="Sylfaen"/>
          <w:sz w:val="24"/>
          <w:szCs w:val="24"/>
        </w:rPr>
        <w:t xml:space="preserve"> 1000 Վտ-ից ավելի անվանական հզորությամբ բոլոր սնուցման աղբյուրները պետք է ունենան հզորության գործակից ոչ պակաս, քան՝</w:t>
      </w:r>
    </w:p>
    <w:p w14:paraId="1FB751A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0,8՝ անվանական մեծությունից 10 % ելքային հզորության դեպքում.</w:t>
      </w:r>
    </w:p>
    <w:p w14:paraId="56C492E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0,9՝ անվանական մեծությունից 20 % </w:t>
      </w:r>
      <w:r>
        <w:rPr>
          <w:rFonts w:ascii="Sylfaen" w:hAnsi="Sylfaen"/>
          <w:sz w:val="24"/>
          <w:szCs w:val="24"/>
        </w:rPr>
        <w:t>եւ</w:t>
      </w:r>
      <w:r w:rsidRPr="00CA27E3">
        <w:rPr>
          <w:rFonts w:ascii="Sylfaen" w:hAnsi="Sylfaen"/>
          <w:sz w:val="24"/>
          <w:szCs w:val="24"/>
        </w:rPr>
        <w:t xml:space="preserve"> 50 % ելքային հզորության դեպքում.</w:t>
      </w:r>
    </w:p>
    <w:p w14:paraId="4E440E2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0,95՝ անվանական մեծությունից 100 % ելքային հզորության դեպքում:</w:t>
      </w:r>
    </w:p>
    <w:p w14:paraId="23DF68B3"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13.</w:t>
      </w:r>
      <w:r w:rsidR="00003F9A" w:rsidRPr="00003F9A">
        <w:rPr>
          <w:rFonts w:ascii="Sylfaen" w:hAnsi="Sylfaen"/>
          <w:sz w:val="24"/>
          <w:szCs w:val="24"/>
        </w:rPr>
        <w:tab/>
      </w:r>
      <w:r w:rsidRPr="00CA27E3">
        <w:rPr>
          <w:rFonts w:ascii="Sylfaen" w:hAnsi="Sylfaen"/>
          <w:sz w:val="24"/>
          <w:szCs w:val="24"/>
        </w:rPr>
        <w:t xml:space="preserve">Սեղանի համակարգիչը, միաբլոկ սեղանի համակարգիչը </w:t>
      </w:r>
      <w:r>
        <w:rPr>
          <w:rFonts w:ascii="Sylfaen" w:hAnsi="Sylfaen"/>
          <w:sz w:val="24"/>
          <w:szCs w:val="24"/>
        </w:rPr>
        <w:t>եւ</w:t>
      </w:r>
      <w:r w:rsidRPr="00CA27E3">
        <w:rPr>
          <w:rFonts w:ascii="Sylfaen" w:hAnsi="Sylfaen"/>
          <w:sz w:val="24"/>
          <w:szCs w:val="24"/>
        </w:rPr>
        <w:t xml:space="preserve"> նոութբուքը պետք է ունենան էլեկտրասնուցման կառավարման գործառույթ կամ համանման գործառույթ, որը, երբ համակարգիչը չի կատարում հիմնական գործառույթը կամ, երբ այլ էներգասպառող սարքվածքներ կախված չեն դրա գործառութայնությունից,</w:t>
      </w:r>
      <w:r>
        <w:rPr>
          <w:rFonts w:ascii="Sylfaen" w:hAnsi="Sylfaen"/>
          <w:sz w:val="24"/>
          <w:szCs w:val="24"/>
        </w:rPr>
        <w:t xml:space="preserve"> </w:t>
      </w:r>
      <w:r w:rsidRPr="00CA27E3">
        <w:rPr>
          <w:rFonts w:ascii="Sylfaen" w:hAnsi="Sylfaen"/>
          <w:sz w:val="24"/>
          <w:szCs w:val="24"/>
        </w:rPr>
        <w:t>համակարգիչն ավտոմատ փոխարկում է քնի ռեժիմի համեմատ էլեկտրաէներգիայի ավելի ցածր սպառմամբ ռեժիմի, այդ թվում՝</w:t>
      </w:r>
    </w:p>
    <w:p w14:paraId="4CC06AE7"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003F9A" w:rsidRPr="00003F9A">
        <w:rPr>
          <w:rFonts w:ascii="Sylfaen" w:hAnsi="Sylfaen"/>
          <w:sz w:val="24"/>
          <w:szCs w:val="24"/>
        </w:rPr>
        <w:tab/>
      </w:r>
      <w:r w:rsidRPr="00CA27E3">
        <w:rPr>
          <w:rFonts w:ascii="Sylfaen" w:hAnsi="Sylfaen"/>
          <w:sz w:val="24"/>
          <w:szCs w:val="24"/>
        </w:rPr>
        <w:t>WOL գործառույթով համակարգիչը պետք է Ethernet տեղային ցանցով քնի ռեժիմի կամ անջատման ռեժիմի անցնելու դեպքում նվազեցնի 1 գիգաբայթ վայրկյանում (Գբ/վրկ) բոլոր ցանցային միացումների աշխատանքի արագությունը.</w:t>
      </w:r>
    </w:p>
    <w:p w14:paraId="0CD1EB86"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քնի ռեժիմում «ակտիվացում» հրամանին հակազդումը ցանցային միացումների կամ օգտվողի միջերեսի սարքվածքների միջոցով դրա ստանալուց հետո պետք է լինի 5 վրկ-ից ոչ ավելի ուշացումով՝ հրաման ստանալուց մինչ</w:t>
      </w:r>
      <w:r>
        <w:rPr>
          <w:rFonts w:ascii="Sylfaen" w:hAnsi="Sylfaen"/>
          <w:sz w:val="24"/>
          <w:szCs w:val="24"/>
        </w:rPr>
        <w:t>եւ</w:t>
      </w:r>
      <w:r w:rsidRPr="00CA27E3">
        <w:rPr>
          <w:rFonts w:ascii="Sylfaen" w:hAnsi="Sylfaen"/>
          <w:sz w:val="24"/>
          <w:szCs w:val="24"/>
        </w:rPr>
        <w:t xml:space="preserve"> այն պահը, երբ համակարգը դառնում է լիովին պատրաստ աշխատանքի համար՝ ներառյալ դիսփլեյը.</w:t>
      </w:r>
    </w:p>
    <w:p w14:paraId="6C4531B8" w14:textId="77777777" w:rsidR="00CA27E3" w:rsidRPr="009338B9" w:rsidRDefault="00CA27E3" w:rsidP="00003F9A">
      <w:pPr>
        <w:pStyle w:val="Bodytext212"/>
        <w:shd w:val="clear" w:color="auto" w:fill="auto"/>
        <w:tabs>
          <w:tab w:val="left" w:pos="1134"/>
        </w:tabs>
        <w:spacing w:after="160" w:line="360" w:lineRule="auto"/>
        <w:ind w:firstLine="567"/>
        <w:jc w:val="both"/>
        <w:rPr>
          <w:rFonts w:ascii="Sylfaen" w:hAnsi="Sylfaen"/>
          <w:spacing w:val="-6"/>
          <w:sz w:val="24"/>
          <w:szCs w:val="24"/>
        </w:rPr>
      </w:pPr>
      <w:r w:rsidRPr="009338B9">
        <w:rPr>
          <w:rFonts w:ascii="Sylfaen" w:hAnsi="Sylfaen"/>
          <w:spacing w:val="-6"/>
          <w:sz w:val="24"/>
          <w:szCs w:val="24"/>
        </w:rPr>
        <w:t>գ)</w:t>
      </w:r>
      <w:r w:rsidR="00003F9A" w:rsidRPr="009338B9">
        <w:rPr>
          <w:rFonts w:ascii="Sylfaen" w:hAnsi="Sylfaen"/>
          <w:spacing w:val="-6"/>
          <w:sz w:val="24"/>
          <w:szCs w:val="24"/>
        </w:rPr>
        <w:tab/>
      </w:r>
      <w:r w:rsidRPr="009338B9">
        <w:rPr>
          <w:rFonts w:ascii="Sylfaen" w:hAnsi="Sylfaen"/>
          <w:spacing w:val="-6"/>
          <w:sz w:val="24"/>
          <w:szCs w:val="24"/>
        </w:rPr>
        <w:t>եթե համակարգիչը լրակազմվում է դիսփլեյով, ապա դիսփլեյի անցումը քնի ռեժիմի պետք է իրականացվի օգտվողի անգործության 10 րոպեն լրանալուց հետո.</w:t>
      </w:r>
    </w:p>
    <w:p w14:paraId="359148F8"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003F9A" w:rsidRPr="00003F9A">
        <w:rPr>
          <w:rFonts w:ascii="Sylfaen" w:hAnsi="Sylfaen"/>
          <w:sz w:val="24"/>
          <w:szCs w:val="24"/>
        </w:rPr>
        <w:tab/>
      </w:r>
      <w:r w:rsidRPr="00CA27E3">
        <w:rPr>
          <w:rFonts w:ascii="Sylfaen" w:hAnsi="Sylfaen"/>
          <w:sz w:val="24"/>
          <w:szCs w:val="24"/>
        </w:rPr>
        <w:t xml:space="preserve">Ethernet տեղային ցանցի աջակցմամբ համակարգիչը պետք է ունենա քնի ռեժիմի համար WOL գործառույթը (առկայության դեպքում) միացնելու </w:t>
      </w:r>
      <w:r>
        <w:rPr>
          <w:rFonts w:ascii="Sylfaen" w:hAnsi="Sylfaen"/>
          <w:sz w:val="24"/>
          <w:szCs w:val="24"/>
        </w:rPr>
        <w:t>եւ</w:t>
      </w:r>
      <w:r w:rsidRPr="00CA27E3">
        <w:rPr>
          <w:rFonts w:ascii="Sylfaen" w:hAnsi="Sylfaen"/>
          <w:sz w:val="24"/>
          <w:szCs w:val="24"/>
        </w:rPr>
        <w:t xml:space="preserve"> </w:t>
      </w:r>
      <w:r w:rsidRPr="00CA27E3">
        <w:rPr>
          <w:rFonts w:ascii="Sylfaen" w:hAnsi="Sylfaen"/>
          <w:sz w:val="24"/>
          <w:szCs w:val="24"/>
        </w:rPr>
        <w:lastRenderedPageBreak/>
        <w:t xml:space="preserve">անջատելու հնարավորություն: Ethernet-ով համակարգիչը պետք է ունենա անջատման ռեժիմի համար WOL գործառույթը միացնելու </w:t>
      </w:r>
      <w:r>
        <w:rPr>
          <w:rFonts w:ascii="Sylfaen" w:hAnsi="Sylfaen"/>
          <w:sz w:val="24"/>
          <w:szCs w:val="24"/>
        </w:rPr>
        <w:t>եւ</w:t>
      </w:r>
      <w:r w:rsidRPr="00CA27E3">
        <w:rPr>
          <w:rFonts w:ascii="Sylfaen" w:hAnsi="Sylfaen"/>
          <w:sz w:val="24"/>
          <w:szCs w:val="24"/>
        </w:rPr>
        <w:t xml:space="preserve"> անջատելու հնարավորություն, եթե անջատման ռեժիմում աջակցվում է WOL գործառույթը.</w:t>
      </w:r>
    </w:p>
    <w:p w14:paraId="21A925F1"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003F9A" w:rsidRPr="00003F9A">
        <w:rPr>
          <w:rFonts w:ascii="Sylfaen" w:hAnsi="Sylfaen"/>
          <w:sz w:val="24"/>
          <w:szCs w:val="24"/>
        </w:rPr>
        <w:tab/>
      </w:r>
      <w:r w:rsidRPr="00CA27E3">
        <w:rPr>
          <w:rFonts w:ascii="Sylfaen" w:hAnsi="Sylfaen"/>
          <w:sz w:val="24"/>
          <w:szCs w:val="24"/>
        </w:rPr>
        <w:t>եթե համակարգիչը քնի ռեժիմի կամ այնպիսի այլ վիճակի անցնելու հնարավորություն ունի, որն ապահովում է քնի ռեժիմի գործառութայնությունը, ապա այդ ռեժիմը պետք է կարգաբերված լինի օգտվողի անգործության 30 րոպեն լրանալուց հետո միանալու համար: Սնուցման կառավարման այդ գործառույթը պետք է արտադրողի կողմից տեղակայված լինի մինչ</w:t>
      </w:r>
      <w:r>
        <w:rPr>
          <w:rFonts w:ascii="Sylfaen" w:hAnsi="Sylfaen"/>
          <w:sz w:val="24"/>
          <w:szCs w:val="24"/>
        </w:rPr>
        <w:t>եւ</w:t>
      </w:r>
      <w:r w:rsidRPr="00CA27E3">
        <w:rPr>
          <w:rFonts w:ascii="Sylfaen" w:hAnsi="Sylfaen"/>
          <w:sz w:val="24"/>
          <w:szCs w:val="24"/>
        </w:rPr>
        <w:t xml:space="preserve"> մատակարարումը.</w:t>
      </w:r>
    </w:p>
    <w:p w14:paraId="71214BD7" w14:textId="77777777" w:rsidR="00CA27E3" w:rsidRPr="009338B9" w:rsidRDefault="00CA27E3" w:rsidP="00003F9A">
      <w:pPr>
        <w:pStyle w:val="Bodytext212"/>
        <w:shd w:val="clear" w:color="auto" w:fill="auto"/>
        <w:tabs>
          <w:tab w:val="left" w:pos="1134"/>
        </w:tabs>
        <w:spacing w:after="160" w:line="360" w:lineRule="auto"/>
        <w:ind w:firstLine="567"/>
        <w:jc w:val="both"/>
        <w:rPr>
          <w:rFonts w:ascii="Sylfaen" w:hAnsi="Sylfaen"/>
          <w:spacing w:val="-4"/>
          <w:sz w:val="24"/>
          <w:szCs w:val="24"/>
        </w:rPr>
      </w:pPr>
      <w:r w:rsidRPr="00CA27E3">
        <w:rPr>
          <w:rFonts w:ascii="Sylfaen" w:hAnsi="Sylfaen"/>
          <w:sz w:val="24"/>
          <w:szCs w:val="24"/>
        </w:rPr>
        <w:t>զ)</w:t>
      </w:r>
      <w:r w:rsidR="00003F9A" w:rsidRPr="00003F9A">
        <w:rPr>
          <w:rFonts w:ascii="Sylfaen" w:hAnsi="Sylfaen"/>
          <w:sz w:val="24"/>
          <w:szCs w:val="24"/>
        </w:rPr>
        <w:tab/>
      </w:r>
      <w:r w:rsidRPr="00CA27E3">
        <w:rPr>
          <w:rFonts w:ascii="Sylfaen" w:hAnsi="Sylfaen"/>
          <w:sz w:val="24"/>
          <w:szCs w:val="24"/>
        </w:rPr>
        <w:t xml:space="preserve">օգտվողները պետք է ունենան անլար ցանցերը միացնելու կամ անջատելու հնարավորություն, </w:t>
      </w:r>
      <w:r>
        <w:rPr>
          <w:rFonts w:ascii="Sylfaen" w:hAnsi="Sylfaen"/>
          <w:sz w:val="24"/>
          <w:szCs w:val="24"/>
        </w:rPr>
        <w:t>եւ</w:t>
      </w:r>
      <w:r w:rsidRPr="00CA27E3">
        <w:rPr>
          <w:rFonts w:ascii="Sylfaen" w:hAnsi="Sylfaen"/>
          <w:sz w:val="24"/>
          <w:szCs w:val="24"/>
        </w:rPr>
        <w:t xml:space="preserve"> օգտվողներին պետք է տրամադրվեն այն խորհրդանիշերի, լուսային ցուցանշման կամ համարժեք ազդանշանների մասին </w:t>
      </w:r>
      <w:r w:rsidRPr="009338B9">
        <w:rPr>
          <w:rFonts w:ascii="Sylfaen" w:hAnsi="Sylfaen"/>
          <w:spacing w:val="-4"/>
          <w:sz w:val="24"/>
          <w:szCs w:val="24"/>
        </w:rPr>
        <w:t>հստակ տեղեկությունները, որոնք ցույց են տալիս, թե անլար ցանցերը միացված են, թե՝ անջատված:</w:t>
      </w:r>
    </w:p>
    <w:p w14:paraId="25676746"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14.</w:t>
      </w:r>
      <w:r w:rsidR="00003F9A" w:rsidRPr="00003F9A">
        <w:rPr>
          <w:rFonts w:ascii="Sylfaen" w:hAnsi="Sylfaen"/>
          <w:sz w:val="24"/>
          <w:szCs w:val="24"/>
        </w:rPr>
        <w:tab/>
      </w:r>
      <w:r w:rsidRPr="00CA27E3">
        <w:rPr>
          <w:rFonts w:ascii="Sylfaen" w:hAnsi="Sylfaen"/>
          <w:sz w:val="24"/>
          <w:szCs w:val="24"/>
        </w:rPr>
        <w:t xml:space="preserve">Տեխնիկական կանոնակարգի 13-րդ կետով նախատեսված՝ համակարգիչներին </w:t>
      </w:r>
      <w:r>
        <w:rPr>
          <w:rFonts w:ascii="Sylfaen" w:hAnsi="Sylfaen"/>
          <w:sz w:val="24"/>
          <w:szCs w:val="24"/>
        </w:rPr>
        <w:t>եւ</w:t>
      </w:r>
      <w:r w:rsidRPr="00CA27E3">
        <w:rPr>
          <w:rFonts w:ascii="Sylfaen" w:hAnsi="Sylfaen"/>
          <w:sz w:val="24"/>
          <w:szCs w:val="24"/>
        </w:rPr>
        <w:t xml:space="preserve"> սերվերներին կից ներկայացված շահագործման փաստաթղթերը պետք է դրանց բնութագրերի </w:t>
      </w:r>
      <w:r>
        <w:rPr>
          <w:rFonts w:ascii="Sylfaen" w:hAnsi="Sylfaen"/>
          <w:sz w:val="24"/>
          <w:szCs w:val="24"/>
        </w:rPr>
        <w:t>եւ</w:t>
      </w:r>
      <w:r w:rsidRPr="00CA27E3">
        <w:rPr>
          <w:rFonts w:ascii="Sylfaen" w:hAnsi="Sylfaen"/>
          <w:sz w:val="24"/>
          <w:szCs w:val="24"/>
        </w:rPr>
        <w:t xml:space="preserve"> պարամետրերի մասին պարունակեն հետ</w:t>
      </w:r>
      <w:r>
        <w:rPr>
          <w:rFonts w:ascii="Sylfaen" w:hAnsi="Sylfaen"/>
          <w:sz w:val="24"/>
          <w:szCs w:val="24"/>
        </w:rPr>
        <w:t>եւ</w:t>
      </w:r>
      <w:r w:rsidRPr="00CA27E3">
        <w:rPr>
          <w:rFonts w:ascii="Sylfaen" w:hAnsi="Sylfaen"/>
          <w:sz w:val="24"/>
          <w:szCs w:val="24"/>
        </w:rPr>
        <w:t>յալ տեղեկությունները՝</w:t>
      </w:r>
    </w:p>
    <w:p w14:paraId="0AF1BF20" w14:textId="77777777" w:rsidR="00CA27E3" w:rsidRPr="00CA27E3" w:rsidRDefault="00CA27E3" w:rsidP="009338B9">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9338B9" w:rsidRPr="009338B9">
        <w:rPr>
          <w:rFonts w:ascii="Sylfaen" w:hAnsi="Sylfaen"/>
          <w:sz w:val="24"/>
          <w:szCs w:val="24"/>
        </w:rPr>
        <w:tab/>
      </w:r>
      <w:r w:rsidRPr="00CA27E3">
        <w:rPr>
          <w:rFonts w:ascii="Sylfaen" w:hAnsi="Sylfaen"/>
          <w:sz w:val="24"/>
          <w:szCs w:val="24"/>
        </w:rPr>
        <w:t xml:space="preserve">սեղանի համակարգիչների, միաբլոկ սեղանի համակարգիչների </w:t>
      </w:r>
      <w:r>
        <w:rPr>
          <w:rFonts w:ascii="Sylfaen" w:hAnsi="Sylfaen"/>
          <w:sz w:val="24"/>
          <w:szCs w:val="24"/>
        </w:rPr>
        <w:t>եւ</w:t>
      </w:r>
      <w:r w:rsidRPr="00CA27E3">
        <w:rPr>
          <w:rFonts w:ascii="Sylfaen" w:hAnsi="Sylfaen"/>
          <w:sz w:val="24"/>
          <w:szCs w:val="24"/>
        </w:rPr>
        <w:t xml:space="preserve"> նոութբուքերի համար՝</w:t>
      </w:r>
    </w:p>
    <w:p w14:paraId="773DE82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TEC</w:t>
      </w:r>
      <w:r w:rsidRPr="00CA27E3">
        <w:rPr>
          <w:rFonts w:ascii="Sylfaen" w:hAnsi="Sylfaen"/>
          <w:sz w:val="24"/>
          <w:szCs w:val="24"/>
        </w:rPr>
        <w:t xml:space="preserve"> արժեքը (կՎտժ-ով) </w:t>
      </w:r>
      <w:r>
        <w:rPr>
          <w:rFonts w:ascii="Sylfaen" w:hAnsi="Sylfaen"/>
          <w:sz w:val="24"/>
          <w:szCs w:val="24"/>
        </w:rPr>
        <w:t>եւ</w:t>
      </w:r>
      <w:r w:rsidRPr="00CA27E3">
        <w:rPr>
          <w:rFonts w:ascii="Sylfaen" w:hAnsi="Sylfaen"/>
          <w:sz w:val="24"/>
          <w:szCs w:val="24"/>
        </w:rPr>
        <w:t xml:space="preserve"> կառավարվող դիսփլեյով էներգասպառման մեծությունը, երբ բոլոր դիսկրետային տեսաքարտերը (dGfx) անջատված են ու համակարգը գործում է այդ վիճակում անջատվող UMA-ով.</w:t>
      </w:r>
    </w:p>
    <w:p w14:paraId="1D00A6A5"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E</w:t>
      </w:r>
      <w:r w:rsidRPr="00CA27E3">
        <w:rPr>
          <w:rFonts w:ascii="Sylfaen" w:hAnsi="Sylfaen"/>
          <w:sz w:val="24"/>
          <w:szCs w:val="24"/>
          <w:vertAlign w:val="subscript"/>
        </w:rPr>
        <w:t>TEC</w:t>
      </w:r>
      <w:r w:rsidRPr="00CA27E3">
        <w:rPr>
          <w:rFonts w:ascii="Sylfaen" w:hAnsi="Sylfaen"/>
          <w:sz w:val="24"/>
          <w:szCs w:val="24"/>
        </w:rPr>
        <w:t xml:space="preserve"> արժեքը (կՎտժ-ով) </w:t>
      </w:r>
      <w:r>
        <w:rPr>
          <w:rFonts w:ascii="Sylfaen" w:hAnsi="Sylfaen"/>
          <w:sz w:val="24"/>
          <w:szCs w:val="24"/>
        </w:rPr>
        <w:t>եւ</w:t>
      </w:r>
      <w:r w:rsidRPr="00CA27E3">
        <w:rPr>
          <w:rFonts w:ascii="Sylfaen" w:hAnsi="Sylfaen"/>
          <w:sz w:val="24"/>
          <w:szCs w:val="24"/>
        </w:rPr>
        <w:t xml:space="preserve"> էներգասպառման մեծությունը, երբ բոլոր դիսկրետային տեսաքարտերը (dGfx) միացված են.</w:t>
      </w:r>
    </w:p>
    <w:p w14:paraId="3D05C682"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պարապուրդի վիճակում սպառվող հզորությունը (Վտ-ով).</w:t>
      </w:r>
    </w:p>
    <w:p w14:paraId="219D366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քնի ռեժիմում սպառվող հզորությունը (Վտ-ով).</w:t>
      </w:r>
    </w:p>
    <w:p w14:paraId="273CEAB5"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lastRenderedPageBreak/>
        <w:t>WOL գործառույթի աջակցմամբ (եթե կիրառելի է) քնի ռեժիմում սպառվող հզորությունը (Վտ-ով).</w:t>
      </w:r>
    </w:p>
    <w:p w14:paraId="6704DAB3"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անջատման ռեժիմում սպառվող հզորությունը (Վտ-ով).</w:t>
      </w:r>
    </w:p>
    <w:p w14:paraId="4046E0AA"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WOL գործառույթի աջակցմամբ (եթե կիրառելի է) անջատման ռեժիմում սպառվող հզորությունը (Վտ-ով).</w:t>
      </w:r>
    </w:p>
    <w:p w14:paraId="7A25B937"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 xml:space="preserve">անվանական ելքային հզորությունից 10 %, 20 %, 50 % </w:t>
      </w:r>
      <w:r>
        <w:rPr>
          <w:rFonts w:ascii="Sylfaen" w:hAnsi="Sylfaen"/>
          <w:sz w:val="24"/>
          <w:szCs w:val="24"/>
        </w:rPr>
        <w:t>եւ</w:t>
      </w:r>
      <w:r w:rsidRPr="00CA27E3">
        <w:rPr>
          <w:rFonts w:ascii="Sylfaen" w:hAnsi="Sylfaen"/>
          <w:sz w:val="24"/>
          <w:szCs w:val="24"/>
        </w:rPr>
        <w:t xml:space="preserve"> 100 % սպառման դեպքում սնուցման ներքին աղբյուրի ՕԳԳ-ն.</w:t>
      </w:r>
    </w:p>
    <w:p w14:paraId="143F5C8F"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էլեկտրասնուցման արտաքին աղբյուրի ՕԳԳ-ն.</w:t>
      </w:r>
    </w:p>
    <w:p w14:paraId="5DCE8AE0"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աղմուկի մակարդակը (հայտարարված ձայնային ճնշման մակարդակն ըստ համակարգչի «А» սանդղակի).</w:t>
      </w:r>
    </w:p>
    <w:p w14:paraId="57B2A4AA"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լիցքավորման ցիկլերի նվազագույն թիվը, որին կարող են դիմակայել կուտակիչները (միայն նոութբուքերի համար).</w:t>
      </w:r>
    </w:p>
    <w:p w14:paraId="7B64002C"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կայուն էներգասպառմանը հասնելու համար քայլերի հաջորդականությունը.</w:t>
      </w:r>
    </w:p>
    <w:p w14:paraId="46677FD6"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 xml:space="preserve">քնի ռեժիմի </w:t>
      </w:r>
      <w:r>
        <w:rPr>
          <w:rFonts w:ascii="Sylfaen" w:hAnsi="Sylfaen"/>
          <w:sz w:val="24"/>
          <w:szCs w:val="24"/>
        </w:rPr>
        <w:t>եւ</w:t>
      </w:r>
      <w:r w:rsidRPr="00CA27E3">
        <w:rPr>
          <w:rFonts w:ascii="Sylfaen" w:hAnsi="Sylfaen"/>
          <w:sz w:val="24"/>
          <w:szCs w:val="24"/>
        </w:rPr>
        <w:t xml:space="preserve"> (կամ) անջատման ռեժիմի ծրագրավորման ընտրության ընթացակարգի նկարագրությունը.</w:t>
      </w:r>
    </w:p>
    <w:p w14:paraId="0BA0054B" w14:textId="77777777" w:rsidR="00CA27E3" w:rsidRPr="00CA27E3" w:rsidRDefault="00CA27E3" w:rsidP="009338B9">
      <w:pPr>
        <w:pStyle w:val="Bodytext212"/>
        <w:shd w:val="clear" w:color="auto" w:fill="auto"/>
        <w:spacing w:after="160" w:line="348" w:lineRule="auto"/>
        <w:ind w:firstLine="567"/>
        <w:jc w:val="both"/>
        <w:rPr>
          <w:rFonts w:ascii="Sylfaen" w:hAnsi="Sylfaen"/>
          <w:sz w:val="24"/>
          <w:szCs w:val="24"/>
        </w:rPr>
      </w:pPr>
      <w:r w:rsidRPr="00CA27E3">
        <w:rPr>
          <w:rFonts w:ascii="Sylfaen" w:hAnsi="Sylfaen"/>
          <w:sz w:val="24"/>
          <w:szCs w:val="24"/>
        </w:rPr>
        <w:t xml:space="preserve">այն իրադարձությունների հաջորդականությունը, որոնք անհրաժեշտ են այն ռեժիմի հասնելու համար, որի ժամանակ սարքավորումն ավտոմատ անցնում է քնի ռեժիմի </w:t>
      </w:r>
      <w:r>
        <w:rPr>
          <w:rFonts w:ascii="Sylfaen" w:hAnsi="Sylfaen"/>
          <w:sz w:val="24"/>
          <w:szCs w:val="24"/>
        </w:rPr>
        <w:t>եւ</w:t>
      </w:r>
      <w:r w:rsidRPr="00CA27E3">
        <w:rPr>
          <w:rFonts w:ascii="Sylfaen" w:hAnsi="Sylfaen"/>
          <w:sz w:val="24"/>
          <w:szCs w:val="24"/>
        </w:rPr>
        <w:t xml:space="preserve"> (կամ) անջատման ռեժիմի.</w:t>
      </w:r>
    </w:p>
    <w:p w14:paraId="14F7CBD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պարապուրդի (հանգստի) վիճակի տ</w:t>
      </w:r>
      <w:r>
        <w:rPr>
          <w:rFonts w:ascii="Sylfaen" w:hAnsi="Sylfaen"/>
          <w:sz w:val="24"/>
          <w:szCs w:val="24"/>
        </w:rPr>
        <w:t>եւ</w:t>
      </w:r>
      <w:r w:rsidRPr="00CA27E3">
        <w:rPr>
          <w:rFonts w:ascii="Sylfaen" w:hAnsi="Sylfaen"/>
          <w:sz w:val="24"/>
          <w:szCs w:val="24"/>
        </w:rPr>
        <w:t>ողությունը՝ մինչ</w:t>
      </w:r>
      <w:r>
        <w:rPr>
          <w:rFonts w:ascii="Sylfaen" w:hAnsi="Sylfaen"/>
          <w:sz w:val="24"/>
          <w:szCs w:val="24"/>
        </w:rPr>
        <w:t>եւ</w:t>
      </w:r>
      <w:r w:rsidRPr="00CA27E3">
        <w:rPr>
          <w:rFonts w:ascii="Sylfaen" w:hAnsi="Sylfaen"/>
          <w:sz w:val="24"/>
          <w:szCs w:val="24"/>
        </w:rPr>
        <w:t xml:space="preserve"> համակարգչի՝</w:t>
      </w:r>
      <w:r>
        <w:rPr>
          <w:rFonts w:ascii="Sylfaen" w:hAnsi="Sylfaen"/>
          <w:sz w:val="24"/>
          <w:szCs w:val="24"/>
        </w:rPr>
        <w:t xml:space="preserve"> </w:t>
      </w:r>
      <w:r w:rsidRPr="00CA27E3">
        <w:rPr>
          <w:rFonts w:ascii="Sylfaen" w:hAnsi="Sylfaen"/>
          <w:sz w:val="24"/>
          <w:szCs w:val="24"/>
        </w:rPr>
        <w:t>քնի ռեժիմի կամ այլ վիճակի ավտոմատ անցնելը, որի ժամանակ հզորության սպառումը չի գերազանցում հզորության պահանջվող ապառումը քնի ռեժիմում.</w:t>
      </w:r>
    </w:p>
    <w:p w14:paraId="0153B66D"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օգտվողի անգործության ժամանակահատվածը, որը լրանալուն պես համակարգիչն ավտոմատ անցնում է այնպիսի սնուցման ռեժիմի, որն ավելի ցածր էներգասպառում ունի, քան քնի ռեժիմը.</w:t>
      </w:r>
    </w:p>
    <w:p w14:paraId="038A135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օգտվողի անգործության ժամանակահատվածից հետո մինչ</w:t>
      </w:r>
      <w:r>
        <w:rPr>
          <w:rFonts w:ascii="Sylfaen" w:hAnsi="Sylfaen"/>
          <w:sz w:val="24"/>
          <w:szCs w:val="24"/>
        </w:rPr>
        <w:t>եւ</w:t>
      </w:r>
      <w:r w:rsidRPr="00CA27E3">
        <w:rPr>
          <w:rFonts w:ascii="Sylfaen" w:hAnsi="Sylfaen"/>
          <w:sz w:val="24"/>
          <w:szCs w:val="24"/>
        </w:rPr>
        <w:t xml:space="preserve"> քնի ռեժիմի անցնելու ժամանակը.</w:t>
      </w:r>
    </w:p>
    <w:p w14:paraId="6315D79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օգտվողի համար նախատեսված՝ էլեկտրասնուցման կառավարման համակարգի էներգախնայողության ներուժի մասին տեղեկատվությունը.</w:t>
      </w:r>
    </w:p>
    <w:p w14:paraId="57FC840B"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օգտվողի համար նախատեսված՝ էլեկտրասնուցման կառավարման գործառական հնարավորությունների մասին տեղեկատվությունը.</w:t>
      </w:r>
    </w:p>
    <w:p w14:paraId="0D627FD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9338B9">
        <w:rPr>
          <w:rFonts w:ascii="Sylfaen" w:hAnsi="Sylfaen"/>
          <w:spacing w:val="-6"/>
          <w:sz w:val="24"/>
          <w:szCs w:val="24"/>
        </w:rPr>
        <w:t>սնդիկ պարունակող ներկառուցված դիսփլեյով համակարգիչների համար X,X մգ գրառման</w:t>
      </w:r>
      <w:r w:rsidRPr="00CA27E3">
        <w:rPr>
          <w:rFonts w:ascii="Sylfaen" w:hAnsi="Sylfaen"/>
          <w:sz w:val="24"/>
          <w:szCs w:val="24"/>
        </w:rPr>
        <w:t xml:space="preserve"> ձ</w:t>
      </w:r>
      <w:r>
        <w:rPr>
          <w:rFonts w:ascii="Sylfaen" w:hAnsi="Sylfaen"/>
          <w:sz w:val="24"/>
          <w:szCs w:val="24"/>
        </w:rPr>
        <w:t>եւ</w:t>
      </w:r>
      <w:r w:rsidRPr="00CA27E3">
        <w:rPr>
          <w:rFonts w:ascii="Sylfaen" w:hAnsi="Sylfaen"/>
          <w:sz w:val="24"/>
          <w:szCs w:val="24"/>
        </w:rPr>
        <w:t>աչափով սնդիկի ընդհանուր պարունակությունը.</w:t>
      </w:r>
    </w:p>
    <w:p w14:paraId="16CE95BA" w14:textId="77777777" w:rsidR="00CA27E3" w:rsidRPr="00CA27E3" w:rsidRDefault="00CA27E3" w:rsidP="009338B9">
      <w:pPr>
        <w:pStyle w:val="CommentText"/>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9338B9" w:rsidRPr="009338B9">
        <w:rPr>
          <w:rFonts w:ascii="Sylfaen" w:hAnsi="Sylfaen"/>
          <w:sz w:val="24"/>
          <w:szCs w:val="24"/>
        </w:rPr>
        <w:tab/>
      </w:r>
      <w:r w:rsidRPr="00CA27E3">
        <w:rPr>
          <w:rFonts w:ascii="Sylfaen" w:hAnsi="Sylfaen"/>
          <w:sz w:val="24"/>
          <w:szCs w:val="24"/>
        </w:rPr>
        <w:t>մեկ կամ մի քանի այնպիսի կուտակիչներով աշխատող նոութբուքերի համար, որոնք կարող են փոխարինվել ոչ պրոֆեսիոնալ օգտվողների կողմից, ի</w:t>
      </w:r>
      <w:r w:rsidR="009338B9" w:rsidRPr="009338B9">
        <w:rPr>
          <w:rFonts w:ascii="Sylfaen" w:hAnsi="Sylfaen"/>
          <w:sz w:val="24"/>
          <w:szCs w:val="24"/>
        </w:rPr>
        <w:t> </w:t>
      </w:r>
      <w:r w:rsidRPr="00CA27E3">
        <w:rPr>
          <w:rFonts w:ascii="Sylfaen" w:hAnsi="Sylfaen"/>
          <w:sz w:val="24"/>
          <w:szCs w:val="24"/>
        </w:rPr>
        <w:t xml:space="preserve">լրումն սույն կետի «ա» ենթակետում նշված տեղեկատվության՝ շահագործման փաստաթղթերում </w:t>
      </w:r>
      <w:r>
        <w:rPr>
          <w:rFonts w:ascii="Sylfaen" w:hAnsi="Sylfaen"/>
          <w:sz w:val="24"/>
          <w:szCs w:val="24"/>
        </w:rPr>
        <w:t>եւ</w:t>
      </w:r>
      <w:r w:rsidRPr="00CA27E3">
        <w:rPr>
          <w:rFonts w:ascii="Sylfaen" w:hAnsi="Sylfaen"/>
          <w:sz w:val="24"/>
          <w:szCs w:val="24"/>
        </w:rPr>
        <w:t xml:space="preserve"> նոութբուքի արտաքին փաթեթվածքի վրա պետք է առկա լինի հետ</w:t>
      </w:r>
      <w:r>
        <w:rPr>
          <w:rFonts w:ascii="Sylfaen" w:hAnsi="Sylfaen"/>
          <w:sz w:val="24"/>
          <w:szCs w:val="24"/>
        </w:rPr>
        <w:t>եւ</w:t>
      </w:r>
      <w:r w:rsidRPr="00CA27E3">
        <w:rPr>
          <w:rFonts w:ascii="Sylfaen" w:hAnsi="Sylfaen"/>
          <w:sz w:val="24"/>
          <w:szCs w:val="24"/>
        </w:rPr>
        <w:t>յալ մակագրությունը՝ «Տվյալ սարքվածքի կուտակիչը չի կարող օգտվողի կողմից ինքնուրույնաբար հեշտությամբ փոխարինվել».</w:t>
      </w:r>
    </w:p>
    <w:p w14:paraId="0E52AC68"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գ)</w:t>
      </w:r>
      <w:r w:rsidR="00003F9A" w:rsidRPr="00003F9A">
        <w:rPr>
          <w:rFonts w:ascii="Sylfaen" w:hAnsi="Sylfaen"/>
          <w:sz w:val="24"/>
          <w:szCs w:val="24"/>
        </w:rPr>
        <w:tab/>
      </w:r>
      <w:r w:rsidRPr="00CA27E3">
        <w:rPr>
          <w:rFonts w:ascii="Sylfaen" w:hAnsi="Sylfaen"/>
          <w:sz w:val="24"/>
          <w:szCs w:val="24"/>
        </w:rPr>
        <w:t xml:space="preserve">աշխատանքային կայանների, շարժական աշխատանքային կայանների, սեղանի «բարակ սպասառուների», փոքր սերվերների </w:t>
      </w:r>
      <w:r>
        <w:rPr>
          <w:rFonts w:ascii="Sylfaen" w:hAnsi="Sylfaen"/>
          <w:sz w:val="24"/>
          <w:szCs w:val="24"/>
        </w:rPr>
        <w:t>եւ</w:t>
      </w:r>
      <w:r w:rsidRPr="00CA27E3">
        <w:rPr>
          <w:rFonts w:ascii="Sylfaen" w:hAnsi="Sylfaen"/>
          <w:sz w:val="24"/>
          <w:szCs w:val="24"/>
        </w:rPr>
        <w:t xml:space="preserve"> համակարգիչ-սերվերների համար՝</w:t>
      </w:r>
    </w:p>
    <w:p w14:paraId="14ACCF3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էլեկտրասնուցման ներքին (արտաքին) աղբյուրի ՕԳԳ-ն.</w:t>
      </w:r>
    </w:p>
    <w:p w14:paraId="4496957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սպառվող առավելագույն հզորությունը (Վտ-ով).</w:t>
      </w:r>
    </w:p>
    <w:p w14:paraId="5FF02B2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պարապուրդի վիճակում սպառվող հզորությունը (Վտ-ով).</w:t>
      </w:r>
    </w:p>
    <w:p w14:paraId="1BB450DC"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քնի ռեժիմում սպառվող հզորությունը (Վտ-ով).</w:t>
      </w:r>
    </w:p>
    <w:p w14:paraId="6F8ECBA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անջատման ռեժիմում սպառվող հզորությունը (Վտ-ով).</w:t>
      </w:r>
    </w:p>
    <w:p w14:paraId="5427CDA9"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համակարգչի աղմուկի մակարդակը (հայտարարված ձայնային ճնշման մակարդակն ըստ «А» սանդղակի):</w:t>
      </w:r>
    </w:p>
    <w:p w14:paraId="1609C050"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15.</w:t>
      </w:r>
      <w:r w:rsidR="00003F9A" w:rsidRPr="00003F9A">
        <w:rPr>
          <w:rFonts w:ascii="Sylfaen" w:hAnsi="Sylfaen"/>
          <w:sz w:val="24"/>
          <w:szCs w:val="24"/>
        </w:rPr>
        <w:tab/>
      </w:r>
      <w:r w:rsidRPr="00CA27E3">
        <w:rPr>
          <w:rFonts w:ascii="Sylfaen" w:hAnsi="Sylfaen"/>
          <w:sz w:val="24"/>
          <w:szCs w:val="24"/>
        </w:rPr>
        <w:t xml:space="preserve">Եթե համակարգչի </w:t>
      </w:r>
      <w:r>
        <w:rPr>
          <w:rFonts w:ascii="Sylfaen" w:hAnsi="Sylfaen"/>
          <w:sz w:val="24"/>
          <w:szCs w:val="24"/>
        </w:rPr>
        <w:t>եւ</w:t>
      </w:r>
      <w:r w:rsidRPr="00CA27E3">
        <w:rPr>
          <w:rFonts w:ascii="Sylfaen" w:hAnsi="Sylfaen"/>
          <w:sz w:val="24"/>
          <w:szCs w:val="24"/>
        </w:rPr>
        <w:t xml:space="preserve"> (կամ) սերվերի մոդելն ունի մի քանի կազմաձ</w:t>
      </w:r>
      <w:r>
        <w:rPr>
          <w:rFonts w:ascii="Sylfaen" w:hAnsi="Sylfaen"/>
          <w:sz w:val="24"/>
          <w:szCs w:val="24"/>
        </w:rPr>
        <w:t>եւ</w:t>
      </w:r>
      <w:r w:rsidRPr="00CA27E3">
        <w:rPr>
          <w:rFonts w:ascii="Sylfaen" w:hAnsi="Sylfaen"/>
          <w:sz w:val="24"/>
          <w:szCs w:val="24"/>
        </w:rPr>
        <w:t xml:space="preserve">եր, ապա շահագործման փաստաթղթերը կարող են պարունակել սույն պահանջների 14-րդ կետում նշված տեղեկությունները միայն համակարգիչների </w:t>
      </w:r>
      <w:r>
        <w:rPr>
          <w:rFonts w:ascii="Sylfaen" w:hAnsi="Sylfaen"/>
          <w:sz w:val="24"/>
          <w:szCs w:val="24"/>
        </w:rPr>
        <w:t>եւ</w:t>
      </w:r>
      <w:r w:rsidRPr="00CA27E3">
        <w:rPr>
          <w:rFonts w:ascii="Sylfaen" w:hAnsi="Sylfaen"/>
          <w:sz w:val="24"/>
          <w:szCs w:val="24"/>
        </w:rPr>
        <w:t xml:space="preserve"> (կամ) սերվերների տվյալ կատեգորիայի մեջ ամենաբարդ կազմաձ</w:t>
      </w:r>
      <w:r>
        <w:rPr>
          <w:rFonts w:ascii="Sylfaen" w:hAnsi="Sylfaen"/>
          <w:sz w:val="24"/>
          <w:szCs w:val="24"/>
        </w:rPr>
        <w:t>եւ</w:t>
      </w:r>
      <w:r w:rsidRPr="00CA27E3">
        <w:rPr>
          <w:rFonts w:ascii="Sylfaen" w:hAnsi="Sylfaen"/>
          <w:sz w:val="24"/>
          <w:szCs w:val="24"/>
        </w:rPr>
        <w:t xml:space="preserve">ի համար: Ընդ որում, </w:t>
      </w:r>
      <w:r w:rsidRPr="00CA27E3">
        <w:rPr>
          <w:rFonts w:ascii="Sylfaen" w:hAnsi="Sylfaen"/>
          <w:sz w:val="24"/>
          <w:szCs w:val="24"/>
        </w:rPr>
        <w:lastRenderedPageBreak/>
        <w:t xml:space="preserve">պետք է թվարկվեն համակարգչի </w:t>
      </w:r>
      <w:r>
        <w:rPr>
          <w:rFonts w:ascii="Sylfaen" w:hAnsi="Sylfaen"/>
          <w:sz w:val="24"/>
          <w:szCs w:val="24"/>
        </w:rPr>
        <w:t>եւ</w:t>
      </w:r>
      <w:r w:rsidRPr="00CA27E3">
        <w:rPr>
          <w:rFonts w:ascii="Sylfaen" w:hAnsi="Sylfaen"/>
          <w:sz w:val="24"/>
          <w:szCs w:val="24"/>
        </w:rPr>
        <w:t xml:space="preserve"> (կամ) սերվերի տվյալ մոդելի բոլոր այն կազմաձ</w:t>
      </w:r>
      <w:r>
        <w:rPr>
          <w:rFonts w:ascii="Sylfaen" w:hAnsi="Sylfaen"/>
          <w:sz w:val="24"/>
          <w:szCs w:val="24"/>
        </w:rPr>
        <w:t>եւ</w:t>
      </w:r>
      <w:r w:rsidRPr="00CA27E3">
        <w:rPr>
          <w:rFonts w:ascii="Sylfaen" w:hAnsi="Sylfaen"/>
          <w:sz w:val="24"/>
          <w:szCs w:val="24"/>
        </w:rPr>
        <w:t>երը, որոնց վրա տարածվում է նշված տեղեկատվությունը:</w:t>
      </w:r>
    </w:p>
    <w:p w14:paraId="0F237077"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16.</w:t>
      </w:r>
      <w:r w:rsidR="00003F9A" w:rsidRPr="00003F9A">
        <w:rPr>
          <w:rFonts w:ascii="Sylfaen" w:hAnsi="Sylfaen"/>
          <w:sz w:val="24"/>
          <w:szCs w:val="24"/>
        </w:rPr>
        <w:tab/>
      </w:r>
      <w:r w:rsidRPr="00CA27E3">
        <w:rPr>
          <w:rFonts w:ascii="Sylfaen" w:hAnsi="Sylfaen"/>
          <w:sz w:val="24"/>
          <w:szCs w:val="24"/>
        </w:rPr>
        <w:t xml:space="preserve">Տեխնիկական կանոնակարգի 23-րդ կետի «ա» ենթակետում նշված՝ համակարգիչներին </w:t>
      </w:r>
      <w:r>
        <w:rPr>
          <w:rFonts w:ascii="Sylfaen" w:hAnsi="Sylfaen"/>
          <w:sz w:val="24"/>
          <w:szCs w:val="24"/>
        </w:rPr>
        <w:t>եւ</w:t>
      </w:r>
      <w:r w:rsidRPr="00CA27E3">
        <w:rPr>
          <w:rFonts w:ascii="Sylfaen" w:hAnsi="Sylfaen"/>
          <w:sz w:val="24"/>
          <w:szCs w:val="24"/>
        </w:rPr>
        <w:t xml:space="preserve"> (կամ) սերվերներին կցվող փաստաթղթերի փաթեթի մեջ համակարգիչների </w:t>
      </w:r>
      <w:r>
        <w:rPr>
          <w:rFonts w:ascii="Sylfaen" w:hAnsi="Sylfaen"/>
          <w:sz w:val="24"/>
          <w:szCs w:val="24"/>
        </w:rPr>
        <w:t>եւ</w:t>
      </w:r>
      <w:r w:rsidRPr="00CA27E3">
        <w:rPr>
          <w:rFonts w:ascii="Sylfaen" w:hAnsi="Sylfaen"/>
          <w:sz w:val="24"/>
          <w:szCs w:val="24"/>
        </w:rPr>
        <w:t xml:space="preserve"> (կամ) սերվերների համար լրացուցիչ պետք է ներառվի հետ</w:t>
      </w:r>
      <w:r>
        <w:rPr>
          <w:rFonts w:ascii="Sylfaen" w:hAnsi="Sylfaen"/>
          <w:sz w:val="24"/>
          <w:szCs w:val="24"/>
        </w:rPr>
        <w:t>եւ</w:t>
      </w:r>
      <w:r w:rsidRPr="00CA27E3">
        <w:rPr>
          <w:rFonts w:ascii="Sylfaen" w:hAnsi="Sylfaen"/>
          <w:sz w:val="24"/>
          <w:szCs w:val="24"/>
        </w:rPr>
        <w:t>յալ տեղեկատվությունը՝</w:t>
      </w:r>
    </w:p>
    <w:p w14:paraId="5D9E4FEF"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003F9A" w:rsidRPr="00003F9A">
        <w:rPr>
          <w:rFonts w:ascii="Sylfaen" w:hAnsi="Sylfaen"/>
          <w:sz w:val="24"/>
          <w:szCs w:val="24"/>
        </w:rPr>
        <w:tab/>
      </w:r>
      <w:r w:rsidRPr="00CA27E3">
        <w:rPr>
          <w:rFonts w:ascii="Sylfaen" w:hAnsi="Sylfaen"/>
          <w:sz w:val="24"/>
          <w:szCs w:val="24"/>
        </w:rPr>
        <w:t xml:space="preserve">սեղանի համակարգիչների, միաբլոկ սեղանի համակարգիչների </w:t>
      </w:r>
      <w:r>
        <w:rPr>
          <w:rFonts w:ascii="Sylfaen" w:hAnsi="Sylfaen"/>
          <w:sz w:val="24"/>
          <w:szCs w:val="24"/>
        </w:rPr>
        <w:t>եւ</w:t>
      </w:r>
      <w:r w:rsidRPr="00CA27E3">
        <w:rPr>
          <w:rFonts w:ascii="Sylfaen" w:hAnsi="Sylfaen"/>
          <w:sz w:val="24"/>
          <w:szCs w:val="24"/>
        </w:rPr>
        <w:t xml:space="preserve"> նոութբուքերի համար՝</w:t>
      </w:r>
    </w:p>
    <w:p w14:paraId="1D6D6156"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սույն պահանջների 14-րդ կետի «ա» ենթակետի 2 – 12 պարբերություններում նշված տեղեկատվությունը սահմանելիս օգտագործված չափման մեթոդիկան.</w:t>
      </w:r>
    </w:p>
    <w:p w14:paraId="083BEE19"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փորձարկման պարամետրերի արժեքները չափումների ընթացքում.</w:t>
      </w:r>
    </w:p>
    <w:p w14:paraId="7E29DDFD"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 xml:space="preserve">փորձարկման լարման (Վ-ով) </w:t>
      </w:r>
      <w:r>
        <w:rPr>
          <w:rFonts w:ascii="Sylfaen" w:hAnsi="Sylfaen"/>
          <w:sz w:val="24"/>
          <w:szCs w:val="24"/>
        </w:rPr>
        <w:t>եւ</w:t>
      </w:r>
      <w:r w:rsidRPr="00CA27E3">
        <w:rPr>
          <w:rFonts w:ascii="Sylfaen" w:hAnsi="Sylfaen"/>
          <w:sz w:val="24"/>
          <w:szCs w:val="24"/>
        </w:rPr>
        <w:t xml:space="preserve"> հաճախականության (Հց-ով) արժեքները.</w:t>
      </w:r>
    </w:p>
    <w:p w14:paraId="273639DC"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էլեկտրամատակարարման համակարգում ընդհանուր ներդաշնակ աղավաղումների արժեքները.</w:t>
      </w:r>
    </w:p>
    <w:p w14:paraId="665665A4"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 xml:space="preserve">էլեկտրական փորձարկումներ անցկացնելու համար օգտագործվող չափիչ սարքերի </w:t>
      </w:r>
      <w:r>
        <w:rPr>
          <w:rFonts w:ascii="Sylfaen" w:hAnsi="Sylfaen"/>
          <w:sz w:val="24"/>
          <w:szCs w:val="24"/>
        </w:rPr>
        <w:t>եւ</w:t>
      </w:r>
      <w:r w:rsidRPr="00CA27E3">
        <w:rPr>
          <w:rFonts w:ascii="Sylfaen" w:hAnsi="Sylfaen"/>
          <w:sz w:val="24"/>
          <w:szCs w:val="24"/>
        </w:rPr>
        <w:t xml:space="preserve"> փորձարկման սարքավորումների մասին տեղեկատվությունը.</w:t>
      </w:r>
    </w:p>
    <w:p w14:paraId="1B8631AD"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 xml:space="preserve">աշխատանքային կայանների, շարժական աշխատանքային կայանների, սեղանի «բարակ սպասառուների», փոքր սերվերների </w:t>
      </w:r>
      <w:r>
        <w:rPr>
          <w:rFonts w:ascii="Sylfaen" w:hAnsi="Sylfaen"/>
          <w:sz w:val="24"/>
          <w:szCs w:val="24"/>
        </w:rPr>
        <w:t>եւ</w:t>
      </w:r>
      <w:r w:rsidRPr="00CA27E3">
        <w:rPr>
          <w:rFonts w:ascii="Sylfaen" w:hAnsi="Sylfaen"/>
          <w:sz w:val="24"/>
          <w:szCs w:val="24"/>
        </w:rPr>
        <w:t xml:space="preserve"> համակարգիչ-սերվերների համար՝</w:t>
      </w:r>
    </w:p>
    <w:p w14:paraId="062C7F4F"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փորձարկման պարամետրերի արժեքները չափումների ընթացքում.</w:t>
      </w:r>
    </w:p>
    <w:p w14:paraId="741CBBC8"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փորձարկման լարման (Վ-ով) </w:t>
      </w:r>
      <w:r>
        <w:rPr>
          <w:rFonts w:ascii="Sylfaen" w:hAnsi="Sylfaen"/>
          <w:sz w:val="24"/>
          <w:szCs w:val="24"/>
        </w:rPr>
        <w:t>եւ</w:t>
      </w:r>
      <w:r w:rsidRPr="00CA27E3">
        <w:rPr>
          <w:rFonts w:ascii="Sylfaen" w:hAnsi="Sylfaen"/>
          <w:sz w:val="24"/>
          <w:szCs w:val="24"/>
        </w:rPr>
        <w:t xml:space="preserve"> հաճախականության (Հց-ով) արժեքները.</w:t>
      </w:r>
    </w:p>
    <w:p w14:paraId="0D5CEFCE"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էլեկտրամատակարարման համակարգում ընդհանուր ներդաշնակ աղավաղումների արժեքները.</w:t>
      </w:r>
    </w:p>
    <w:p w14:paraId="416866F6"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 xml:space="preserve">էլեկտրական փորձարկումներ անցկացնելու համար օգտագործվող սարքերի, կայանքների </w:t>
      </w:r>
      <w:r>
        <w:rPr>
          <w:rFonts w:ascii="Sylfaen" w:hAnsi="Sylfaen"/>
          <w:sz w:val="24"/>
          <w:szCs w:val="24"/>
        </w:rPr>
        <w:t>եւ</w:t>
      </w:r>
      <w:r w:rsidRPr="00CA27E3">
        <w:rPr>
          <w:rFonts w:ascii="Sylfaen" w:hAnsi="Sylfaen"/>
          <w:sz w:val="24"/>
          <w:szCs w:val="24"/>
        </w:rPr>
        <w:t xml:space="preserve"> սխեմաների փաստաթղթերը.</w:t>
      </w:r>
    </w:p>
    <w:p w14:paraId="5D42BCE3"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lastRenderedPageBreak/>
        <w:t>արտադրանքի A, B, C կամ D կատեգորիա.</w:t>
      </w:r>
    </w:p>
    <w:p w14:paraId="64554247"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սնուցման ներքին (արտաքին) աղբյուրի արդյունավետությունը.</w:t>
      </w:r>
    </w:p>
    <w:p w14:paraId="35DC9AA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առավելագույն հզորությունը (Վտ-ով).</w:t>
      </w:r>
    </w:p>
    <w:p w14:paraId="6B24B720"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հզորությունը պարապուրդի վիճակում (հանգստի վիճակում) (Վտ-ով).</w:t>
      </w:r>
    </w:p>
    <w:p w14:paraId="7A92400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քնի ռեժիմում հզորությունը (Վտ-ով).</w:t>
      </w:r>
    </w:p>
    <w:p w14:paraId="57AE7074"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անջատված վիճակում հզորությունը (Վտ-ով).</w:t>
      </w:r>
    </w:p>
    <w:p w14:paraId="5A1D095A"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տեխնիկական կանոնակարգի 15-րդ կետի «գ» ենթակետում նշված տեղեկատվությունը սահմանելիս օգտագործված չափման մեթոդիկան:</w:t>
      </w:r>
    </w:p>
    <w:p w14:paraId="26FC9B29" w14:textId="77777777" w:rsidR="00CA27E3" w:rsidRPr="00CA27E3" w:rsidRDefault="00CA27E3" w:rsidP="00CA27E3">
      <w:pPr>
        <w:spacing w:after="160" w:line="360" w:lineRule="auto"/>
        <w:ind w:firstLine="567"/>
        <w:jc w:val="both"/>
        <w:rPr>
          <w:rFonts w:ascii="Sylfaen" w:hAnsi="Sylfaen"/>
        </w:rPr>
      </w:pPr>
    </w:p>
    <w:p w14:paraId="43D94917" w14:textId="77777777" w:rsidR="00CA27E3" w:rsidRPr="00CA27E3" w:rsidRDefault="00CA27E3" w:rsidP="00003F9A">
      <w:pPr>
        <w:pStyle w:val="Bodytext212"/>
        <w:shd w:val="clear" w:color="auto" w:fill="auto"/>
        <w:spacing w:after="160" w:line="360" w:lineRule="auto"/>
        <w:ind w:left="567" w:right="566" w:firstLine="0"/>
        <w:jc w:val="center"/>
        <w:rPr>
          <w:rFonts w:ascii="Sylfaen" w:hAnsi="Sylfaen"/>
          <w:sz w:val="24"/>
          <w:szCs w:val="24"/>
        </w:rPr>
      </w:pPr>
      <w:r w:rsidRPr="00CA27E3">
        <w:rPr>
          <w:rFonts w:ascii="Sylfaen" w:hAnsi="Sylfaen"/>
          <w:sz w:val="24"/>
          <w:szCs w:val="24"/>
        </w:rPr>
        <w:t xml:space="preserve">V. Համակարգիչների </w:t>
      </w:r>
      <w:r>
        <w:rPr>
          <w:rFonts w:ascii="Sylfaen" w:hAnsi="Sylfaen"/>
          <w:sz w:val="24"/>
          <w:szCs w:val="24"/>
        </w:rPr>
        <w:t>եւ</w:t>
      </w:r>
      <w:r w:rsidRPr="00CA27E3">
        <w:rPr>
          <w:rFonts w:ascii="Sylfaen" w:hAnsi="Sylfaen"/>
          <w:sz w:val="24"/>
          <w:szCs w:val="24"/>
        </w:rPr>
        <w:t xml:space="preserve"> սերվերների էներգետիկ արդյունավետության պարամետրերի թույլատրելի շեղումները դրանք շրջանառության մեջ դրվելուց հետո փորձարկումներ (չափումներ) անցկացնելիս</w:t>
      </w:r>
    </w:p>
    <w:p w14:paraId="01D5BEFE"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17.</w:t>
      </w:r>
      <w:r w:rsidR="00003F9A" w:rsidRPr="00003F9A">
        <w:rPr>
          <w:rFonts w:ascii="Sylfaen" w:hAnsi="Sylfaen"/>
          <w:sz w:val="24"/>
          <w:szCs w:val="24"/>
        </w:rPr>
        <w:tab/>
      </w:r>
      <w:r w:rsidRPr="00CA27E3">
        <w:rPr>
          <w:rFonts w:ascii="Sylfaen" w:hAnsi="Sylfaen"/>
          <w:sz w:val="24"/>
          <w:szCs w:val="24"/>
        </w:rPr>
        <w:t xml:space="preserve">Շրջանառության մեջ դնելուց հետո համակարգիչների </w:t>
      </w:r>
      <w:r>
        <w:rPr>
          <w:rFonts w:ascii="Sylfaen" w:hAnsi="Sylfaen"/>
          <w:sz w:val="24"/>
          <w:szCs w:val="24"/>
        </w:rPr>
        <w:t>եւ</w:t>
      </w:r>
      <w:r w:rsidRPr="00CA27E3">
        <w:rPr>
          <w:rFonts w:ascii="Sylfaen" w:hAnsi="Sylfaen"/>
          <w:sz w:val="24"/>
          <w:szCs w:val="24"/>
        </w:rPr>
        <w:t xml:space="preserve"> սերվերների </w:t>
      </w:r>
      <w:r w:rsidRPr="009338B9">
        <w:rPr>
          <w:rFonts w:ascii="Sylfaen" w:hAnsi="Sylfaen"/>
          <w:spacing w:val="-6"/>
          <w:sz w:val="24"/>
          <w:szCs w:val="24"/>
        </w:rPr>
        <w:t>էներգետիկ արդյունավետության պարամետրերի փորձարկումներ (չափումներ) անցկացնելիս պետք է փորձարկվի համակարգչի կամ սերվերի յուրաքանչյուր մոդելի (կազմաձեւի) 1 տիպային օրինակ: Համակարգչի կամ սերվերի մոդելը (կազմաձեւը) համարվում է սույն փաստաթղթի պահանջներին համապատասխանող,</w:t>
      </w:r>
      <w:r w:rsidRPr="00CA27E3">
        <w:rPr>
          <w:rFonts w:ascii="Sylfaen" w:hAnsi="Sylfaen"/>
          <w:sz w:val="24"/>
          <w:szCs w:val="24"/>
        </w:rPr>
        <w:t xml:space="preserve"> եթե դրա նկատմամբ կիրառվող պահանջների ցանկի համար՝</w:t>
      </w:r>
    </w:p>
    <w:p w14:paraId="000CBC44"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ա)</w:t>
      </w:r>
      <w:r w:rsidR="00003F9A" w:rsidRPr="00003F9A">
        <w:rPr>
          <w:rFonts w:ascii="Sylfaen" w:hAnsi="Sylfaen"/>
          <w:sz w:val="24"/>
          <w:szCs w:val="24"/>
        </w:rPr>
        <w:tab/>
      </w:r>
      <w:r w:rsidRPr="00CA27E3">
        <w:rPr>
          <w:rFonts w:ascii="Sylfaen" w:hAnsi="Sylfaen"/>
          <w:sz w:val="24"/>
          <w:szCs w:val="24"/>
        </w:rPr>
        <w:t xml:space="preserve">սույն պահանջների 8-րդ կետի «բ» ենթակետում </w:t>
      </w:r>
      <w:r>
        <w:rPr>
          <w:rFonts w:ascii="Sylfaen" w:hAnsi="Sylfaen"/>
          <w:sz w:val="24"/>
          <w:szCs w:val="24"/>
        </w:rPr>
        <w:t>եւ</w:t>
      </w:r>
      <w:r w:rsidRPr="00CA27E3">
        <w:rPr>
          <w:rFonts w:ascii="Sylfaen" w:hAnsi="Sylfaen"/>
          <w:sz w:val="24"/>
          <w:szCs w:val="24"/>
        </w:rPr>
        <w:t xml:space="preserve"> 4 – 7 կետերում նշված պարամետրերի համար չափված օգտագործվող հզորությունը չի գերազանցում թույլատրելի սահմանային արժեքներն ավելի, քան 7 %-ով.</w:t>
      </w:r>
    </w:p>
    <w:p w14:paraId="039F33B5"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բ)</w:t>
      </w:r>
      <w:r w:rsidR="00003F9A" w:rsidRPr="00003F9A">
        <w:rPr>
          <w:rFonts w:ascii="Sylfaen" w:hAnsi="Sylfaen"/>
          <w:sz w:val="24"/>
          <w:szCs w:val="24"/>
        </w:rPr>
        <w:tab/>
      </w:r>
      <w:r w:rsidRPr="00CA27E3">
        <w:rPr>
          <w:rFonts w:ascii="Sylfaen" w:hAnsi="Sylfaen"/>
          <w:sz w:val="24"/>
          <w:szCs w:val="24"/>
        </w:rPr>
        <w:t xml:space="preserve">սույն պահանջների 8-րդ կետի «ա» </w:t>
      </w:r>
      <w:r>
        <w:rPr>
          <w:rFonts w:ascii="Sylfaen" w:hAnsi="Sylfaen"/>
          <w:sz w:val="24"/>
          <w:szCs w:val="24"/>
        </w:rPr>
        <w:t>եւ</w:t>
      </w:r>
      <w:r w:rsidRPr="00CA27E3">
        <w:rPr>
          <w:rFonts w:ascii="Sylfaen" w:hAnsi="Sylfaen"/>
          <w:sz w:val="24"/>
          <w:szCs w:val="24"/>
        </w:rPr>
        <w:t xml:space="preserve"> «գ» ենթակետում նշված պարամետրերի համար չափված օգտագործվող հզորությունը՝ միացված WOL գործառույթի դեպքում թույլատրելի նորմատիվին ավելացմամբ </w:t>
      </w:r>
      <w:r>
        <w:rPr>
          <w:rFonts w:ascii="Sylfaen" w:hAnsi="Sylfaen"/>
          <w:sz w:val="24"/>
          <w:szCs w:val="24"/>
        </w:rPr>
        <w:t>եւ</w:t>
      </w:r>
      <w:r w:rsidRPr="00CA27E3">
        <w:rPr>
          <w:rFonts w:ascii="Sylfaen" w:hAnsi="Sylfaen"/>
          <w:sz w:val="24"/>
          <w:szCs w:val="24"/>
        </w:rPr>
        <w:t xml:space="preserve"> անջատված WOL գործառույթի դեպքում առանց այդպիսի ավելացման չի գերազանցում թույլատրելի սահմանային արժեքներն ավելի, քան 7 %-ով.</w:t>
      </w:r>
    </w:p>
    <w:p w14:paraId="0D8F574E"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lastRenderedPageBreak/>
        <w:t>գ)</w:t>
      </w:r>
      <w:r w:rsidR="00003F9A" w:rsidRPr="00003F9A">
        <w:rPr>
          <w:rFonts w:ascii="Sylfaen" w:hAnsi="Sylfaen"/>
          <w:sz w:val="24"/>
          <w:szCs w:val="24"/>
        </w:rPr>
        <w:tab/>
      </w:r>
      <w:r w:rsidRPr="00CA27E3">
        <w:rPr>
          <w:rFonts w:ascii="Sylfaen" w:hAnsi="Sylfaen"/>
          <w:sz w:val="24"/>
          <w:szCs w:val="24"/>
        </w:rPr>
        <w:t xml:space="preserve">սույն պահանջների 9-րդ կետի առաջին </w:t>
      </w:r>
      <w:r>
        <w:rPr>
          <w:rFonts w:ascii="Sylfaen" w:hAnsi="Sylfaen"/>
          <w:sz w:val="24"/>
          <w:szCs w:val="24"/>
        </w:rPr>
        <w:t>եւ</w:t>
      </w:r>
      <w:r w:rsidRPr="00CA27E3">
        <w:rPr>
          <w:rFonts w:ascii="Sylfaen" w:hAnsi="Sylfaen"/>
          <w:sz w:val="24"/>
          <w:szCs w:val="24"/>
        </w:rPr>
        <w:t xml:space="preserve"> երրորդ պարբերություններում նշված պարամետրերի համար չափված սպառվող հզորությունը՝ տեղեկատվական դիսփլեյի կամ վիճակի ցուցասարքի առկայության դեպքում թույլատրելի նորմատիվին ավելացմամբ չի գերազանցում թույլատրելի սահմանային արժեքներն ավելի, քան 0,10 Վտ-ով.</w:t>
      </w:r>
    </w:p>
    <w:p w14:paraId="4F1508D0"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դ)</w:t>
      </w:r>
      <w:r w:rsidR="00003F9A" w:rsidRPr="00003F9A">
        <w:rPr>
          <w:rFonts w:ascii="Sylfaen" w:hAnsi="Sylfaen"/>
          <w:sz w:val="24"/>
          <w:szCs w:val="24"/>
        </w:rPr>
        <w:tab/>
      </w:r>
      <w:r w:rsidRPr="00CA27E3">
        <w:rPr>
          <w:rFonts w:ascii="Sylfaen" w:hAnsi="Sylfaen"/>
          <w:sz w:val="24"/>
          <w:szCs w:val="24"/>
        </w:rPr>
        <w:t xml:space="preserve">սույն պահանջների 9-րդ կետի առաջին </w:t>
      </w:r>
      <w:r>
        <w:rPr>
          <w:rFonts w:ascii="Sylfaen" w:hAnsi="Sylfaen"/>
          <w:sz w:val="24"/>
          <w:szCs w:val="24"/>
        </w:rPr>
        <w:t>եւ</w:t>
      </w:r>
      <w:r w:rsidRPr="00CA27E3">
        <w:rPr>
          <w:rFonts w:ascii="Sylfaen" w:hAnsi="Sylfaen"/>
          <w:sz w:val="24"/>
          <w:szCs w:val="24"/>
        </w:rPr>
        <w:t xml:space="preserve"> երրորդ պարբերություններում նշված պարամետրերի համար չափված սպառվող հզորությունը՝ տեղեկատվական դիսփլեյի կամ վիճակի ցուցասարքի առկայության դեպքում թույլատրելի նորմատիվին ավելացմամբ չի գերազանցում թույլատրելի սահմանային արժեքներն ավելի, քան 0,10 Վտ-ով.</w:t>
      </w:r>
    </w:p>
    <w:p w14:paraId="750001F7"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ե)</w:t>
      </w:r>
      <w:r w:rsidR="00003F9A" w:rsidRPr="00003F9A">
        <w:rPr>
          <w:rFonts w:ascii="Sylfaen" w:hAnsi="Sylfaen"/>
          <w:sz w:val="24"/>
          <w:szCs w:val="24"/>
        </w:rPr>
        <w:tab/>
      </w:r>
      <w:r w:rsidRPr="00CA27E3">
        <w:rPr>
          <w:rFonts w:ascii="Sylfaen" w:hAnsi="Sylfaen"/>
          <w:sz w:val="24"/>
          <w:szCs w:val="24"/>
        </w:rPr>
        <w:t xml:space="preserve">սույն պահանջների 10-րդ կետի «ա» </w:t>
      </w:r>
      <w:r>
        <w:rPr>
          <w:rFonts w:ascii="Sylfaen" w:hAnsi="Sylfaen"/>
          <w:sz w:val="24"/>
          <w:szCs w:val="24"/>
        </w:rPr>
        <w:t>եւ</w:t>
      </w:r>
      <w:r w:rsidRPr="00CA27E3">
        <w:rPr>
          <w:rFonts w:ascii="Sylfaen" w:hAnsi="Sylfaen"/>
          <w:sz w:val="24"/>
          <w:szCs w:val="24"/>
        </w:rPr>
        <w:t xml:space="preserve"> «գ» ենթակետում նշված պարամետրերի համար չափված սպառվող հզորությունը՝ միացված WOL գործառույթի դեպքում թույլատրելի նորմատիվին ավելացմամբ </w:t>
      </w:r>
      <w:r>
        <w:rPr>
          <w:rFonts w:ascii="Sylfaen" w:hAnsi="Sylfaen"/>
          <w:sz w:val="24"/>
          <w:szCs w:val="24"/>
        </w:rPr>
        <w:t>եւ</w:t>
      </w:r>
      <w:r w:rsidRPr="00CA27E3">
        <w:rPr>
          <w:rFonts w:ascii="Sylfaen" w:hAnsi="Sylfaen"/>
          <w:sz w:val="24"/>
          <w:szCs w:val="24"/>
        </w:rPr>
        <w:t xml:space="preserve"> անջատված WOL գործառույթի դեպքում առանց այդպիսի ավելացման չի գերազանցում թույլատրելի սահմանային արժեքներն ավելի, քան 0,10 Վտ-ով.</w:t>
      </w:r>
    </w:p>
    <w:p w14:paraId="1C58668E"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զ)</w:t>
      </w:r>
      <w:r w:rsidR="00003F9A" w:rsidRPr="00003F9A">
        <w:rPr>
          <w:rFonts w:ascii="Sylfaen" w:hAnsi="Sylfaen"/>
          <w:sz w:val="24"/>
          <w:szCs w:val="24"/>
        </w:rPr>
        <w:tab/>
      </w:r>
      <w:r w:rsidRPr="00CA27E3">
        <w:rPr>
          <w:rFonts w:ascii="Sylfaen" w:hAnsi="Sylfaen"/>
          <w:sz w:val="24"/>
          <w:szCs w:val="24"/>
        </w:rPr>
        <w:t xml:space="preserve">սույն պահանջների 10-րդ </w:t>
      </w:r>
      <w:r>
        <w:rPr>
          <w:rFonts w:ascii="Sylfaen" w:hAnsi="Sylfaen"/>
          <w:sz w:val="24"/>
          <w:szCs w:val="24"/>
        </w:rPr>
        <w:t>եւ</w:t>
      </w:r>
      <w:r w:rsidRPr="00CA27E3">
        <w:rPr>
          <w:rFonts w:ascii="Sylfaen" w:hAnsi="Sylfaen"/>
          <w:sz w:val="24"/>
          <w:szCs w:val="24"/>
        </w:rPr>
        <w:t xml:space="preserve"> 11-րդ կետերում նշված բլոկների </w:t>
      </w:r>
      <w:r>
        <w:rPr>
          <w:rFonts w:ascii="Sylfaen" w:hAnsi="Sylfaen"/>
          <w:sz w:val="24"/>
          <w:szCs w:val="24"/>
        </w:rPr>
        <w:t>եւ</w:t>
      </w:r>
      <w:r w:rsidRPr="00CA27E3">
        <w:rPr>
          <w:rFonts w:ascii="Sylfaen" w:hAnsi="Sylfaen"/>
          <w:sz w:val="24"/>
          <w:szCs w:val="24"/>
        </w:rPr>
        <w:t xml:space="preserve"> սնուցման աղբյուրների էներգաարդյունավետության չափված պարամետրերի </w:t>
      </w:r>
      <w:r w:rsidRPr="009338B9">
        <w:rPr>
          <w:rFonts w:ascii="Sylfaen" w:hAnsi="Sylfaen"/>
          <w:spacing w:val="6"/>
          <w:sz w:val="24"/>
          <w:szCs w:val="24"/>
        </w:rPr>
        <w:t>միջին արժեքները ցածր չեն թույլատրելի սահմանային արժեքներից ավելի, քան 2 %-ով՝ ՕԳԳ</w:t>
      </w:r>
      <w:r w:rsidRPr="00CA27E3">
        <w:rPr>
          <w:rFonts w:ascii="Sylfaen" w:hAnsi="Sylfaen"/>
          <w:sz w:val="24"/>
          <w:szCs w:val="24"/>
        </w:rPr>
        <w:t xml:space="preserve">-ի համար </w:t>
      </w:r>
      <w:r>
        <w:rPr>
          <w:rFonts w:ascii="Sylfaen" w:hAnsi="Sylfaen"/>
          <w:sz w:val="24"/>
          <w:szCs w:val="24"/>
        </w:rPr>
        <w:t>եւ</w:t>
      </w:r>
      <w:r w:rsidRPr="00CA27E3">
        <w:rPr>
          <w:rFonts w:ascii="Sylfaen" w:hAnsi="Sylfaen"/>
          <w:sz w:val="24"/>
          <w:szCs w:val="24"/>
        </w:rPr>
        <w:t xml:space="preserve"> ավելի, քան 10 %-ով՝ հզորության գործակցի համար.</w:t>
      </w:r>
    </w:p>
    <w:p w14:paraId="066318F3"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է)</w:t>
      </w:r>
      <w:r w:rsidR="00003F9A" w:rsidRPr="00003F9A">
        <w:rPr>
          <w:rFonts w:ascii="Sylfaen" w:hAnsi="Sylfaen"/>
          <w:sz w:val="24"/>
          <w:szCs w:val="24"/>
        </w:rPr>
        <w:tab/>
      </w:r>
      <w:r w:rsidRPr="00CA27E3">
        <w:rPr>
          <w:rFonts w:ascii="Sylfaen" w:hAnsi="Sylfaen"/>
          <w:sz w:val="24"/>
          <w:szCs w:val="24"/>
        </w:rPr>
        <w:t xml:space="preserve">Ethernet տեղային ցանցով քնի ռեժիմի կամ անջատման ռեժիմի անցնելու դեպքում 1 գիգաբայթ վայրկյանում (Գբ/վրկ) բոլոր ցանցային միացումների աշխատանքի արագության նվազեցումը </w:t>
      </w:r>
      <w:r>
        <w:rPr>
          <w:rFonts w:ascii="Sylfaen" w:hAnsi="Sylfaen"/>
          <w:sz w:val="24"/>
          <w:szCs w:val="24"/>
        </w:rPr>
        <w:t>եւ</w:t>
      </w:r>
      <w:r w:rsidRPr="00CA27E3">
        <w:rPr>
          <w:rFonts w:ascii="Sylfaen" w:hAnsi="Sylfaen"/>
          <w:sz w:val="24"/>
          <w:szCs w:val="24"/>
        </w:rPr>
        <w:t xml:space="preserve"> քնի ռեժիմի անցնելու ու աշխատանքի ռեժիմի վերադառնալու ժամանակային միջակայքերի մեծությունը, ինչպես նա</w:t>
      </w:r>
      <w:r>
        <w:rPr>
          <w:rFonts w:ascii="Sylfaen" w:hAnsi="Sylfaen"/>
          <w:sz w:val="24"/>
          <w:szCs w:val="24"/>
        </w:rPr>
        <w:t>եւ</w:t>
      </w:r>
      <w:r w:rsidRPr="00CA27E3">
        <w:rPr>
          <w:rFonts w:ascii="Sylfaen" w:hAnsi="Sylfaen"/>
          <w:sz w:val="24"/>
          <w:szCs w:val="24"/>
        </w:rPr>
        <w:t xml:space="preserve"> սնուցման կառավարումն ակտիվացնելու մյուս պարամետրերը համապատասխանում են սույն պահանջների 13-րդ կետում նշված պահանջներին:</w:t>
      </w:r>
    </w:p>
    <w:p w14:paraId="22C0E112" w14:textId="77777777" w:rsidR="00CA27E3" w:rsidRPr="00CA27E3" w:rsidRDefault="00CA27E3" w:rsidP="00003F9A">
      <w:pPr>
        <w:pStyle w:val="Bodytext212"/>
        <w:shd w:val="clear" w:color="auto" w:fill="auto"/>
        <w:tabs>
          <w:tab w:val="left" w:pos="1134"/>
        </w:tabs>
        <w:spacing w:after="160" w:line="360" w:lineRule="auto"/>
        <w:ind w:firstLine="567"/>
        <w:jc w:val="both"/>
        <w:rPr>
          <w:rFonts w:ascii="Sylfaen" w:hAnsi="Sylfaen"/>
          <w:sz w:val="24"/>
          <w:szCs w:val="24"/>
        </w:rPr>
      </w:pPr>
      <w:r w:rsidRPr="00CA27E3">
        <w:rPr>
          <w:rFonts w:ascii="Sylfaen" w:hAnsi="Sylfaen"/>
          <w:sz w:val="24"/>
          <w:szCs w:val="24"/>
        </w:rPr>
        <w:t>18.</w:t>
      </w:r>
      <w:r w:rsidR="00003F9A" w:rsidRPr="00003F9A">
        <w:rPr>
          <w:rFonts w:ascii="Sylfaen" w:hAnsi="Sylfaen"/>
          <w:sz w:val="24"/>
          <w:szCs w:val="24"/>
        </w:rPr>
        <w:tab/>
      </w:r>
      <w:r w:rsidRPr="00CA27E3">
        <w:rPr>
          <w:rFonts w:ascii="Sylfaen" w:hAnsi="Sylfaen"/>
          <w:sz w:val="24"/>
          <w:szCs w:val="24"/>
        </w:rPr>
        <w:t>Եթե համակարգչի կամ սերվերի մոդելը (կազմաձ</w:t>
      </w:r>
      <w:r>
        <w:rPr>
          <w:rFonts w:ascii="Sylfaen" w:hAnsi="Sylfaen"/>
          <w:sz w:val="24"/>
          <w:szCs w:val="24"/>
        </w:rPr>
        <w:t>եւ</w:t>
      </w:r>
      <w:r w:rsidRPr="00CA27E3">
        <w:rPr>
          <w:rFonts w:ascii="Sylfaen" w:hAnsi="Sylfaen"/>
          <w:sz w:val="24"/>
          <w:szCs w:val="24"/>
        </w:rPr>
        <w:t xml:space="preserve">ը) չի համապատասխանում սույն պահանջների 17-րդ կետում նշված պահանջներին, </w:t>
      </w:r>
      <w:r w:rsidRPr="00CA27E3">
        <w:rPr>
          <w:rFonts w:ascii="Sylfaen" w:hAnsi="Sylfaen"/>
          <w:sz w:val="24"/>
          <w:szCs w:val="24"/>
        </w:rPr>
        <w:lastRenderedPageBreak/>
        <w:t>ապա ստուգվում է համակարգչի կամ սերվերի նույն մոդելի (կազմաձ</w:t>
      </w:r>
      <w:r>
        <w:rPr>
          <w:rFonts w:ascii="Sylfaen" w:hAnsi="Sylfaen"/>
          <w:sz w:val="24"/>
          <w:szCs w:val="24"/>
        </w:rPr>
        <w:t>եւ</w:t>
      </w:r>
      <w:r w:rsidRPr="00CA27E3">
        <w:rPr>
          <w:rFonts w:ascii="Sylfaen" w:hAnsi="Sylfaen"/>
          <w:sz w:val="24"/>
          <w:szCs w:val="24"/>
        </w:rPr>
        <w:t>ի) 3</w:t>
      </w:r>
      <w:r w:rsidR="009338B9" w:rsidRPr="009338B9">
        <w:rPr>
          <w:rFonts w:ascii="Sylfaen" w:hAnsi="Sylfaen"/>
          <w:sz w:val="24"/>
          <w:szCs w:val="24"/>
        </w:rPr>
        <w:t> </w:t>
      </w:r>
      <w:r w:rsidRPr="00CA27E3">
        <w:rPr>
          <w:rFonts w:ascii="Sylfaen" w:hAnsi="Sylfaen"/>
          <w:sz w:val="24"/>
          <w:szCs w:val="24"/>
        </w:rPr>
        <w:t>պատահականորեն ընտրված նմուշ:</w:t>
      </w:r>
    </w:p>
    <w:p w14:paraId="5C872B41" w14:textId="77777777" w:rsidR="00CA27E3" w:rsidRPr="00CA27E3"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Համակարգչի կամ սերվերի մոդելը համարվում է սույն պահանջների պահանջներին համապատասխանող, եթե այդ 3 նմուշների չափումների արդյունքների միջին արժեքը համապատասխանում է սույն պահանջների 17-րդ կետի «ա» – «է» ենթակետերում նշված պահանջներին:</w:t>
      </w:r>
    </w:p>
    <w:p w14:paraId="489353E6" w14:textId="77777777" w:rsidR="00CA27E3" w:rsidRPr="003D2C38" w:rsidRDefault="00CA27E3" w:rsidP="00CA27E3">
      <w:pPr>
        <w:pStyle w:val="Bodytext212"/>
        <w:shd w:val="clear" w:color="auto" w:fill="auto"/>
        <w:spacing w:after="160" w:line="360" w:lineRule="auto"/>
        <w:ind w:firstLine="567"/>
        <w:jc w:val="both"/>
        <w:rPr>
          <w:rFonts w:ascii="Sylfaen" w:hAnsi="Sylfaen"/>
          <w:sz w:val="24"/>
          <w:szCs w:val="24"/>
        </w:rPr>
      </w:pPr>
      <w:r w:rsidRPr="00CA27E3">
        <w:rPr>
          <w:rFonts w:ascii="Sylfaen" w:hAnsi="Sylfaen"/>
          <w:sz w:val="24"/>
          <w:szCs w:val="24"/>
        </w:rPr>
        <w:t>Այլ դեպքերում համակարգչի կամ սերվերի տվյալ մոդելը (կազմաձ</w:t>
      </w:r>
      <w:r>
        <w:rPr>
          <w:rFonts w:ascii="Sylfaen" w:hAnsi="Sylfaen"/>
          <w:sz w:val="24"/>
          <w:szCs w:val="24"/>
        </w:rPr>
        <w:t>եւ</w:t>
      </w:r>
      <w:r w:rsidRPr="00CA27E3">
        <w:rPr>
          <w:rFonts w:ascii="Sylfaen" w:hAnsi="Sylfaen"/>
          <w:sz w:val="24"/>
          <w:szCs w:val="24"/>
        </w:rPr>
        <w:t>ը) անհրաժեշտ է դիտարկել որպես տեխնիկական կանոնակարգի պահանջներին չհամապատասխանող։</w:t>
      </w:r>
    </w:p>
    <w:p w14:paraId="57067EFC" w14:textId="77777777" w:rsidR="009338B9" w:rsidRPr="003D2C38" w:rsidRDefault="009338B9" w:rsidP="009338B9">
      <w:pPr>
        <w:pStyle w:val="Bodytext212"/>
        <w:shd w:val="clear" w:color="auto" w:fill="auto"/>
        <w:spacing w:after="160" w:line="360" w:lineRule="auto"/>
        <w:ind w:firstLine="0"/>
        <w:jc w:val="center"/>
        <w:rPr>
          <w:rFonts w:ascii="Sylfaen" w:hAnsi="Sylfaen"/>
          <w:sz w:val="24"/>
          <w:szCs w:val="24"/>
        </w:rPr>
      </w:pPr>
      <w:r w:rsidRPr="003D2C38">
        <w:rPr>
          <w:rFonts w:ascii="Sylfaen" w:hAnsi="Sylfaen"/>
          <w:sz w:val="24"/>
          <w:szCs w:val="24"/>
        </w:rPr>
        <w:t>______________</w:t>
      </w:r>
    </w:p>
    <w:p w14:paraId="2F4280FC" w14:textId="77777777" w:rsidR="009338B9" w:rsidRPr="003D2C38" w:rsidRDefault="009338B9" w:rsidP="009338B9">
      <w:pPr>
        <w:pStyle w:val="Bodytext212"/>
        <w:shd w:val="clear" w:color="auto" w:fill="auto"/>
        <w:spacing w:after="160" w:line="360" w:lineRule="auto"/>
        <w:ind w:firstLine="0"/>
        <w:jc w:val="center"/>
        <w:rPr>
          <w:rFonts w:ascii="Sylfaen" w:hAnsi="Sylfaen"/>
          <w:sz w:val="24"/>
          <w:szCs w:val="24"/>
        </w:rPr>
      </w:pPr>
    </w:p>
    <w:p w14:paraId="255B0B8E" w14:textId="77777777" w:rsidR="009338B9" w:rsidRDefault="009338B9" w:rsidP="00CA27E3">
      <w:pPr>
        <w:pStyle w:val="BodyText1"/>
        <w:shd w:val="clear" w:color="auto" w:fill="auto"/>
        <w:spacing w:after="160"/>
        <w:ind w:firstLine="567"/>
        <w:jc w:val="both"/>
        <w:rPr>
          <w:rFonts w:ascii="Sylfaen" w:hAnsi="Sylfaen" w:cs="Sylfaen"/>
          <w:sz w:val="24"/>
          <w:szCs w:val="24"/>
        </w:rPr>
        <w:sectPr w:rsidR="009338B9" w:rsidSect="003C5DE2">
          <w:pgSz w:w="11907" w:h="16840" w:code="9"/>
          <w:pgMar w:top="1418" w:right="1418" w:bottom="1418" w:left="1418" w:header="0" w:footer="538" w:gutter="0"/>
          <w:pgNumType w:start="1"/>
          <w:cols w:space="720"/>
          <w:noEndnote/>
          <w:titlePg/>
          <w:docGrid w:linePitch="360"/>
        </w:sectPr>
      </w:pPr>
    </w:p>
    <w:p w14:paraId="30D70F6B" w14:textId="77777777" w:rsidR="009338B9" w:rsidRPr="00CF39EE" w:rsidRDefault="009338B9" w:rsidP="009338B9">
      <w:pPr>
        <w:pStyle w:val="Bodytext20"/>
        <w:spacing w:after="160" w:line="360" w:lineRule="auto"/>
        <w:ind w:left="3969" w:right="-8"/>
        <w:rPr>
          <w:rFonts w:ascii="Sylfaen" w:hAnsi="Sylfaen"/>
          <w:sz w:val="24"/>
          <w:szCs w:val="24"/>
        </w:rPr>
      </w:pPr>
      <w:r w:rsidRPr="00CF39EE">
        <w:rPr>
          <w:rFonts w:ascii="Sylfaen" w:hAnsi="Sylfaen"/>
          <w:sz w:val="24"/>
          <w:szCs w:val="24"/>
        </w:rPr>
        <w:lastRenderedPageBreak/>
        <w:t>ՀԱՎԵԼՎԱԾ ԹԻՎ 18</w:t>
      </w:r>
    </w:p>
    <w:p w14:paraId="457744A0" w14:textId="77777777" w:rsidR="009338B9" w:rsidRPr="00CF39EE" w:rsidRDefault="009338B9" w:rsidP="009338B9">
      <w:pPr>
        <w:pStyle w:val="Bodytext20"/>
        <w:tabs>
          <w:tab w:val="left" w:pos="5529"/>
        </w:tabs>
        <w:spacing w:after="160" w:line="360" w:lineRule="auto"/>
        <w:ind w:left="3969" w:right="-6"/>
        <w:rPr>
          <w:rFonts w:ascii="Sylfaen" w:hAnsi="Sylfaen"/>
          <w:sz w:val="24"/>
          <w:szCs w:val="24"/>
        </w:rPr>
      </w:pPr>
      <w:r w:rsidRPr="00CF39EE">
        <w:rPr>
          <w:rFonts w:ascii="Sylfaen" w:hAnsi="Sylfaen"/>
          <w:sz w:val="24"/>
          <w:szCs w:val="24"/>
        </w:rPr>
        <w:t xml:space="preserve">«Էներգասպառող սարքվածքների </w:t>
      </w:r>
      <w:r>
        <w:rPr>
          <w:rFonts w:ascii="Sylfaen" w:hAnsi="Sylfaen"/>
          <w:sz w:val="24"/>
          <w:szCs w:val="24"/>
        </w:rPr>
        <w:br/>
      </w:r>
      <w:r w:rsidRPr="00CF39EE">
        <w:rPr>
          <w:rFonts w:ascii="Sylfaen" w:hAnsi="Sylfaen"/>
          <w:sz w:val="24"/>
          <w:szCs w:val="24"/>
        </w:rPr>
        <w:t xml:space="preserve">էներգետիկ արդյունավետությանը ներկայացվող պահանջների մասին» Եվրասիական տնտեսական միության տեխնիկականկանոնակարգի </w:t>
      </w:r>
      <w:r>
        <w:rPr>
          <w:rFonts w:ascii="Sylfaen" w:hAnsi="Sylfaen"/>
          <w:sz w:val="24"/>
          <w:szCs w:val="24"/>
        </w:rPr>
        <w:br/>
      </w:r>
      <w:r w:rsidRPr="00CF39EE">
        <w:rPr>
          <w:rFonts w:ascii="Sylfaen" w:hAnsi="Sylfaen"/>
          <w:sz w:val="24"/>
          <w:szCs w:val="24"/>
        </w:rPr>
        <w:t>(ԵԱՏՄ ՏԿ</w:t>
      </w:r>
      <w:r>
        <w:rPr>
          <w:rFonts w:ascii="Sylfaen" w:hAnsi="Sylfaen"/>
          <w:sz w:val="24"/>
          <w:szCs w:val="24"/>
        </w:rPr>
        <w:tab/>
      </w:r>
      <w:r w:rsidRPr="00CF39EE">
        <w:rPr>
          <w:rFonts w:ascii="Sylfaen" w:hAnsi="Sylfaen"/>
          <w:sz w:val="24"/>
          <w:szCs w:val="24"/>
        </w:rPr>
        <w:t>/20</w:t>
      </w:r>
      <w:r>
        <w:rPr>
          <w:rFonts w:ascii="Sylfaen" w:hAnsi="Sylfaen"/>
          <w:sz w:val="24"/>
          <w:szCs w:val="24"/>
        </w:rPr>
        <w:tab/>
      </w:r>
      <w:r w:rsidRPr="00CF39EE">
        <w:rPr>
          <w:rFonts w:ascii="Sylfaen" w:hAnsi="Sylfaen"/>
          <w:sz w:val="24"/>
          <w:szCs w:val="24"/>
        </w:rPr>
        <w:t>)</w:t>
      </w:r>
    </w:p>
    <w:p w14:paraId="0B909647" w14:textId="77777777" w:rsidR="009338B9" w:rsidRPr="00CF39EE" w:rsidRDefault="009338B9" w:rsidP="009338B9">
      <w:pPr>
        <w:pStyle w:val="Bodytext20"/>
        <w:spacing w:after="160" w:line="360" w:lineRule="auto"/>
        <w:ind w:left="4536" w:right="-8"/>
        <w:rPr>
          <w:rFonts w:ascii="Sylfaen" w:hAnsi="Sylfaen"/>
          <w:sz w:val="24"/>
          <w:szCs w:val="24"/>
        </w:rPr>
      </w:pPr>
    </w:p>
    <w:p w14:paraId="44E1E7B3" w14:textId="77777777" w:rsidR="009338B9" w:rsidRPr="009338B9" w:rsidRDefault="009338B9" w:rsidP="009338B9">
      <w:pPr>
        <w:pStyle w:val="Bodytext30"/>
        <w:spacing w:after="160" w:line="360" w:lineRule="auto"/>
        <w:ind w:right="-8"/>
        <w:rPr>
          <w:rFonts w:ascii="Sylfaen" w:hAnsi="Sylfaen"/>
          <w:b/>
          <w:i w:val="0"/>
        </w:rPr>
      </w:pPr>
      <w:r w:rsidRPr="009338B9">
        <w:rPr>
          <w:rStyle w:val="Bodytext3Spacing2pt"/>
          <w:rFonts w:ascii="Sylfaen" w:hAnsi="Sylfaen"/>
          <w:i w:val="0"/>
          <w:sz w:val="24"/>
          <w:szCs w:val="24"/>
        </w:rPr>
        <w:t>ՊԱՀԱՆՋՆԵՐ</w:t>
      </w:r>
    </w:p>
    <w:p w14:paraId="2982A9ED" w14:textId="77777777" w:rsidR="009338B9" w:rsidRPr="009338B9" w:rsidRDefault="009338B9" w:rsidP="009338B9">
      <w:pPr>
        <w:pStyle w:val="Bodytext30"/>
        <w:spacing w:after="160" w:line="360" w:lineRule="auto"/>
        <w:ind w:right="-8"/>
        <w:rPr>
          <w:rFonts w:ascii="Sylfaen" w:hAnsi="Sylfaen"/>
          <w:b/>
          <w:i w:val="0"/>
        </w:rPr>
      </w:pPr>
      <w:r w:rsidRPr="009338B9">
        <w:rPr>
          <w:rFonts w:ascii="Sylfaen" w:hAnsi="Sylfaen"/>
          <w:b/>
          <w:i w:val="0"/>
        </w:rPr>
        <w:t>ջրի պոմպերի էներգետիկ արդյունավետությանը ներկայացվող</w:t>
      </w:r>
    </w:p>
    <w:p w14:paraId="14BDB228" w14:textId="77777777" w:rsidR="009338B9" w:rsidRPr="00CF39EE" w:rsidRDefault="009338B9" w:rsidP="009338B9">
      <w:pPr>
        <w:pStyle w:val="Bodytext30"/>
        <w:spacing w:after="160" w:line="360" w:lineRule="auto"/>
        <w:ind w:right="-8"/>
        <w:rPr>
          <w:rFonts w:ascii="Sylfaen" w:hAnsi="Sylfaen"/>
        </w:rPr>
      </w:pPr>
    </w:p>
    <w:p w14:paraId="4C685FD4" w14:textId="77777777" w:rsidR="009338B9" w:rsidRPr="00CF39EE" w:rsidRDefault="009338B9" w:rsidP="009338B9">
      <w:pPr>
        <w:pStyle w:val="Bodytext20"/>
        <w:spacing w:after="160" w:line="360" w:lineRule="auto"/>
        <w:rPr>
          <w:rFonts w:ascii="Sylfaen" w:hAnsi="Sylfaen"/>
          <w:sz w:val="24"/>
          <w:szCs w:val="24"/>
        </w:rPr>
      </w:pPr>
      <w:r w:rsidRPr="00CF39EE">
        <w:rPr>
          <w:rFonts w:ascii="Sylfaen" w:hAnsi="Sylfaen"/>
          <w:sz w:val="24"/>
          <w:szCs w:val="24"/>
        </w:rPr>
        <w:t>I. Կիրառման ոլորտը</w:t>
      </w:r>
    </w:p>
    <w:p w14:paraId="5B3123CD" w14:textId="77777777" w:rsidR="009338B9" w:rsidRPr="00CF39EE" w:rsidRDefault="009338B9" w:rsidP="009338B9">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1.</w:t>
      </w:r>
      <w:r>
        <w:rPr>
          <w:rFonts w:ascii="Sylfaen" w:hAnsi="Sylfaen"/>
          <w:sz w:val="24"/>
          <w:szCs w:val="24"/>
        </w:rPr>
        <w:tab/>
      </w:r>
      <w:r w:rsidRPr="00CF39EE">
        <w:rPr>
          <w:rFonts w:ascii="Sylfaen" w:hAnsi="Sylfaen"/>
          <w:sz w:val="24"/>
          <w:szCs w:val="24"/>
        </w:rPr>
        <w:t xml:space="preserve">Սույն պահանջները տարածվում են Եվրասիական տնտեսական միության (այսուհետ՝ Միություն) մաքսային տարածքում շրջանառության մեջ դրվող՝ մաքուր ջրի վերամղման համար նախատեսված ինքնավար </w:t>
      </w:r>
      <w:r>
        <w:rPr>
          <w:rFonts w:ascii="Sylfaen" w:hAnsi="Sylfaen"/>
          <w:sz w:val="24"/>
          <w:szCs w:val="24"/>
        </w:rPr>
        <w:t>եւ</w:t>
      </w:r>
      <w:r w:rsidRPr="00CF39EE">
        <w:rPr>
          <w:rFonts w:ascii="Sylfaen" w:hAnsi="Sylfaen"/>
          <w:sz w:val="24"/>
          <w:szCs w:val="24"/>
        </w:rPr>
        <w:t xml:space="preserve"> ինտեգրված (մեկ այլ սարքավորման մեջ ներկառուցված) պոմպերի (այսուհետ՝ ջրի պոմպեր) վրա, բացառությամբ՝</w:t>
      </w:r>
    </w:p>
    <w:p w14:paraId="07375CDF" w14:textId="77777777" w:rsidR="009338B9" w:rsidRPr="00CF39EE" w:rsidRDefault="009338B9" w:rsidP="009338B9">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ա)</w:t>
      </w:r>
      <w:r>
        <w:rPr>
          <w:rFonts w:ascii="Sylfaen" w:hAnsi="Sylfaen"/>
          <w:sz w:val="24"/>
          <w:szCs w:val="24"/>
        </w:rPr>
        <w:tab/>
      </w:r>
      <w:r w:rsidRPr="00CF39EE">
        <w:rPr>
          <w:rFonts w:ascii="Sylfaen" w:hAnsi="Sylfaen"/>
          <w:sz w:val="24"/>
          <w:szCs w:val="24"/>
        </w:rPr>
        <w:t>բացառապես հրդեհաշիջման նպատակների համար նախատեսված պոմպերի.</w:t>
      </w:r>
    </w:p>
    <w:p w14:paraId="71F291FA" w14:textId="77777777" w:rsidR="009338B9" w:rsidRPr="00CF39EE" w:rsidRDefault="009338B9" w:rsidP="009338B9">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բ)</w:t>
      </w:r>
      <w:r>
        <w:rPr>
          <w:rFonts w:ascii="Sylfaen" w:hAnsi="Sylfaen"/>
          <w:sz w:val="24"/>
          <w:szCs w:val="24"/>
        </w:rPr>
        <w:tab/>
      </w:r>
      <w:r w:rsidRPr="00CF39EE">
        <w:rPr>
          <w:rFonts w:ascii="Sylfaen" w:hAnsi="Sylfaen"/>
          <w:sz w:val="24"/>
          <w:szCs w:val="24"/>
        </w:rPr>
        <w:t>մինուս 10° С-ից ցածր կամ 120° С-ից բարձր ջերմաստիճանի պայմաններում ջրի վերամղման համար հատուկ նախատեսված պոմպերի, պայմանով, որ դա նշված է սույն պահանջների 7-րդ կետում նշված շահագործման փաստաթղթերում.</w:t>
      </w:r>
    </w:p>
    <w:p w14:paraId="01D72227" w14:textId="77777777" w:rsidR="009338B9" w:rsidRPr="00CF39EE" w:rsidRDefault="009338B9" w:rsidP="009338B9">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գ)</w:t>
      </w:r>
      <w:r>
        <w:rPr>
          <w:rFonts w:ascii="Sylfaen" w:hAnsi="Sylfaen"/>
          <w:sz w:val="24"/>
          <w:szCs w:val="24"/>
        </w:rPr>
        <w:tab/>
      </w:r>
      <w:r w:rsidRPr="00CF39EE">
        <w:rPr>
          <w:rFonts w:ascii="Sylfaen" w:hAnsi="Sylfaen"/>
          <w:sz w:val="24"/>
          <w:szCs w:val="24"/>
        </w:rPr>
        <w:t>ծավալային պոմպերի.</w:t>
      </w:r>
    </w:p>
    <w:p w14:paraId="3545EF3C" w14:textId="77777777" w:rsidR="009338B9" w:rsidRPr="00CF39EE" w:rsidRDefault="009338B9" w:rsidP="009338B9">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դ)</w:t>
      </w:r>
      <w:r>
        <w:rPr>
          <w:rFonts w:ascii="Sylfaen" w:hAnsi="Sylfaen"/>
          <w:sz w:val="24"/>
          <w:szCs w:val="24"/>
        </w:rPr>
        <w:tab/>
      </w:r>
      <w:r w:rsidRPr="00CF39EE">
        <w:rPr>
          <w:rFonts w:ascii="Sylfaen" w:hAnsi="Sylfaen"/>
          <w:sz w:val="24"/>
          <w:szCs w:val="24"/>
        </w:rPr>
        <w:t>ինքնաներծծող ջրի պոմպերի:</w:t>
      </w:r>
    </w:p>
    <w:p w14:paraId="56F7AC10" w14:textId="77777777" w:rsidR="009338B9" w:rsidRPr="00CF39EE" w:rsidRDefault="009338B9" w:rsidP="009338B9">
      <w:pPr>
        <w:pStyle w:val="Bodytext20"/>
        <w:spacing w:after="160" w:line="348" w:lineRule="auto"/>
        <w:ind w:firstLine="567"/>
        <w:jc w:val="both"/>
        <w:rPr>
          <w:rFonts w:ascii="Sylfaen" w:hAnsi="Sylfaen"/>
          <w:sz w:val="24"/>
          <w:szCs w:val="24"/>
        </w:rPr>
      </w:pPr>
      <w:r w:rsidRPr="00CF39EE">
        <w:rPr>
          <w:rFonts w:ascii="Sylfaen" w:hAnsi="Sylfaen"/>
          <w:sz w:val="24"/>
          <w:szCs w:val="24"/>
        </w:rPr>
        <w:lastRenderedPageBreak/>
        <w:t>Եթե ջրի պոմպերի մասով ընդունվել են Միության այլ տեխնիկական կանոնակարգեր (Մաքսային միության տեխնիկական կանոնակարգեր), որոնցով սահմանվում են դրանց ներկայացվող պահանջները, ապա ջրի պոմպերը պետք է համապատասխանեն Միության բոլոր այն տեխնիկական կանոնակարգերի (Մաքսային միության տեխնիկական կանոնակարգերի) պահանջներին, որոնց գործողությունը տարածվում է դրանց վրա։</w:t>
      </w:r>
    </w:p>
    <w:p w14:paraId="7690B56E" w14:textId="77777777" w:rsidR="009338B9" w:rsidRPr="00CF39EE" w:rsidRDefault="009338B9" w:rsidP="009338B9">
      <w:pPr>
        <w:pStyle w:val="Bodytext20"/>
        <w:spacing w:after="160" w:line="348" w:lineRule="auto"/>
        <w:ind w:left="260" w:firstLine="700"/>
        <w:jc w:val="both"/>
        <w:rPr>
          <w:rFonts w:ascii="Sylfaen" w:hAnsi="Sylfaen"/>
          <w:sz w:val="24"/>
          <w:szCs w:val="24"/>
        </w:rPr>
      </w:pPr>
    </w:p>
    <w:p w14:paraId="288D3213" w14:textId="77777777" w:rsidR="009338B9" w:rsidRPr="00CF39EE" w:rsidRDefault="009338B9" w:rsidP="009338B9">
      <w:pPr>
        <w:pStyle w:val="Bodytext20"/>
        <w:spacing w:after="160" w:line="348" w:lineRule="auto"/>
        <w:rPr>
          <w:rFonts w:ascii="Sylfaen" w:hAnsi="Sylfaen"/>
          <w:sz w:val="24"/>
          <w:szCs w:val="24"/>
        </w:rPr>
      </w:pPr>
      <w:r w:rsidRPr="00CF39EE">
        <w:rPr>
          <w:rFonts w:ascii="Sylfaen" w:hAnsi="Sylfaen"/>
          <w:sz w:val="24"/>
          <w:szCs w:val="24"/>
        </w:rPr>
        <w:t>II. Հիմնական հասկացությունները</w:t>
      </w:r>
    </w:p>
    <w:p w14:paraId="4BC6D925" w14:textId="77777777" w:rsidR="009338B9" w:rsidRPr="00CF39EE" w:rsidRDefault="009338B9" w:rsidP="009338B9">
      <w:pPr>
        <w:pStyle w:val="Bodytext20"/>
        <w:tabs>
          <w:tab w:val="left" w:pos="1134"/>
        </w:tabs>
        <w:spacing w:after="160" w:line="348" w:lineRule="auto"/>
        <w:ind w:firstLine="567"/>
        <w:jc w:val="both"/>
        <w:rPr>
          <w:rFonts w:ascii="Sylfaen" w:hAnsi="Sylfaen"/>
          <w:sz w:val="24"/>
          <w:szCs w:val="24"/>
        </w:rPr>
      </w:pPr>
      <w:r w:rsidRPr="00CF39EE">
        <w:rPr>
          <w:rFonts w:ascii="Sylfaen" w:hAnsi="Sylfaen"/>
          <w:sz w:val="24"/>
          <w:szCs w:val="24"/>
        </w:rPr>
        <w:t>2.</w:t>
      </w:r>
      <w:r>
        <w:rPr>
          <w:rFonts w:ascii="Sylfaen" w:hAnsi="Sylfaen"/>
          <w:sz w:val="24"/>
          <w:szCs w:val="24"/>
        </w:rPr>
        <w:tab/>
      </w:r>
      <w:r w:rsidRPr="00CF39EE">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F39EE">
        <w:rPr>
          <w:rFonts w:ascii="Sylfaen" w:hAnsi="Sylfaen"/>
          <w:sz w:val="24"/>
          <w:szCs w:val="24"/>
        </w:rPr>
        <w:t>յալ իմաստը՝</w:t>
      </w:r>
    </w:p>
    <w:p w14:paraId="26853CE8" w14:textId="77777777" w:rsidR="009338B9" w:rsidRPr="00CF39EE" w:rsidRDefault="009338B9" w:rsidP="009338B9">
      <w:pPr>
        <w:pStyle w:val="Bodytext20"/>
        <w:spacing w:after="160" w:line="348" w:lineRule="auto"/>
        <w:ind w:firstLine="567"/>
        <w:jc w:val="both"/>
        <w:rPr>
          <w:rFonts w:ascii="Sylfaen" w:hAnsi="Sylfaen"/>
          <w:sz w:val="24"/>
          <w:szCs w:val="24"/>
        </w:rPr>
      </w:pPr>
      <w:r w:rsidRPr="009338B9">
        <w:rPr>
          <w:rFonts w:ascii="Sylfaen" w:hAnsi="Sylfaen"/>
          <w:b/>
          <w:sz w:val="24"/>
          <w:szCs w:val="24"/>
        </w:rPr>
        <w:t>բարձակային միաբլոկ ջրի պոմպ (</w:t>
      </w:r>
      <w:smartTag w:uri="urn:schemas-microsoft-com:office:smarttags" w:element="stockticker">
        <w:r w:rsidRPr="009338B9">
          <w:rPr>
            <w:rFonts w:ascii="Sylfaen" w:hAnsi="Sylfaen"/>
            <w:b/>
            <w:sz w:val="24"/>
            <w:szCs w:val="24"/>
          </w:rPr>
          <w:t>ESCC</w:t>
        </w:r>
      </w:smartTag>
      <w:r w:rsidRPr="009338B9">
        <w:rPr>
          <w:rFonts w:ascii="Sylfaen" w:hAnsi="Sylfaen"/>
          <w:b/>
          <w:sz w:val="24"/>
          <w:szCs w:val="24"/>
        </w:rPr>
        <w:t>)՝</w:t>
      </w:r>
      <w:r w:rsidRPr="00CF39EE">
        <w:rPr>
          <w:rFonts w:ascii="Sylfaen" w:hAnsi="Sylfaen"/>
          <w:sz w:val="24"/>
          <w:szCs w:val="24"/>
        </w:rPr>
        <w:t xml:space="preserve"> առանցքային մուտքով ջրի պոմպ, որում շարժիչի երկարացված լիսեռը ծառայում է որպես պոմպի լիսեռ.</w:t>
      </w:r>
    </w:p>
    <w:p w14:paraId="607E494D" w14:textId="77777777" w:rsidR="009338B9" w:rsidRPr="00CF39EE" w:rsidRDefault="009338B9" w:rsidP="009338B9">
      <w:pPr>
        <w:pStyle w:val="Bodytext20"/>
        <w:spacing w:after="160" w:line="348" w:lineRule="auto"/>
        <w:ind w:firstLine="567"/>
        <w:jc w:val="both"/>
        <w:rPr>
          <w:rFonts w:ascii="Sylfaen" w:hAnsi="Sylfaen"/>
          <w:sz w:val="24"/>
          <w:szCs w:val="24"/>
        </w:rPr>
      </w:pPr>
      <w:r w:rsidRPr="009338B9">
        <w:rPr>
          <w:rFonts w:ascii="Sylfaen" w:hAnsi="Sylfaen"/>
          <w:b/>
          <w:sz w:val="24"/>
          <w:szCs w:val="24"/>
        </w:rPr>
        <w:t>բարձակային ջրի պոմպ՝</w:t>
      </w:r>
      <w:r w:rsidRPr="00CF39EE">
        <w:rPr>
          <w:rFonts w:ascii="Sylfaen" w:hAnsi="Sylfaen"/>
          <w:sz w:val="24"/>
          <w:szCs w:val="24"/>
        </w:rPr>
        <w:t xml:space="preserve"> չոր շարժաբերով </w:t>
      </w:r>
      <w:r>
        <w:rPr>
          <w:rFonts w:ascii="Sylfaen" w:hAnsi="Sylfaen"/>
          <w:sz w:val="24"/>
          <w:szCs w:val="24"/>
        </w:rPr>
        <w:t>եւ</w:t>
      </w:r>
      <w:r w:rsidRPr="00CF39EE">
        <w:rPr>
          <w:rFonts w:ascii="Sylfaen" w:hAnsi="Sylfaen"/>
          <w:sz w:val="24"/>
          <w:szCs w:val="24"/>
        </w:rPr>
        <w:t xml:space="preserve"> առանցքային մուտքով միաստիճան կենտրոնախույս ջրի պոմպ, որը նախատեսված է 6-ից մինչ</w:t>
      </w:r>
      <w:r>
        <w:rPr>
          <w:rFonts w:ascii="Sylfaen" w:hAnsi="Sylfaen"/>
          <w:sz w:val="24"/>
          <w:szCs w:val="24"/>
        </w:rPr>
        <w:t>եւ</w:t>
      </w:r>
      <w:r w:rsidRPr="00CF39EE">
        <w:rPr>
          <w:rFonts w:ascii="Sylfaen" w:hAnsi="Sylfaen"/>
          <w:sz w:val="24"/>
          <w:szCs w:val="24"/>
        </w:rPr>
        <w:t xml:space="preserve"> 80</w:t>
      </w:r>
      <w:r>
        <w:rPr>
          <w:rFonts w:ascii="Sylfaen" w:hAnsi="Sylfaen"/>
          <w:sz w:val="24"/>
          <w:szCs w:val="24"/>
        </w:rPr>
        <w:t> </w:t>
      </w:r>
      <w:r w:rsidRPr="00CF39EE">
        <w:rPr>
          <w:rFonts w:ascii="Sylfaen" w:hAnsi="Sylfaen"/>
          <w:sz w:val="24"/>
          <w:szCs w:val="24"/>
        </w:rPr>
        <w:t>պտ/ր պտտման բերված արագությամբ մինչ</w:t>
      </w:r>
      <w:r>
        <w:rPr>
          <w:rFonts w:ascii="Sylfaen" w:hAnsi="Sylfaen"/>
          <w:sz w:val="24"/>
          <w:szCs w:val="24"/>
        </w:rPr>
        <w:t>եւ</w:t>
      </w:r>
      <w:r w:rsidRPr="00CF39EE">
        <w:rPr>
          <w:rFonts w:ascii="Sylfaen" w:hAnsi="Sylfaen"/>
          <w:sz w:val="24"/>
          <w:szCs w:val="24"/>
        </w:rPr>
        <w:t xml:space="preserve"> 16 բար ճնշման պայմաններում կիրառելու համար, որի անվանական մատուցումը կազմում է 6 մ</w:t>
      </w:r>
      <w:r w:rsidRPr="00CF39EE">
        <w:rPr>
          <w:rFonts w:ascii="Sylfaen" w:hAnsi="Sylfaen"/>
          <w:sz w:val="24"/>
          <w:szCs w:val="24"/>
          <w:vertAlign w:val="superscript"/>
        </w:rPr>
        <w:t>3</w:t>
      </w:r>
      <w:r w:rsidRPr="00CF39EE">
        <w:rPr>
          <w:rFonts w:ascii="Sylfaen" w:hAnsi="Sylfaen"/>
          <w:sz w:val="24"/>
          <w:szCs w:val="24"/>
        </w:rPr>
        <w:t>/ժ (1,667x10</w:t>
      </w:r>
      <w:r w:rsidRPr="00CF39EE">
        <w:rPr>
          <w:rFonts w:ascii="Sylfaen" w:hAnsi="Sylfaen"/>
          <w:sz w:val="24"/>
          <w:szCs w:val="24"/>
          <w:vertAlign w:val="superscript"/>
        </w:rPr>
        <w:t>-3</w:t>
      </w:r>
      <w:r w:rsidRPr="00CF39EE">
        <w:rPr>
          <w:rFonts w:ascii="Sylfaen" w:hAnsi="Sylfaen"/>
          <w:sz w:val="24"/>
          <w:szCs w:val="24"/>
        </w:rPr>
        <w:t xml:space="preserve"> մ</w:t>
      </w:r>
      <w:r w:rsidRPr="00CF39EE">
        <w:rPr>
          <w:rFonts w:ascii="Sylfaen" w:hAnsi="Sylfaen"/>
          <w:sz w:val="24"/>
          <w:szCs w:val="24"/>
          <w:vertAlign w:val="superscript"/>
        </w:rPr>
        <w:t>3</w:t>
      </w:r>
      <w:r w:rsidRPr="00CF39EE">
        <w:rPr>
          <w:rFonts w:ascii="Sylfaen" w:hAnsi="Sylfaen"/>
          <w:sz w:val="24"/>
          <w:szCs w:val="24"/>
        </w:rPr>
        <w:t>/վրկ)-ից ոչ պակաս, առավելագույն հզորությունը լիսեռի վրա՝ 150 կՎտ, 1450</w:t>
      </w:r>
      <w:r>
        <w:rPr>
          <w:rFonts w:ascii="Sylfaen" w:hAnsi="Sylfaen"/>
          <w:sz w:val="24"/>
          <w:szCs w:val="24"/>
        </w:rPr>
        <w:t> </w:t>
      </w:r>
      <w:r w:rsidRPr="00CF39EE">
        <w:rPr>
          <w:rFonts w:ascii="Sylfaen" w:hAnsi="Sylfaen"/>
          <w:sz w:val="24"/>
          <w:szCs w:val="24"/>
        </w:rPr>
        <w:t xml:space="preserve">պտ/ր պտտման անվանական արագության դեպքում առավելագույն ճնշամղումը՝ 90 մ </w:t>
      </w:r>
      <w:r>
        <w:rPr>
          <w:rFonts w:ascii="Sylfaen" w:hAnsi="Sylfaen"/>
          <w:sz w:val="24"/>
          <w:szCs w:val="24"/>
        </w:rPr>
        <w:t>եւ</w:t>
      </w:r>
      <w:r w:rsidRPr="00CF39EE">
        <w:rPr>
          <w:rFonts w:ascii="Sylfaen" w:hAnsi="Sylfaen"/>
          <w:sz w:val="24"/>
          <w:szCs w:val="24"/>
        </w:rPr>
        <w:t xml:space="preserve"> 2900 պտ/ր պտտման անվանական արագության դեպքում առավելագույն ճնշամղումը՝ 140 մ.</w:t>
      </w:r>
    </w:p>
    <w:p w14:paraId="67CEF194" w14:textId="77777777" w:rsidR="009338B9" w:rsidRPr="00CF39EE" w:rsidRDefault="009338B9" w:rsidP="009338B9">
      <w:pPr>
        <w:pStyle w:val="Bodytext20"/>
        <w:spacing w:after="160" w:line="348" w:lineRule="auto"/>
        <w:ind w:firstLine="567"/>
        <w:jc w:val="both"/>
        <w:rPr>
          <w:rFonts w:ascii="Sylfaen" w:hAnsi="Sylfaen"/>
          <w:sz w:val="24"/>
          <w:szCs w:val="24"/>
        </w:rPr>
      </w:pPr>
      <w:r w:rsidRPr="009338B9">
        <w:rPr>
          <w:rFonts w:ascii="Sylfaen" w:hAnsi="Sylfaen"/>
          <w:b/>
          <w:sz w:val="24"/>
          <w:szCs w:val="24"/>
        </w:rPr>
        <w:t>բարձակային ջրի պոմպ (ESOB)՝</w:t>
      </w:r>
      <w:r w:rsidRPr="00CF39EE">
        <w:rPr>
          <w:rFonts w:ascii="Sylfaen" w:hAnsi="Sylfaen"/>
          <w:sz w:val="24"/>
          <w:szCs w:val="24"/>
        </w:rPr>
        <w:t xml:space="preserve"> առանցքային առբերումով </w:t>
      </w:r>
      <w:r>
        <w:rPr>
          <w:rFonts w:ascii="Sylfaen" w:hAnsi="Sylfaen"/>
          <w:sz w:val="24"/>
          <w:szCs w:val="24"/>
        </w:rPr>
        <w:t>եւ</w:t>
      </w:r>
      <w:r w:rsidRPr="00CF39EE">
        <w:rPr>
          <w:rFonts w:ascii="Sylfaen" w:hAnsi="Sylfaen"/>
          <w:sz w:val="24"/>
          <w:szCs w:val="24"/>
        </w:rPr>
        <w:t xml:space="preserve"> սեփական առանցքակալային հանգույցով ջրի պոմպ.</w:t>
      </w:r>
    </w:p>
    <w:p w14:paraId="0916961B" w14:textId="77777777" w:rsidR="009338B9" w:rsidRPr="00CF39EE" w:rsidRDefault="009338B9" w:rsidP="009338B9">
      <w:pPr>
        <w:pStyle w:val="Bodytext20"/>
        <w:spacing w:after="160" w:line="348" w:lineRule="auto"/>
        <w:ind w:firstLine="567"/>
        <w:jc w:val="both"/>
        <w:rPr>
          <w:rFonts w:ascii="Sylfaen" w:hAnsi="Sylfaen"/>
          <w:sz w:val="24"/>
          <w:szCs w:val="24"/>
        </w:rPr>
      </w:pPr>
      <w:r w:rsidRPr="009338B9">
        <w:rPr>
          <w:rFonts w:ascii="Sylfaen" w:hAnsi="Sylfaen"/>
          <w:b/>
          <w:sz w:val="24"/>
          <w:szCs w:val="24"/>
        </w:rPr>
        <w:t>C հաստատուն՝</w:t>
      </w:r>
      <w:r w:rsidRPr="00CF39EE">
        <w:rPr>
          <w:rFonts w:ascii="Sylfaen" w:hAnsi="Sylfaen"/>
          <w:sz w:val="24"/>
          <w:szCs w:val="24"/>
        </w:rPr>
        <w:t xml:space="preserve"> որոշակի տիպի ջրի պոմպերի համար հաստատուն մեծություն, որը քանակական ձ</w:t>
      </w:r>
      <w:r>
        <w:rPr>
          <w:rFonts w:ascii="Sylfaen" w:hAnsi="Sylfaen"/>
          <w:sz w:val="24"/>
          <w:szCs w:val="24"/>
        </w:rPr>
        <w:t>եւ</w:t>
      </w:r>
      <w:r w:rsidRPr="00CF39EE">
        <w:rPr>
          <w:rFonts w:ascii="Sylfaen" w:hAnsi="Sylfaen"/>
          <w:sz w:val="24"/>
          <w:szCs w:val="24"/>
        </w:rPr>
        <w:t>ով որոշում է այդ տիպի պոմպերի արդյունավետության տարբերությունը.</w:t>
      </w:r>
    </w:p>
    <w:p w14:paraId="42894D65" w14:textId="77777777" w:rsidR="009338B9" w:rsidRPr="00CF39EE" w:rsidRDefault="009338B9" w:rsidP="009338B9">
      <w:pPr>
        <w:pStyle w:val="Bodytext20"/>
        <w:spacing w:after="160" w:line="360" w:lineRule="auto"/>
        <w:ind w:firstLine="567"/>
        <w:jc w:val="both"/>
        <w:rPr>
          <w:rFonts w:ascii="Sylfaen" w:hAnsi="Sylfaen"/>
          <w:sz w:val="24"/>
          <w:szCs w:val="24"/>
        </w:rPr>
      </w:pPr>
      <w:r w:rsidRPr="009338B9">
        <w:rPr>
          <w:rFonts w:ascii="Sylfaen" w:hAnsi="Sylfaen"/>
          <w:b/>
          <w:sz w:val="24"/>
          <w:szCs w:val="24"/>
        </w:rPr>
        <w:t>ջրի պոմպի օգտակար գործողության գործակից (ՕԳԳ) (η)՝</w:t>
      </w:r>
      <w:r w:rsidRPr="00CF39EE">
        <w:rPr>
          <w:rFonts w:ascii="Sylfaen" w:hAnsi="Sylfaen"/>
          <w:sz w:val="24"/>
          <w:szCs w:val="24"/>
        </w:rPr>
        <w:t xml:space="preserve"> պոմպի միջով անցնելիս հեղուկին փոխանցվող մեխանիկական էներգիայի հարաբերությունը պոմպի լիսեռի վրա մեխանիկական հզորության նկատմամբ.</w:t>
      </w:r>
    </w:p>
    <w:p w14:paraId="286AEF63" w14:textId="77777777" w:rsidR="009338B9" w:rsidRPr="00CF39EE" w:rsidRDefault="009338B9" w:rsidP="009338B9">
      <w:pPr>
        <w:pStyle w:val="Bodytext20"/>
        <w:spacing w:after="160" w:line="360" w:lineRule="auto"/>
        <w:ind w:firstLine="567"/>
        <w:jc w:val="both"/>
        <w:rPr>
          <w:rFonts w:ascii="Sylfaen" w:hAnsi="Sylfaen"/>
          <w:sz w:val="24"/>
          <w:szCs w:val="24"/>
        </w:rPr>
      </w:pPr>
      <w:r w:rsidRPr="009338B9">
        <w:rPr>
          <w:rFonts w:ascii="Sylfaen" w:hAnsi="Sylfaen"/>
          <w:b/>
          <w:sz w:val="24"/>
          <w:szCs w:val="24"/>
        </w:rPr>
        <w:lastRenderedPageBreak/>
        <w:t>գծային բարձակային միաբլոկ ջրի պոմպ (ESCCi)՝</w:t>
      </w:r>
      <w:r w:rsidRPr="00CF39EE">
        <w:rPr>
          <w:rFonts w:ascii="Sylfaen" w:hAnsi="Sylfaen"/>
          <w:sz w:val="24"/>
          <w:szCs w:val="24"/>
        </w:rPr>
        <w:t xml:space="preserve"> բարձակային միաբլոկ ջրի պոմպ, որում մուտքի </w:t>
      </w:r>
      <w:r>
        <w:rPr>
          <w:rFonts w:ascii="Sylfaen" w:hAnsi="Sylfaen"/>
          <w:sz w:val="24"/>
          <w:szCs w:val="24"/>
        </w:rPr>
        <w:t>եւ</w:t>
      </w:r>
      <w:r w:rsidRPr="00CF39EE">
        <w:rPr>
          <w:rFonts w:ascii="Sylfaen" w:hAnsi="Sylfaen"/>
          <w:sz w:val="24"/>
          <w:szCs w:val="24"/>
        </w:rPr>
        <w:t xml:space="preserve"> ելքի խողովակաոստները դասավորված են մեկ առանցքի երկայնքով.</w:t>
      </w:r>
    </w:p>
    <w:p w14:paraId="296E7EAF" w14:textId="77777777" w:rsidR="009338B9" w:rsidRPr="00CF39EE" w:rsidRDefault="009338B9" w:rsidP="009338B9">
      <w:pPr>
        <w:pStyle w:val="Bodytext20"/>
        <w:spacing w:after="160" w:line="360" w:lineRule="auto"/>
        <w:ind w:firstLine="567"/>
        <w:jc w:val="both"/>
        <w:rPr>
          <w:rFonts w:ascii="Sylfaen" w:hAnsi="Sylfaen"/>
          <w:sz w:val="24"/>
          <w:szCs w:val="24"/>
        </w:rPr>
      </w:pPr>
      <w:r w:rsidRPr="009338B9">
        <w:rPr>
          <w:rFonts w:ascii="Sylfaen" w:hAnsi="Sylfaen"/>
          <w:b/>
          <w:sz w:val="24"/>
          <w:szCs w:val="24"/>
        </w:rPr>
        <w:t>էներգաարդյունավետության նվազագույն ցուցիչ (MEI)՝</w:t>
      </w:r>
      <w:r w:rsidRPr="00CF39EE">
        <w:rPr>
          <w:rFonts w:ascii="Sylfaen" w:hAnsi="Sylfaen"/>
          <w:sz w:val="24"/>
          <w:szCs w:val="24"/>
        </w:rPr>
        <w:t xml:space="preserve"> անչափ մեծություն, որը բնութագրում է ջրի պոմպերի արդյունավետությունն օպտիմալ կետում՝ մասնակի բեռնման </w:t>
      </w:r>
      <w:r>
        <w:rPr>
          <w:rFonts w:ascii="Sylfaen" w:hAnsi="Sylfaen"/>
          <w:sz w:val="24"/>
          <w:szCs w:val="24"/>
        </w:rPr>
        <w:t>եւ</w:t>
      </w:r>
      <w:r w:rsidRPr="00CF39EE">
        <w:rPr>
          <w:rFonts w:ascii="Sylfaen" w:hAnsi="Sylfaen"/>
          <w:sz w:val="24"/>
          <w:szCs w:val="24"/>
        </w:rPr>
        <w:t xml:space="preserve"> գերբեռնման դեպքում.</w:t>
      </w:r>
    </w:p>
    <w:p w14:paraId="0EFED1A0" w14:textId="77777777" w:rsidR="009338B9" w:rsidRPr="00CF39EE" w:rsidRDefault="009338B9" w:rsidP="009338B9">
      <w:pPr>
        <w:pStyle w:val="Bodytext20"/>
        <w:spacing w:after="160" w:line="360" w:lineRule="auto"/>
        <w:ind w:firstLine="567"/>
        <w:jc w:val="both"/>
        <w:rPr>
          <w:rFonts w:ascii="Sylfaen" w:hAnsi="Sylfaen"/>
          <w:sz w:val="24"/>
          <w:szCs w:val="24"/>
        </w:rPr>
      </w:pPr>
      <w:r w:rsidRPr="009338B9">
        <w:rPr>
          <w:rFonts w:ascii="Sylfaen" w:hAnsi="Sylfaen"/>
          <w:b/>
          <w:sz w:val="24"/>
          <w:szCs w:val="24"/>
        </w:rPr>
        <w:t>բազմաստիճան ուղղաձիգ պոմպ (MS-V)՝</w:t>
      </w:r>
      <w:r w:rsidRPr="00CF39EE">
        <w:rPr>
          <w:rFonts w:ascii="Sylfaen" w:hAnsi="Sylfaen"/>
          <w:sz w:val="24"/>
          <w:szCs w:val="24"/>
        </w:rPr>
        <w:t xml:space="preserve"> մեկուս</w:t>
      </w:r>
      <w:r w:rsidR="00ED3937">
        <w:rPr>
          <w:rFonts w:ascii="Sylfaen" w:hAnsi="Sylfaen"/>
          <w:sz w:val="24"/>
          <w:szCs w:val="24"/>
        </w:rPr>
        <w:t xml:space="preserve">ացված շարժաբերով </w:t>
      </w:r>
      <w:r w:rsidR="00ED3937" w:rsidRPr="004D5828">
        <w:rPr>
          <w:rFonts w:ascii="Sylfaen" w:hAnsi="Sylfaen"/>
          <w:spacing w:val="-6"/>
          <w:sz w:val="24"/>
          <w:szCs w:val="24"/>
        </w:rPr>
        <w:t>բազմաստիճան (i&gt;</w:t>
      </w:r>
      <w:r w:rsidRPr="004D5828">
        <w:rPr>
          <w:rFonts w:ascii="Sylfaen" w:hAnsi="Sylfaen"/>
          <w:spacing w:val="-6"/>
          <w:sz w:val="24"/>
          <w:szCs w:val="24"/>
        </w:rPr>
        <w:t>1) կենտրոնախույս պոմպ, որում բանող անիվները մոնտաժված են ուղղահայաց</w:t>
      </w:r>
      <w:r w:rsidRPr="00CF39EE">
        <w:rPr>
          <w:rFonts w:ascii="Sylfaen" w:hAnsi="Sylfaen"/>
          <w:sz w:val="24"/>
          <w:szCs w:val="24"/>
        </w:rPr>
        <w:t xml:space="preserve"> դասավորված այնպիսի լիսեռի վրա, որը հաշվարկված է մինչ</w:t>
      </w:r>
      <w:r>
        <w:rPr>
          <w:rFonts w:ascii="Sylfaen" w:hAnsi="Sylfaen"/>
          <w:sz w:val="24"/>
          <w:szCs w:val="24"/>
        </w:rPr>
        <w:t>եւ</w:t>
      </w:r>
      <w:r w:rsidRPr="00CF39EE">
        <w:rPr>
          <w:rFonts w:ascii="Sylfaen" w:hAnsi="Sylfaen"/>
          <w:sz w:val="24"/>
          <w:szCs w:val="24"/>
        </w:rPr>
        <w:t xml:space="preserve"> 25</w:t>
      </w:r>
      <w:r w:rsidR="004D5828">
        <w:rPr>
          <w:rFonts w:ascii="Sylfaen" w:hAnsi="Sylfaen"/>
          <w:sz w:val="24"/>
          <w:szCs w:val="24"/>
        </w:rPr>
        <w:t> </w:t>
      </w:r>
      <w:r w:rsidRPr="00CF39EE">
        <w:rPr>
          <w:rFonts w:ascii="Sylfaen" w:hAnsi="Sylfaen"/>
          <w:sz w:val="24"/>
          <w:szCs w:val="24"/>
        </w:rPr>
        <w:t xml:space="preserve">բար ճնշման համար՝ 2900 պտ/ր պտտման անվանական արագության </w:t>
      </w:r>
      <w:r>
        <w:rPr>
          <w:rFonts w:ascii="Sylfaen" w:hAnsi="Sylfaen"/>
          <w:sz w:val="24"/>
          <w:szCs w:val="24"/>
        </w:rPr>
        <w:t>եւ</w:t>
      </w:r>
      <w:r w:rsidRPr="00CF39EE">
        <w:rPr>
          <w:rFonts w:ascii="Sylfaen" w:hAnsi="Sylfaen"/>
          <w:sz w:val="24"/>
          <w:szCs w:val="24"/>
        </w:rPr>
        <w:t xml:space="preserve"> 100 մ</w:t>
      </w:r>
      <w:r w:rsidRPr="00CF39EE">
        <w:rPr>
          <w:rFonts w:ascii="Sylfaen" w:hAnsi="Sylfaen"/>
          <w:sz w:val="24"/>
          <w:szCs w:val="24"/>
          <w:vertAlign w:val="superscript"/>
        </w:rPr>
        <w:t>3</w:t>
      </w:r>
      <w:r w:rsidRPr="00CF39EE">
        <w:rPr>
          <w:rFonts w:ascii="Sylfaen" w:hAnsi="Sylfaen"/>
          <w:sz w:val="24"/>
          <w:szCs w:val="24"/>
        </w:rPr>
        <w:t>/ժ (27,78 x 10</w:t>
      </w:r>
      <w:r w:rsidRPr="00CF39EE">
        <w:rPr>
          <w:rFonts w:ascii="Sylfaen" w:hAnsi="Sylfaen"/>
          <w:sz w:val="24"/>
          <w:szCs w:val="24"/>
          <w:vertAlign w:val="superscript"/>
        </w:rPr>
        <w:t>-3</w:t>
      </w:r>
      <w:r w:rsidRPr="00CF39EE">
        <w:rPr>
          <w:rFonts w:ascii="Sylfaen" w:hAnsi="Sylfaen"/>
          <w:sz w:val="24"/>
          <w:szCs w:val="24"/>
        </w:rPr>
        <w:t xml:space="preserve"> մ</w:t>
      </w:r>
      <w:r w:rsidRPr="00CF39EE">
        <w:rPr>
          <w:rFonts w:ascii="Sylfaen" w:hAnsi="Sylfaen"/>
          <w:sz w:val="24"/>
          <w:szCs w:val="24"/>
          <w:vertAlign w:val="superscript"/>
        </w:rPr>
        <w:t>3</w:t>
      </w:r>
      <w:r w:rsidRPr="00CF39EE">
        <w:rPr>
          <w:rFonts w:ascii="Sylfaen" w:hAnsi="Sylfaen"/>
          <w:sz w:val="24"/>
          <w:szCs w:val="24"/>
        </w:rPr>
        <w:t>/վրկ) ջրի առավելագույն մատուցման դեպքում.</w:t>
      </w:r>
    </w:p>
    <w:p w14:paraId="60BC96A1" w14:textId="77777777" w:rsidR="009338B9" w:rsidRPr="00CF39EE" w:rsidRDefault="009338B9" w:rsidP="009338B9">
      <w:pPr>
        <w:pStyle w:val="Bodytext20"/>
        <w:spacing w:after="160" w:line="360" w:lineRule="auto"/>
        <w:ind w:firstLine="567"/>
        <w:jc w:val="both"/>
        <w:rPr>
          <w:rFonts w:ascii="Sylfaen" w:hAnsi="Sylfaen"/>
          <w:sz w:val="24"/>
          <w:szCs w:val="24"/>
        </w:rPr>
      </w:pPr>
      <w:r w:rsidRPr="009338B9">
        <w:rPr>
          <w:rFonts w:ascii="Sylfaen" w:hAnsi="Sylfaen"/>
          <w:b/>
          <w:sz w:val="24"/>
          <w:szCs w:val="24"/>
        </w:rPr>
        <w:t>բազմաստիճան սուզապոմպ (</w:t>
      </w:r>
      <w:r w:rsidR="004D5828" w:rsidRPr="004D5828">
        <w:rPr>
          <w:rFonts w:ascii="Sylfaen" w:hAnsi="Sylfaen"/>
          <w:b/>
          <w:sz w:val="24"/>
          <w:szCs w:val="24"/>
        </w:rPr>
        <w:t>M</w:t>
      </w:r>
      <w:r w:rsidRPr="009338B9">
        <w:rPr>
          <w:rFonts w:ascii="Sylfaen" w:hAnsi="Sylfaen"/>
          <w:b/>
          <w:sz w:val="24"/>
          <w:szCs w:val="24"/>
        </w:rPr>
        <w:t>SS)՝</w:t>
      </w:r>
      <w:r w:rsidRPr="00CF39EE">
        <w:rPr>
          <w:rFonts w:ascii="Sylfaen" w:hAnsi="Sylfaen"/>
          <w:sz w:val="24"/>
          <w:szCs w:val="24"/>
        </w:rPr>
        <w:t xml:space="preserve"> 4 դյույմ (10,16 սմ) կամ 6 դյույմ (15,24 սմ) կազմող արտաքին անվ</w:t>
      </w:r>
      <w:r w:rsidR="00ED3937">
        <w:rPr>
          <w:rFonts w:ascii="Sylfaen" w:hAnsi="Sylfaen"/>
          <w:sz w:val="24"/>
          <w:szCs w:val="24"/>
        </w:rPr>
        <w:t>անական տրամագծով բազմաստիճան (i&gt;</w:t>
      </w:r>
      <w:r w:rsidRPr="00CF39EE">
        <w:rPr>
          <w:rFonts w:ascii="Sylfaen" w:hAnsi="Sylfaen"/>
          <w:sz w:val="24"/>
          <w:szCs w:val="24"/>
        </w:rPr>
        <w:t>1) կենտրոնախույս պոմպ, որը նախատեսված է 0° C-ից մինչ</w:t>
      </w:r>
      <w:r>
        <w:rPr>
          <w:rFonts w:ascii="Sylfaen" w:hAnsi="Sylfaen"/>
          <w:sz w:val="24"/>
          <w:szCs w:val="24"/>
        </w:rPr>
        <w:t>եւ</w:t>
      </w:r>
      <w:r w:rsidRPr="00CF39EE">
        <w:rPr>
          <w:rFonts w:ascii="Sylfaen" w:hAnsi="Sylfaen"/>
          <w:sz w:val="24"/>
          <w:szCs w:val="24"/>
        </w:rPr>
        <w:t xml:space="preserve"> 90° C աշխատանքային ջերմաստիճանում </w:t>
      </w:r>
      <w:r>
        <w:rPr>
          <w:rFonts w:ascii="Sylfaen" w:hAnsi="Sylfaen"/>
          <w:sz w:val="24"/>
          <w:szCs w:val="24"/>
        </w:rPr>
        <w:t>եւ</w:t>
      </w:r>
      <w:r w:rsidRPr="00CF39EE">
        <w:rPr>
          <w:rFonts w:ascii="Sylfaen" w:hAnsi="Sylfaen"/>
          <w:sz w:val="24"/>
          <w:szCs w:val="24"/>
        </w:rPr>
        <w:t xml:space="preserve"> 2900 պտ/ր պտտման անվանական արագության դեպքում հորատանցքում օգտագործելու համար.</w:t>
      </w:r>
    </w:p>
    <w:p w14:paraId="3DEB7E79"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z w:val="24"/>
          <w:szCs w:val="24"/>
        </w:rPr>
        <w:t>մեկուսացված շարժաբերով պոմպ՝</w:t>
      </w:r>
      <w:r w:rsidRPr="00CF39EE">
        <w:rPr>
          <w:rFonts w:ascii="Sylfaen" w:hAnsi="Sylfaen"/>
          <w:sz w:val="24"/>
          <w:szCs w:val="24"/>
        </w:rPr>
        <w:t xml:space="preserve"> պոմպ, որում բանող անիվի խոռոչը </w:t>
      </w:r>
      <w:r>
        <w:rPr>
          <w:rFonts w:ascii="Sylfaen" w:hAnsi="Sylfaen"/>
          <w:sz w:val="24"/>
          <w:szCs w:val="24"/>
        </w:rPr>
        <w:t>եւ</w:t>
      </w:r>
      <w:r w:rsidRPr="00CF39EE">
        <w:rPr>
          <w:rFonts w:ascii="Sylfaen" w:hAnsi="Sylfaen"/>
          <w:sz w:val="24"/>
          <w:szCs w:val="24"/>
        </w:rPr>
        <w:t xml:space="preserve"> շարժաբերը միմյանցից մեկուսացված են, ընդ որում վերամղվող հեկուղի հետ շարժաբերի հպումը բացառված է.</w:t>
      </w:r>
    </w:p>
    <w:p w14:paraId="0E5FB596"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pacing w:val="-6"/>
          <w:sz w:val="24"/>
          <w:szCs w:val="24"/>
        </w:rPr>
        <w:t>մասնակի բեռնում (PL)՝</w:t>
      </w:r>
      <w:r w:rsidRPr="00ED3937">
        <w:rPr>
          <w:rFonts w:ascii="Sylfaen" w:hAnsi="Sylfaen"/>
          <w:spacing w:val="-6"/>
          <w:sz w:val="24"/>
          <w:szCs w:val="24"/>
        </w:rPr>
        <w:t xml:space="preserve"> ջրի պոմպի բանող կետ, որում մատուցումը կազմում է օպտիմալ կետում</w:t>
      </w:r>
      <w:r w:rsidRPr="00CF39EE">
        <w:rPr>
          <w:rFonts w:ascii="Sylfaen" w:hAnsi="Sylfaen"/>
          <w:sz w:val="24"/>
          <w:szCs w:val="24"/>
        </w:rPr>
        <w:t xml:space="preserve"> մատուցման 75 %-ը.</w:t>
      </w:r>
    </w:p>
    <w:p w14:paraId="08C5F5DD"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z w:val="24"/>
          <w:szCs w:val="24"/>
        </w:rPr>
        <w:t>անվանական հզորություն՝</w:t>
      </w:r>
      <w:r w:rsidRPr="00CF39EE">
        <w:rPr>
          <w:rFonts w:ascii="Sylfaen" w:hAnsi="Sylfaen"/>
          <w:sz w:val="24"/>
          <w:szCs w:val="24"/>
        </w:rPr>
        <w:t xml:space="preserve"> արտադրողի կողմից սահմանված հզորություն մատուցման նորմալ պայմաններում </w:t>
      </w:r>
      <w:r>
        <w:rPr>
          <w:rFonts w:ascii="Sylfaen" w:hAnsi="Sylfaen"/>
          <w:sz w:val="24"/>
          <w:szCs w:val="24"/>
        </w:rPr>
        <w:t>եւ</w:t>
      </w:r>
      <w:r w:rsidRPr="00CF39EE">
        <w:rPr>
          <w:rFonts w:ascii="Sylfaen" w:hAnsi="Sylfaen"/>
          <w:sz w:val="24"/>
          <w:szCs w:val="24"/>
        </w:rPr>
        <w:t xml:space="preserve"> տրված ճնշման դեպքում.</w:t>
      </w:r>
    </w:p>
    <w:p w14:paraId="2D75E5DE"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z w:val="24"/>
          <w:szCs w:val="24"/>
        </w:rPr>
        <w:t>ջրի ծավալային պոմպ՝</w:t>
      </w:r>
      <w:r w:rsidRPr="00CF39EE">
        <w:rPr>
          <w:rFonts w:ascii="Sylfaen" w:hAnsi="Sylfaen"/>
          <w:sz w:val="24"/>
          <w:szCs w:val="24"/>
        </w:rPr>
        <w:t xml:space="preserve"> ջրի պոմպ, որում մաքուր ջուրը դեպի պոմպի ելք է տեղափոխվում որոշակի չափաբաժիններով.</w:t>
      </w:r>
    </w:p>
    <w:p w14:paraId="1F005389"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z w:val="24"/>
          <w:szCs w:val="24"/>
        </w:rPr>
        <w:t>գերբեռնվածք (OL)՝</w:t>
      </w:r>
      <w:r w:rsidRPr="00CF39EE">
        <w:rPr>
          <w:rFonts w:ascii="Sylfaen" w:hAnsi="Sylfaen"/>
          <w:sz w:val="24"/>
          <w:szCs w:val="24"/>
        </w:rPr>
        <w:t xml:space="preserve"> ջրի պոմպի բանող կետ, որում մատուցումը կազմում է օպտիմալ կետում մատուցման 110 %-ը.</w:t>
      </w:r>
    </w:p>
    <w:p w14:paraId="6A917919"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z w:val="24"/>
          <w:szCs w:val="24"/>
        </w:rPr>
        <w:lastRenderedPageBreak/>
        <w:t>լիաչափ բանող անիվ՝</w:t>
      </w:r>
      <w:r w:rsidRPr="00CF39EE">
        <w:rPr>
          <w:rFonts w:ascii="Sylfaen" w:hAnsi="Sylfaen"/>
          <w:sz w:val="24"/>
          <w:szCs w:val="24"/>
        </w:rPr>
        <w:t xml:space="preserve"> որոշակի տիպաչափսի պոմպի համար առավելագույն տրամագծի բանող անիվ.</w:t>
      </w:r>
    </w:p>
    <w:p w14:paraId="69DF951D" w14:textId="77777777" w:rsidR="009338B9" w:rsidRPr="00CF39EE" w:rsidRDefault="009338B9" w:rsidP="009338B9">
      <w:pPr>
        <w:pStyle w:val="Bodytext20"/>
        <w:spacing w:after="160" w:line="360" w:lineRule="auto"/>
        <w:ind w:firstLine="567"/>
        <w:jc w:val="both"/>
        <w:rPr>
          <w:rFonts w:ascii="Sylfaen" w:hAnsi="Sylfaen"/>
          <w:sz w:val="24"/>
          <w:szCs w:val="24"/>
        </w:rPr>
      </w:pPr>
      <w:r w:rsidRPr="00ED3937">
        <w:rPr>
          <w:rFonts w:ascii="Sylfaen" w:hAnsi="Sylfaen"/>
          <w:b/>
          <w:sz w:val="24"/>
          <w:szCs w:val="24"/>
        </w:rPr>
        <w:t>պտտման բերված արագություն n</w:t>
      </w:r>
      <w:r w:rsidRPr="00ED3937">
        <w:rPr>
          <w:rFonts w:ascii="Sylfaen" w:hAnsi="Sylfaen"/>
          <w:b/>
          <w:sz w:val="24"/>
          <w:szCs w:val="24"/>
          <w:vertAlign w:val="subscript"/>
        </w:rPr>
        <w:t>s</w:t>
      </w:r>
      <w:r w:rsidRPr="00ED3937">
        <w:rPr>
          <w:rFonts w:ascii="Sylfaen" w:hAnsi="Sylfaen"/>
          <w:b/>
          <w:sz w:val="24"/>
          <w:szCs w:val="24"/>
        </w:rPr>
        <w:t xml:space="preserve"> (արագընթացության գործակից)՝</w:t>
      </w:r>
      <w:r w:rsidRPr="00CF39EE">
        <w:rPr>
          <w:rFonts w:ascii="Sylfaen" w:hAnsi="Sylfaen"/>
          <w:sz w:val="24"/>
          <w:szCs w:val="24"/>
        </w:rPr>
        <w:t xml:space="preserve"> մեծություն, որը որոշվում է պոմպի բանող անիվի չափսերով </w:t>
      </w:r>
      <w:r>
        <w:rPr>
          <w:rFonts w:ascii="Sylfaen" w:hAnsi="Sylfaen"/>
          <w:sz w:val="24"/>
          <w:szCs w:val="24"/>
        </w:rPr>
        <w:t>եւ</w:t>
      </w:r>
      <w:r w:rsidRPr="00CF39EE">
        <w:rPr>
          <w:rFonts w:ascii="Sylfaen" w:hAnsi="Sylfaen"/>
          <w:sz w:val="24"/>
          <w:szCs w:val="24"/>
        </w:rPr>
        <w:t xml:space="preserve"> ձ</w:t>
      </w:r>
      <w:r>
        <w:rPr>
          <w:rFonts w:ascii="Sylfaen" w:hAnsi="Sylfaen"/>
          <w:sz w:val="24"/>
          <w:szCs w:val="24"/>
        </w:rPr>
        <w:t>եւ</w:t>
      </w:r>
      <w:r w:rsidRPr="00CF39EE">
        <w:rPr>
          <w:rFonts w:ascii="Sylfaen" w:hAnsi="Sylfaen"/>
          <w:sz w:val="24"/>
          <w:szCs w:val="24"/>
        </w:rPr>
        <w:t xml:space="preserve">ով՝ ճնշման, մատուցման </w:t>
      </w:r>
      <w:r>
        <w:rPr>
          <w:rFonts w:ascii="Sylfaen" w:hAnsi="Sylfaen"/>
          <w:sz w:val="24"/>
          <w:szCs w:val="24"/>
        </w:rPr>
        <w:t>եւ</w:t>
      </w:r>
      <w:r w:rsidRPr="00CF39EE">
        <w:rPr>
          <w:rFonts w:ascii="Sylfaen" w:hAnsi="Sylfaen"/>
          <w:sz w:val="24"/>
          <w:szCs w:val="24"/>
        </w:rPr>
        <w:t xml:space="preserve"> լիսեռի պտտման հաճախության տրված արժեքների դեպքում՝</w:t>
      </w:r>
    </w:p>
    <w:p w14:paraId="41685BFE" w14:textId="77777777" w:rsidR="009338B9" w:rsidRPr="00CF39EE" w:rsidRDefault="00000000" w:rsidP="004D5828">
      <w:pPr>
        <w:spacing w:after="160" w:line="360" w:lineRule="auto"/>
        <w:ind w:left="142" w:right="-8"/>
        <w:rPr>
          <w:rStyle w:val="Bodytext1395pt"/>
          <w:rFonts w:ascii="Sylfaen" w:eastAsia="Microsoft Sans Serif" w:hAnsi="Sylfaen"/>
          <w:b w:val="0"/>
          <w:bCs w:val="0"/>
        </w:rPr>
      </w:pPr>
      <m:oMathPara>
        <m:oMathParaPr>
          <m:jc m:val="center"/>
        </m:oMathParaPr>
        <m:oMath>
          <m:sSub>
            <m:sSubPr>
              <m:ctrlPr>
                <w:rPr>
                  <w:rStyle w:val="Bodytext1395pt"/>
                  <w:rFonts w:ascii="Cambria Math" w:eastAsia="Microsoft Sans Serif" w:hAnsi="Sylfaen"/>
                  <w:b w:val="0"/>
                  <w:bCs w:val="0"/>
                  <w:i w:val="0"/>
                  <w:iCs w:val="0"/>
                </w:rPr>
              </m:ctrlPr>
            </m:sSubPr>
            <m:e>
              <m:r>
                <m:rPr>
                  <m:sty m:val="bi"/>
                </m:rPr>
                <w:rPr>
                  <w:rStyle w:val="Bodytext1395pt"/>
                  <w:rFonts w:ascii="Cambria Math" w:eastAsia="Microsoft Sans Serif" w:hAnsi="Cambria Math"/>
                </w:rPr>
                <m:t>n</m:t>
              </m:r>
            </m:e>
            <m:sub>
              <m:r>
                <m:rPr>
                  <m:sty m:val="bi"/>
                </m:rPr>
                <w:rPr>
                  <w:rStyle w:val="Bodytext1395pt"/>
                  <w:rFonts w:ascii="Cambria Math" w:eastAsia="Microsoft Sans Serif" w:hAnsi="Cambria Math"/>
                </w:rPr>
                <m:t>s</m:t>
              </m:r>
            </m:sub>
          </m:sSub>
          <m:r>
            <m:rPr>
              <m:sty m:val="bi"/>
            </m:rPr>
            <w:rPr>
              <w:rStyle w:val="Bodytext1395pt"/>
              <w:rFonts w:ascii="Cambria Math" w:eastAsia="Microsoft Sans Serif" w:hAnsi="Sylfaen"/>
            </w:rPr>
            <m:t>=</m:t>
          </m:r>
          <m:r>
            <m:rPr>
              <m:sty m:val="bi"/>
            </m:rPr>
            <w:rPr>
              <w:rStyle w:val="Bodytext1395pt"/>
              <w:rFonts w:ascii="Cambria Math" w:eastAsia="Microsoft Sans Serif" w:hAnsi="Cambria Math"/>
            </w:rPr>
            <m:t>n*</m:t>
          </m:r>
          <m:r>
            <m:rPr>
              <m:sty m:val="bi"/>
            </m:rPr>
            <w:rPr>
              <w:rStyle w:val="Bodytext1395pt"/>
              <w:rFonts w:ascii="Cambria Math" w:eastAsia="Microsoft Sans Serif" w:hAnsi="Sylfaen"/>
            </w:rPr>
            <m:t xml:space="preserve"> </m:t>
          </m:r>
          <m:f>
            <m:fPr>
              <m:ctrlPr>
                <w:rPr>
                  <w:rStyle w:val="Bodytext1395pt"/>
                  <w:rFonts w:ascii="Cambria Math" w:eastAsia="Microsoft Sans Serif" w:hAnsi="Sylfaen"/>
                  <w:b w:val="0"/>
                  <w:bCs w:val="0"/>
                  <w:i w:val="0"/>
                  <w:iCs w:val="0"/>
                </w:rPr>
              </m:ctrlPr>
            </m:fPr>
            <m:num>
              <m:rad>
                <m:radPr>
                  <m:degHide m:val="1"/>
                  <m:ctrlPr>
                    <w:rPr>
                      <w:rStyle w:val="Bodytext1395pt"/>
                      <w:rFonts w:ascii="Cambria Math" w:eastAsia="Microsoft Sans Serif" w:hAnsi="Sylfaen"/>
                      <w:b w:val="0"/>
                      <w:bCs w:val="0"/>
                      <w:i w:val="0"/>
                      <w:iCs w:val="0"/>
                    </w:rPr>
                  </m:ctrlPr>
                </m:radPr>
                <m:deg/>
                <m:e>
                  <m:r>
                    <m:rPr>
                      <m:sty m:val="bi"/>
                    </m:rPr>
                    <w:rPr>
                      <w:rStyle w:val="Bodytext1395pt"/>
                      <w:rFonts w:ascii="Cambria Math" w:eastAsia="Microsoft Sans Serif" w:hAnsi="Cambria Math"/>
                    </w:rPr>
                    <m:t>Q</m:t>
                  </m:r>
                  <m:r>
                    <m:rPr>
                      <m:sty m:val="bi"/>
                    </m:rPr>
                    <w:rPr>
                      <w:rStyle w:val="Bodytext1395pt"/>
                      <w:rFonts w:ascii="Cambria Math" w:hAnsi="Cambria Math"/>
                    </w:rPr>
                    <m:t>BEP</m:t>
                  </m:r>
                </m:e>
              </m:rad>
            </m:num>
            <m:den>
              <m:d>
                <m:dPr>
                  <m:ctrlPr>
                    <w:rPr>
                      <w:rStyle w:val="Bodytext1395pt"/>
                      <w:rFonts w:ascii="Cambria Math" w:eastAsia="Microsoft Sans Serif" w:hAnsi="Sylfaen"/>
                      <w:b w:val="0"/>
                      <w:bCs w:val="0"/>
                      <w:i w:val="0"/>
                      <w:iCs w:val="0"/>
                    </w:rPr>
                  </m:ctrlPr>
                </m:dPr>
                <m:e>
                  <m:r>
                    <m:rPr>
                      <m:sty m:val="bi"/>
                    </m:rPr>
                    <w:rPr>
                      <w:rStyle w:val="Bodytext1395pt"/>
                      <w:rFonts w:ascii="Cambria Math" w:eastAsia="Microsoft Sans Serif" w:hAnsi="Cambria Math"/>
                    </w:rPr>
                    <m:t>1</m:t>
                  </m:r>
                  <m:r>
                    <m:rPr>
                      <m:sty m:val="bi"/>
                    </m:rPr>
                    <w:rPr>
                      <w:rStyle w:val="Bodytext1395pt"/>
                      <w:rFonts w:ascii="Cambria Math" w:eastAsia="Microsoft Sans Serif" w:hAnsi="Sylfaen"/>
                    </w:rPr>
                    <m:t>/</m:t>
                  </m:r>
                  <m:r>
                    <m:rPr>
                      <m:sty m:val="bi"/>
                    </m:rPr>
                    <w:rPr>
                      <w:rStyle w:val="Bodytext1395pt"/>
                      <w:rFonts w:ascii="Cambria Math" w:eastAsia="Microsoft Sans Serif" w:hAnsi="Cambria Math"/>
                      <w:lang w:val="en-US"/>
                    </w:rPr>
                    <m:t>i</m:t>
                  </m:r>
                  <m:r>
                    <m:rPr>
                      <m:sty m:val="bi"/>
                    </m:rPr>
                    <w:rPr>
                      <w:rStyle w:val="Bodytext1395pt"/>
                      <w:rFonts w:ascii="Cambria Math" w:eastAsia="Microsoft Sans Serif" w:hAnsi="Sylfaen"/>
                    </w:rPr>
                    <m:t xml:space="preserve"> </m:t>
                  </m:r>
                  <m:sSub>
                    <m:sSubPr>
                      <m:ctrlPr>
                        <w:rPr>
                          <w:rStyle w:val="Bodytext1395pt"/>
                          <w:rFonts w:ascii="Cambria Math" w:eastAsia="Microsoft Sans Serif" w:hAnsi="Sylfaen"/>
                          <w:b w:val="0"/>
                          <w:bCs w:val="0"/>
                          <w:i w:val="0"/>
                          <w:iCs w:val="0"/>
                        </w:rPr>
                      </m:ctrlPr>
                    </m:sSubPr>
                    <m:e>
                      <m:r>
                        <m:rPr>
                          <m:sty m:val="bi"/>
                        </m:rPr>
                        <w:rPr>
                          <w:rStyle w:val="Bodytext1395pt"/>
                          <w:rFonts w:ascii="Cambria Math" w:eastAsia="Microsoft Sans Serif" w:hAnsi="Cambria Math"/>
                        </w:rPr>
                        <m:t>H</m:t>
                      </m:r>
                    </m:e>
                    <m:sub>
                      <m:r>
                        <m:rPr>
                          <m:sty m:val="bi"/>
                        </m:rPr>
                        <w:rPr>
                          <w:rStyle w:val="Bodytext1395pt"/>
                          <w:rFonts w:ascii="Cambria Math" w:eastAsia="Microsoft Sans Serif" w:hAnsi="Cambria Math"/>
                        </w:rPr>
                        <m:t>BEP</m:t>
                      </m:r>
                    </m:sub>
                  </m:sSub>
                </m:e>
              </m:d>
              <m:box>
                <m:boxPr>
                  <m:ctrlPr>
                    <w:rPr>
                      <w:rStyle w:val="Bodytext1395pt"/>
                      <w:rFonts w:ascii="Cambria Math" w:eastAsia="Microsoft Sans Serif" w:hAnsi="Sylfaen"/>
                      <w:b w:val="0"/>
                      <w:bCs w:val="0"/>
                      <w:i w:val="0"/>
                      <w:iCs w:val="0"/>
                    </w:rPr>
                  </m:ctrlPr>
                </m:boxPr>
                <m:e>
                  <m:argPr>
                    <m:argSz m:val="-1"/>
                  </m:argPr>
                  <m:f>
                    <m:fPr>
                      <m:ctrlPr>
                        <w:rPr>
                          <w:rStyle w:val="Bodytext1395pt"/>
                          <w:rFonts w:ascii="Cambria Math" w:eastAsia="Microsoft Sans Serif" w:hAnsi="Sylfaen"/>
                          <w:b w:val="0"/>
                          <w:bCs w:val="0"/>
                          <w:i w:val="0"/>
                          <w:iCs w:val="0"/>
                        </w:rPr>
                      </m:ctrlPr>
                    </m:fPr>
                    <m:num>
                      <m:r>
                        <m:rPr>
                          <m:sty m:val="bi"/>
                        </m:rPr>
                        <w:rPr>
                          <w:rStyle w:val="Bodytext1395pt"/>
                          <w:rFonts w:ascii="Cambria Math" w:eastAsia="Microsoft Sans Serif" w:hAnsi="Cambria Math"/>
                        </w:rPr>
                        <m:t>3</m:t>
                      </m:r>
                    </m:num>
                    <m:den>
                      <m:r>
                        <m:rPr>
                          <m:sty m:val="bi"/>
                        </m:rPr>
                        <w:rPr>
                          <w:rStyle w:val="Bodytext1395pt"/>
                          <w:rFonts w:ascii="Cambria Math" w:eastAsia="Microsoft Sans Serif" w:hAnsi="Cambria Math"/>
                        </w:rPr>
                        <m:t>4</m:t>
                      </m:r>
                    </m:den>
                  </m:f>
                </m:e>
              </m:box>
            </m:den>
          </m:f>
          <m:d>
            <m:dPr>
              <m:begChr m:val="["/>
              <m:endChr m:val="]"/>
              <m:ctrlPr>
                <w:rPr>
                  <w:rStyle w:val="Bodytext1395pt"/>
                  <w:rFonts w:ascii="Cambria Math" w:eastAsia="Microsoft Sans Serif" w:hAnsi="Sylfaen"/>
                  <w:b w:val="0"/>
                  <w:bCs w:val="0"/>
                  <w:i w:val="0"/>
                  <w:iCs w:val="0"/>
                </w:rPr>
              </m:ctrlPr>
            </m:dPr>
            <m:e>
              <m:sSup>
                <m:sSupPr>
                  <m:ctrlPr>
                    <w:rPr>
                      <w:rStyle w:val="Bodytext1395pt"/>
                      <w:rFonts w:ascii="Cambria Math" w:eastAsia="Microsoft Sans Serif" w:hAnsi="Sylfaen"/>
                      <w:b w:val="0"/>
                      <w:bCs w:val="0"/>
                      <w:i w:val="0"/>
                      <w:iCs w:val="0"/>
                    </w:rPr>
                  </m:ctrlPr>
                </m:sSupPr>
                <m:e>
                  <m:r>
                    <m:rPr>
                      <m:sty m:val="bi"/>
                    </m:rPr>
                    <w:rPr>
                      <w:rStyle w:val="Bodytext1395pt"/>
                      <w:rFonts w:ascii="Cambria Math" w:eastAsia="Microsoft Sans Serif" w:hAnsi="Cambria Math"/>
                    </w:rPr>
                    <m:t>min</m:t>
                  </m:r>
                </m:e>
                <m:sup>
                  <m:r>
                    <m:rPr>
                      <m:sty m:val="bi"/>
                    </m:rPr>
                    <w:rPr>
                      <w:rStyle w:val="Bodytext1395pt"/>
                      <w:rFonts w:ascii="Sylfaen" w:eastAsia="Microsoft Sans Serif" w:hAnsi="Sylfaen"/>
                    </w:rPr>
                    <m:t>-</m:t>
                  </m:r>
                  <m:r>
                    <m:rPr>
                      <m:sty m:val="bi"/>
                    </m:rPr>
                    <w:rPr>
                      <w:rStyle w:val="Bodytext1395pt"/>
                      <w:rFonts w:ascii="Cambria Math" w:eastAsia="Microsoft Sans Serif" w:hAnsi="Cambria Math"/>
                    </w:rPr>
                    <m:t>1</m:t>
                  </m:r>
                </m:sup>
              </m:sSup>
            </m:e>
          </m:d>
        </m:oMath>
      </m:oMathPara>
    </w:p>
    <w:p w14:paraId="5B9DECAC" w14:textId="77777777" w:rsidR="00ED3937" w:rsidRDefault="00ED3937" w:rsidP="009338B9">
      <w:pPr>
        <w:pStyle w:val="Bodytext20"/>
        <w:spacing w:after="160" w:line="360" w:lineRule="auto"/>
        <w:ind w:firstLine="840"/>
        <w:jc w:val="both"/>
        <w:rPr>
          <w:rFonts w:ascii="Sylfaen" w:hAnsi="Sylfaen"/>
          <w:sz w:val="24"/>
          <w:szCs w:val="24"/>
          <w:lang w:val="en-US"/>
        </w:rPr>
      </w:pPr>
    </w:p>
    <w:p w14:paraId="548D74AD" w14:textId="77777777" w:rsidR="009338B9" w:rsidRPr="00CF39EE" w:rsidRDefault="009338B9" w:rsidP="009338B9">
      <w:pPr>
        <w:pStyle w:val="Bodytext20"/>
        <w:spacing w:after="160" w:line="360" w:lineRule="auto"/>
        <w:ind w:firstLine="840"/>
        <w:jc w:val="both"/>
        <w:rPr>
          <w:rFonts w:ascii="Sylfaen" w:hAnsi="Sylfaen"/>
          <w:i/>
          <w:sz w:val="24"/>
          <w:szCs w:val="24"/>
        </w:rPr>
      </w:pPr>
      <w:r w:rsidRPr="00CF39EE">
        <w:rPr>
          <w:rFonts w:ascii="Sylfaen" w:hAnsi="Sylfaen"/>
          <w:sz w:val="24"/>
          <w:szCs w:val="24"/>
        </w:rPr>
        <w:t>որտեղ՝</w:t>
      </w:r>
    </w:p>
    <w:p w14:paraId="51C1E3CB"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ճնշում (Н)՝</w:t>
      </w:r>
      <w:r w:rsidRPr="00CF39EE">
        <w:rPr>
          <w:rFonts w:ascii="Sylfaen" w:hAnsi="Sylfaen"/>
          <w:sz w:val="24"/>
          <w:szCs w:val="24"/>
        </w:rPr>
        <w:t xml:space="preserve"> պոմպի ազդեցության տակ ձեռք բերված </w:t>
      </w:r>
      <w:r>
        <w:rPr>
          <w:rFonts w:ascii="Sylfaen" w:hAnsi="Sylfaen"/>
          <w:sz w:val="24"/>
          <w:szCs w:val="24"/>
        </w:rPr>
        <w:t>եւ</w:t>
      </w:r>
      <w:r w:rsidRPr="00CF39EE">
        <w:rPr>
          <w:rFonts w:ascii="Sylfaen" w:hAnsi="Sylfaen"/>
          <w:sz w:val="24"/>
          <w:szCs w:val="24"/>
        </w:rPr>
        <w:t xml:space="preserve"> ջրի սյան մետրերով արտահայտված՝ ջրի հիդրավլիկ էներգիա.</w:t>
      </w:r>
    </w:p>
    <w:p w14:paraId="164CBF83" w14:textId="77777777" w:rsidR="00ED3937" w:rsidRPr="003D2C38"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պտտման հաճախություն (n)՝</w:t>
      </w:r>
      <w:r w:rsidRPr="00CF39EE">
        <w:rPr>
          <w:rFonts w:ascii="Sylfaen" w:hAnsi="Sylfaen"/>
          <w:sz w:val="24"/>
          <w:szCs w:val="24"/>
        </w:rPr>
        <w:t xml:space="preserve"> պոմպի լիսեռի մեկ րոպեում պտույտների թիվ. </w:t>
      </w:r>
    </w:p>
    <w:p w14:paraId="195BB31F" w14:textId="77777777" w:rsidR="009338B9" w:rsidRPr="004D5828"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մատուցում (Q)՝ պոմպի միջով հոսող ջրի ծավալային հոսք (մ</w:t>
      </w:r>
      <w:r w:rsidRPr="004D5828">
        <w:rPr>
          <w:rFonts w:ascii="Sylfaen" w:hAnsi="Sylfaen"/>
          <w:sz w:val="24"/>
          <w:szCs w:val="24"/>
          <w:vertAlign w:val="superscript"/>
        </w:rPr>
        <w:t>3</w:t>
      </w:r>
      <w:r w:rsidRPr="004D5828">
        <w:rPr>
          <w:rFonts w:ascii="Sylfaen" w:hAnsi="Sylfaen"/>
          <w:sz w:val="24"/>
          <w:szCs w:val="24"/>
        </w:rPr>
        <w:t xml:space="preserve"> /վրկ-ում).</w:t>
      </w:r>
    </w:p>
    <w:p w14:paraId="6DF37E61" w14:textId="77777777" w:rsidR="00ED3937" w:rsidRPr="003D2C38"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 xml:space="preserve">աստիճանների թիվ (i)՝ պոմպում բանող անիվների քանակ. </w:t>
      </w:r>
    </w:p>
    <w:p w14:paraId="31445270"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օպտիմալ կետ (ВЕР</w:t>
      </w:r>
      <w:r w:rsidRPr="00ED3937">
        <w:rPr>
          <w:rFonts w:ascii="Sylfaen" w:hAnsi="Sylfaen"/>
          <w:b/>
          <w:sz w:val="24"/>
          <w:szCs w:val="24"/>
        </w:rPr>
        <w:t>)՝</w:t>
      </w:r>
      <w:r w:rsidRPr="00CF39EE">
        <w:rPr>
          <w:rFonts w:ascii="Sylfaen" w:hAnsi="Sylfaen"/>
          <w:sz w:val="24"/>
          <w:szCs w:val="24"/>
        </w:rPr>
        <w:t xml:space="preserve"> ջրի պոմպի բանող կետ, որում մաքուր սառը ջուր վերամղելիս պոմպի ՕԳԳ-ի արժեքը հասնում է առավելագույնի.</w:t>
      </w:r>
    </w:p>
    <w:p w14:paraId="251B6EA0"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բանող անիվ</w:t>
      </w:r>
      <w:r w:rsidRPr="00ED3937">
        <w:rPr>
          <w:rFonts w:ascii="Sylfaen" w:hAnsi="Sylfaen"/>
          <w:b/>
          <w:sz w:val="24"/>
          <w:szCs w:val="24"/>
        </w:rPr>
        <w:t>՝</w:t>
      </w:r>
      <w:r w:rsidRPr="00CF39EE">
        <w:rPr>
          <w:rFonts w:ascii="Sylfaen" w:hAnsi="Sylfaen"/>
          <w:sz w:val="24"/>
          <w:szCs w:val="24"/>
        </w:rPr>
        <w:t xml:space="preserve"> կենտրոնախույս պոմպի պտտվող մաս, որը վերամղվող հեղուկին էներգիա էփոխանցում .</w:t>
      </w:r>
    </w:p>
    <w:p w14:paraId="286FC518"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ինքնաներծծող ջրի պոմպ</w:t>
      </w:r>
      <w:r w:rsidRPr="00ED3937">
        <w:rPr>
          <w:rFonts w:ascii="Sylfaen" w:hAnsi="Sylfaen"/>
          <w:b/>
          <w:sz w:val="24"/>
          <w:szCs w:val="24"/>
        </w:rPr>
        <w:t>՝</w:t>
      </w:r>
      <w:r w:rsidRPr="00CF39EE">
        <w:rPr>
          <w:rFonts w:ascii="Sylfaen" w:hAnsi="Sylfaen"/>
          <w:sz w:val="24"/>
          <w:szCs w:val="24"/>
        </w:rPr>
        <w:t xml:space="preserve"> պոմպ, որը ունակ է աշխատելու ջրի մասնակի լցման դեպքում.</w:t>
      </w:r>
    </w:p>
    <w:p w14:paraId="62E902CF"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կենտրոնախույս ջրի պոմպ՝</w:t>
      </w:r>
      <w:r w:rsidRPr="00CF39EE">
        <w:rPr>
          <w:rFonts w:ascii="Sylfaen" w:hAnsi="Sylfaen"/>
          <w:sz w:val="24"/>
          <w:szCs w:val="24"/>
        </w:rPr>
        <w:t xml:space="preserve"> պոմպ, որը նախատեսված է մաքուր ջրի վերամղման համար՝ ջրի վրա հիդրոդինամիկական ուժերի ներգործության միջոցով.</w:t>
      </w:r>
    </w:p>
    <w:p w14:paraId="201D97EB"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մաքուր ջուր՝</w:t>
      </w:r>
      <w:r w:rsidRPr="00CF39EE">
        <w:rPr>
          <w:rFonts w:ascii="Sylfaen" w:hAnsi="Sylfaen"/>
          <w:sz w:val="24"/>
          <w:szCs w:val="24"/>
        </w:rPr>
        <w:t xml:space="preserve"> ջուր, որում պինդ չլուծված ազատ մասնիկների պարունակությունը չի գերազանցում 0,25 կգ/մ</w:t>
      </w:r>
      <w:r w:rsidRPr="00CF39EE">
        <w:rPr>
          <w:rFonts w:ascii="Sylfaen" w:hAnsi="Sylfaen"/>
          <w:sz w:val="24"/>
          <w:szCs w:val="24"/>
          <w:vertAlign w:val="superscript"/>
        </w:rPr>
        <w:t>3</w:t>
      </w:r>
      <w:r w:rsidRPr="00CF39EE">
        <w:rPr>
          <w:rFonts w:ascii="Sylfaen" w:hAnsi="Sylfaen"/>
          <w:sz w:val="24"/>
          <w:szCs w:val="24"/>
        </w:rPr>
        <w:t xml:space="preserve"> </w:t>
      </w:r>
      <w:r>
        <w:rPr>
          <w:rFonts w:ascii="Sylfaen" w:hAnsi="Sylfaen"/>
          <w:sz w:val="24"/>
          <w:szCs w:val="24"/>
        </w:rPr>
        <w:t>եւ</w:t>
      </w:r>
      <w:r w:rsidRPr="00CF39EE">
        <w:rPr>
          <w:rFonts w:ascii="Sylfaen" w:hAnsi="Sylfaen"/>
          <w:sz w:val="24"/>
          <w:szCs w:val="24"/>
        </w:rPr>
        <w:t xml:space="preserve"> պինդ լուծված նյութերի պարունակությունը կազմում է ոչ ավելի քան 50 կգ/մ</w:t>
      </w:r>
      <w:r w:rsidRPr="00CF39EE">
        <w:rPr>
          <w:rFonts w:ascii="Sylfaen" w:hAnsi="Sylfaen"/>
          <w:sz w:val="24"/>
          <w:szCs w:val="24"/>
          <w:vertAlign w:val="superscript"/>
        </w:rPr>
        <w:t>3</w:t>
      </w:r>
      <w:r w:rsidRPr="00CF39EE">
        <w:rPr>
          <w:rFonts w:ascii="Sylfaen" w:hAnsi="Sylfaen"/>
          <w:sz w:val="24"/>
          <w:szCs w:val="24"/>
        </w:rPr>
        <w:t xml:space="preserve"> պայմանով, որ ջրում գազի </w:t>
      </w:r>
      <w:r w:rsidRPr="00CF39EE">
        <w:rPr>
          <w:rFonts w:ascii="Sylfaen" w:hAnsi="Sylfaen"/>
          <w:sz w:val="24"/>
          <w:szCs w:val="24"/>
        </w:rPr>
        <w:lastRenderedPageBreak/>
        <w:t>ընդհանուր պարունակությունը չի գերազանցում հագեցման ծավալը (մինչ</w:t>
      </w:r>
      <w:r>
        <w:rPr>
          <w:rFonts w:ascii="Sylfaen" w:hAnsi="Sylfaen"/>
          <w:sz w:val="24"/>
          <w:szCs w:val="24"/>
        </w:rPr>
        <w:t>եւ</w:t>
      </w:r>
      <w:r w:rsidRPr="00CF39EE">
        <w:rPr>
          <w:rFonts w:ascii="Sylfaen" w:hAnsi="Sylfaen"/>
          <w:sz w:val="24"/>
          <w:szCs w:val="24"/>
        </w:rPr>
        <w:t xml:space="preserve"> մինուս 10° C ջերմաստիճան ջրի սառչումը կանխելու համար օգտագործվող հավելույթները հաշվի չեն առնվում).</w:t>
      </w:r>
    </w:p>
    <w:p w14:paraId="2A59C83F"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4D5828">
        <w:rPr>
          <w:rFonts w:ascii="Sylfaen" w:hAnsi="Sylfaen"/>
          <w:sz w:val="24"/>
          <w:szCs w:val="24"/>
        </w:rPr>
        <w:t>սառը մաքուր ջուր՝</w:t>
      </w:r>
      <w:r w:rsidRPr="00CF39EE">
        <w:rPr>
          <w:rFonts w:ascii="Sylfaen" w:hAnsi="Sylfaen"/>
          <w:sz w:val="24"/>
          <w:szCs w:val="24"/>
        </w:rPr>
        <w:t xml:space="preserve"> 1,5 x 10</w:t>
      </w:r>
      <w:r w:rsidRPr="00CF39EE">
        <w:rPr>
          <w:rFonts w:ascii="Sylfaen" w:hAnsi="Sylfaen"/>
          <w:sz w:val="24"/>
          <w:szCs w:val="24"/>
          <w:vertAlign w:val="superscript"/>
        </w:rPr>
        <w:t>-6</w:t>
      </w:r>
      <w:r w:rsidRPr="00CF39EE">
        <w:rPr>
          <w:rFonts w:ascii="Sylfaen" w:hAnsi="Sylfaen"/>
          <w:sz w:val="24"/>
          <w:szCs w:val="24"/>
        </w:rPr>
        <w:t xml:space="preserve"> մ</w:t>
      </w:r>
      <w:r w:rsidRPr="00CF39EE">
        <w:rPr>
          <w:rFonts w:ascii="Sylfaen" w:hAnsi="Sylfaen"/>
          <w:sz w:val="24"/>
          <w:szCs w:val="24"/>
          <w:vertAlign w:val="superscript"/>
        </w:rPr>
        <w:t>2</w:t>
      </w:r>
      <w:r w:rsidRPr="00CF39EE">
        <w:rPr>
          <w:rFonts w:ascii="Sylfaen" w:hAnsi="Sylfaen"/>
          <w:sz w:val="24"/>
          <w:szCs w:val="24"/>
        </w:rPr>
        <w:t xml:space="preserve"> /վրկ առավելագույն կինեմատիկական մածուցիկությամբ, 1050 կգ/մ</w:t>
      </w:r>
      <w:r w:rsidRPr="00CF39EE">
        <w:rPr>
          <w:rFonts w:ascii="Sylfaen" w:hAnsi="Sylfaen"/>
          <w:sz w:val="24"/>
          <w:szCs w:val="24"/>
          <w:vertAlign w:val="superscript"/>
        </w:rPr>
        <w:t>3</w:t>
      </w:r>
      <w:r w:rsidRPr="00CF39EE">
        <w:rPr>
          <w:rFonts w:ascii="Sylfaen" w:hAnsi="Sylfaen"/>
          <w:sz w:val="24"/>
          <w:szCs w:val="24"/>
        </w:rPr>
        <w:t xml:space="preserve"> առավելագույն խտությամբ </w:t>
      </w:r>
      <w:r>
        <w:rPr>
          <w:rFonts w:ascii="Sylfaen" w:hAnsi="Sylfaen"/>
          <w:sz w:val="24"/>
          <w:szCs w:val="24"/>
        </w:rPr>
        <w:t>եւ</w:t>
      </w:r>
      <w:r w:rsidRPr="00CF39EE">
        <w:rPr>
          <w:rFonts w:ascii="Sylfaen" w:hAnsi="Sylfaen"/>
          <w:sz w:val="24"/>
          <w:szCs w:val="24"/>
        </w:rPr>
        <w:t xml:space="preserve"> 40° C առավելագույն ջերմաստիճանի՝ պոմպի փորձարկումների ժամանակ օգտագործվող մաքուր ջուր:</w:t>
      </w:r>
    </w:p>
    <w:p w14:paraId="5163E35D" w14:textId="77777777" w:rsidR="009338B9" w:rsidRPr="00CF39EE" w:rsidRDefault="009338B9" w:rsidP="009338B9">
      <w:pPr>
        <w:pStyle w:val="Bodytext20"/>
        <w:spacing w:after="160" w:line="360" w:lineRule="auto"/>
        <w:ind w:firstLine="800"/>
        <w:jc w:val="both"/>
        <w:rPr>
          <w:rFonts w:ascii="Sylfaen" w:hAnsi="Sylfaen"/>
          <w:sz w:val="24"/>
          <w:szCs w:val="24"/>
        </w:rPr>
      </w:pPr>
    </w:p>
    <w:p w14:paraId="001655C2" w14:textId="77777777" w:rsidR="009338B9" w:rsidRPr="00CF39EE" w:rsidRDefault="009338B9" w:rsidP="00ED3937">
      <w:pPr>
        <w:pStyle w:val="Bodytext20"/>
        <w:spacing w:after="160" w:line="360" w:lineRule="auto"/>
        <w:ind w:left="567" w:right="559"/>
        <w:rPr>
          <w:rFonts w:ascii="Sylfaen" w:hAnsi="Sylfaen"/>
          <w:sz w:val="24"/>
          <w:szCs w:val="24"/>
        </w:rPr>
      </w:pPr>
      <w:r w:rsidRPr="00CF39EE">
        <w:rPr>
          <w:rFonts w:ascii="Sylfaen" w:hAnsi="Sylfaen"/>
          <w:sz w:val="24"/>
          <w:szCs w:val="24"/>
        </w:rPr>
        <w:t xml:space="preserve">III. Ջրի պոմպերի էներգետիկ արդյունավետությանը ներկայացվող պահանջները </w:t>
      </w:r>
      <w:r>
        <w:rPr>
          <w:rFonts w:ascii="Sylfaen" w:hAnsi="Sylfaen"/>
          <w:sz w:val="24"/>
          <w:szCs w:val="24"/>
        </w:rPr>
        <w:t>եւ</w:t>
      </w:r>
      <w:r w:rsidRPr="00CF39EE">
        <w:rPr>
          <w:rFonts w:ascii="Sylfaen" w:hAnsi="Sylfaen"/>
          <w:sz w:val="24"/>
          <w:szCs w:val="24"/>
        </w:rPr>
        <w:t xml:space="preserve"> էներգետիկ արդյունավետության ցուցանիշների որոշման առանձնահատկությունները</w:t>
      </w:r>
    </w:p>
    <w:p w14:paraId="73E4A753" w14:textId="77777777" w:rsidR="009338B9" w:rsidRPr="00CF39EE" w:rsidRDefault="009338B9" w:rsidP="00ED3937">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3.</w:t>
      </w:r>
      <w:r w:rsidR="00ED3937" w:rsidRPr="00ED3937">
        <w:rPr>
          <w:rFonts w:ascii="Sylfaen" w:hAnsi="Sylfaen"/>
          <w:sz w:val="24"/>
          <w:szCs w:val="24"/>
        </w:rPr>
        <w:tab/>
      </w:r>
      <w:r w:rsidRPr="00CF39EE">
        <w:rPr>
          <w:rFonts w:ascii="Sylfaen" w:hAnsi="Sylfaen"/>
          <w:sz w:val="24"/>
          <w:szCs w:val="24"/>
        </w:rPr>
        <w:t xml:space="preserve">Ջրի պոմպերի համար պետք է անցկացվեն համապատասխան չափումներ (փորձարկումներ) </w:t>
      </w:r>
      <w:r>
        <w:rPr>
          <w:rFonts w:ascii="Sylfaen" w:hAnsi="Sylfaen"/>
          <w:sz w:val="24"/>
          <w:szCs w:val="24"/>
        </w:rPr>
        <w:t>եւ</w:t>
      </w:r>
      <w:r w:rsidRPr="00CF39EE">
        <w:rPr>
          <w:rFonts w:ascii="Sylfaen" w:hAnsi="Sylfaen"/>
          <w:sz w:val="24"/>
          <w:szCs w:val="24"/>
        </w:rPr>
        <w:t xml:space="preserve"> բանող անիվի լրիվ տրամագծի դեպքում ճնշմղման </w:t>
      </w:r>
      <w:r>
        <w:rPr>
          <w:rFonts w:ascii="Sylfaen" w:hAnsi="Sylfaen"/>
          <w:sz w:val="24"/>
          <w:szCs w:val="24"/>
        </w:rPr>
        <w:t>եւ</w:t>
      </w:r>
      <w:r w:rsidRPr="00CF39EE">
        <w:rPr>
          <w:rFonts w:ascii="Sylfaen" w:hAnsi="Sylfaen"/>
          <w:sz w:val="24"/>
          <w:szCs w:val="24"/>
        </w:rPr>
        <w:t xml:space="preserve"> օպտիմալ կետում (BEP) մատուցման համար սառը մաքուր ջրի վերամղման, թերբեռնման (PL) </w:t>
      </w:r>
      <w:r>
        <w:rPr>
          <w:rFonts w:ascii="Sylfaen" w:hAnsi="Sylfaen"/>
          <w:sz w:val="24"/>
          <w:szCs w:val="24"/>
        </w:rPr>
        <w:t>եւ</w:t>
      </w:r>
      <w:r w:rsidRPr="00CF39EE">
        <w:rPr>
          <w:rFonts w:ascii="Sylfaen" w:hAnsi="Sylfaen"/>
          <w:sz w:val="24"/>
          <w:szCs w:val="24"/>
        </w:rPr>
        <w:t xml:space="preserve"> գերբեռնման (OL) դեպքում որոշվեն էներգաարդյունավետության նվազագույն ցուցիչի (MEI) արժեքները:</w:t>
      </w:r>
    </w:p>
    <w:p w14:paraId="25F40FAB" w14:textId="77777777" w:rsidR="009338B9" w:rsidRPr="00CF39EE" w:rsidRDefault="009338B9" w:rsidP="00ED3937">
      <w:pPr>
        <w:pStyle w:val="Bodytext20"/>
        <w:tabs>
          <w:tab w:val="left" w:pos="1134"/>
        </w:tabs>
        <w:spacing w:after="160" w:line="360" w:lineRule="auto"/>
        <w:ind w:firstLine="567"/>
        <w:jc w:val="both"/>
        <w:rPr>
          <w:rFonts w:ascii="Sylfaen" w:hAnsi="Sylfaen"/>
          <w:sz w:val="24"/>
          <w:szCs w:val="24"/>
        </w:rPr>
      </w:pPr>
      <w:r w:rsidRPr="00ED3937">
        <w:rPr>
          <w:rFonts w:ascii="Sylfaen" w:hAnsi="Sylfaen"/>
          <w:spacing w:val="-4"/>
          <w:sz w:val="24"/>
          <w:szCs w:val="24"/>
        </w:rPr>
        <w:t>4.</w:t>
      </w:r>
      <w:r w:rsidR="00ED3937" w:rsidRPr="00ED3937">
        <w:rPr>
          <w:rFonts w:ascii="Sylfaen" w:hAnsi="Sylfaen"/>
          <w:spacing w:val="-4"/>
          <w:sz w:val="24"/>
          <w:szCs w:val="24"/>
        </w:rPr>
        <w:tab/>
      </w:r>
      <w:r w:rsidRPr="00ED3937">
        <w:rPr>
          <w:rFonts w:ascii="Sylfaen" w:hAnsi="Sylfaen"/>
          <w:spacing w:val="-4"/>
          <w:sz w:val="24"/>
          <w:szCs w:val="24"/>
        </w:rPr>
        <w:t>Օպտիմալ կետում (BEP) նվազագույն պահանջվող ՕԳԳ-ն հաշվարկվում է հետեւյալ բանաձեւով</w:t>
      </w:r>
      <w:r w:rsidRPr="00CF39EE">
        <w:rPr>
          <w:rFonts w:ascii="Sylfaen" w:hAnsi="Sylfaen"/>
          <w:sz w:val="24"/>
          <w:szCs w:val="24"/>
        </w:rPr>
        <w:t>՝</w:t>
      </w:r>
    </w:p>
    <w:p w14:paraId="1F09E59F" w14:textId="77777777" w:rsidR="009338B9" w:rsidRPr="00CF39EE" w:rsidRDefault="009338B9" w:rsidP="00ED3937">
      <w:pPr>
        <w:pStyle w:val="Bodytext20"/>
        <w:spacing w:after="160" w:line="360" w:lineRule="auto"/>
        <w:rPr>
          <w:rFonts w:ascii="Sylfaen" w:hAnsi="Sylfaen"/>
          <w:sz w:val="24"/>
          <w:szCs w:val="24"/>
        </w:rPr>
      </w:pPr>
      <w:r w:rsidRPr="00CF39EE">
        <w:rPr>
          <w:rFonts w:ascii="Sylfaen" w:hAnsi="Sylfaen"/>
          <w:sz w:val="24"/>
          <w:szCs w:val="24"/>
        </w:rPr>
        <w:t>(η</w:t>
      </w:r>
      <w:r w:rsidRPr="00CF39EE">
        <w:rPr>
          <w:rFonts w:ascii="Sylfaen" w:hAnsi="Sylfaen"/>
          <w:sz w:val="24"/>
          <w:szCs w:val="24"/>
          <w:vertAlign w:val="subscript"/>
        </w:rPr>
        <w:t>BEP</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 88,59</w:t>
      </w:r>
      <w:r w:rsidRPr="00CF39EE">
        <w:rPr>
          <w:rFonts w:ascii="Sylfaen" w:hAnsi="Sylfaen"/>
          <w:sz w:val="24"/>
          <w:szCs w:val="24"/>
          <w:vertAlign w:val="superscript"/>
        </w:rPr>
        <w:t xml:space="preserve">. </w:t>
      </w:r>
      <w:r w:rsidRPr="00CF39EE">
        <w:rPr>
          <w:rFonts w:ascii="Sylfaen" w:hAnsi="Sylfaen"/>
          <w:sz w:val="24"/>
          <w:szCs w:val="24"/>
        </w:rPr>
        <w:t>x + 13,46</w:t>
      </w:r>
      <w:r w:rsidRPr="00CF39EE">
        <w:rPr>
          <w:rFonts w:ascii="Sylfaen" w:hAnsi="Sylfaen"/>
          <w:sz w:val="24"/>
          <w:szCs w:val="24"/>
          <w:vertAlign w:val="superscript"/>
        </w:rPr>
        <w:t xml:space="preserve">. </w:t>
      </w:r>
      <w:r w:rsidRPr="00CF39EE">
        <w:rPr>
          <w:rFonts w:ascii="Sylfaen" w:hAnsi="Sylfaen"/>
          <w:sz w:val="24"/>
          <w:szCs w:val="24"/>
        </w:rPr>
        <w:t>y – 11,48</w:t>
      </w:r>
      <w:r w:rsidRPr="00CF39EE">
        <w:rPr>
          <w:rFonts w:ascii="Sylfaen" w:hAnsi="Sylfaen"/>
          <w:sz w:val="24"/>
          <w:szCs w:val="24"/>
          <w:vertAlign w:val="superscript"/>
        </w:rPr>
        <w:t xml:space="preserve">. </w:t>
      </w:r>
      <w:r w:rsidRPr="00CF39EE">
        <w:rPr>
          <w:rFonts w:ascii="Sylfaen" w:hAnsi="Sylfaen"/>
          <w:sz w:val="24"/>
          <w:szCs w:val="24"/>
        </w:rPr>
        <w:t>x</w:t>
      </w:r>
      <w:r w:rsidRPr="00CF39EE">
        <w:rPr>
          <w:rFonts w:ascii="Sylfaen" w:hAnsi="Sylfaen"/>
          <w:sz w:val="24"/>
          <w:szCs w:val="24"/>
          <w:vertAlign w:val="superscript"/>
        </w:rPr>
        <w:t xml:space="preserve">2 </w:t>
      </w:r>
      <w:r w:rsidRPr="00CF39EE">
        <w:rPr>
          <w:rFonts w:ascii="Sylfaen" w:hAnsi="Sylfaen"/>
          <w:sz w:val="24"/>
          <w:szCs w:val="24"/>
        </w:rPr>
        <w:t>– 0,85</w:t>
      </w:r>
      <w:r w:rsidRPr="00CF39EE">
        <w:rPr>
          <w:rFonts w:ascii="Sylfaen" w:hAnsi="Sylfaen"/>
          <w:sz w:val="24"/>
          <w:szCs w:val="24"/>
          <w:vertAlign w:val="superscript"/>
        </w:rPr>
        <w:t>.</w:t>
      </w:r>
      <w:r w:rsidRPr="00CF39EE">
        <w:rPr>
          <w:rFonts w:ascii="Sylfaen" w:hAnsi="Sylfaen"/>
          <w:sz w:val="24"/>
          <w:szCs w:val="24"/>
        </w:rPr>
        <w:t>y</w:t>
      </w:r>
      <w:r w:rsidRPr="00CF39EE">
        <w:rPr>
          <w:rFonts w:ascii="Sylfaen" w:hAnsi="Sylfaen"/>
          <w:sz w:val="24"/>
          <w:szCs w:val="24"/>
          <w:vertAlign w:val="superscript"/>
        </w:rPr>
        <w:t xml:space="preserve">2 </w:t>
      </w:r>
      <w:r w:rsidRPr="00CF39EE">
        <w:rPr>
          <w:rFonts w:ascii="Sylfaen" w:hAnsi="Sylfaen"/>
          <w:sz w:val="24"/>
          <w:szCs w:val="24"/>
        </w:rPr>
        <w:t>– 0,38</w:t>
      </w:r>
      <w:r w:rsidRPr="00CF39EE">
        <w:rPr>
          <w:rFonts w:ascii="Sylfaen" w:hAnsi="Sylfaen"/>
          <w:sz w:val="24"/>
          <w:szCs w:val="24"/>
          <w:vertAlign w:val="superscript"/>
        </w:rPr>
        <w:t>.</w:t>
      </w:r>
      <w:r w:rsidRPr="00CF39EE">
        <w:rPr>
          <w:rFonts w:ascii="Sylfaen" w:hAnsi="Sylfaen"/>
          <w:sz w:val="24"/>
          <w:szCs w:val="24"/>
        </w:rPr>
        <w:t xml:space="preserve">x </w:t>
      </w:r>
      <w:r w:rsidRPr="00CF39EE">
        <w:rPr>
          <w:rFonts w:ascii="Sylfaen" w:hAnsi="Sylfaen"/>
          <w:sz w:val="24"/>
          <w:szCs w:val="24"/>
          <w:vertAlign w:val="superscript"/>
        </w:rPr>
        <w:t>.</w:t>
      </w:r>
      <w:r w:rsidRPr="00CF39EE">
        <w:rPr>
          <w:rFonts w:ascii="Sylfaen" w:hAnsi="Sylfaen"/>
          <w:sz w:val="24"/>
          <w:szCs w:val="24"/>
        </w:rPr>
        <w:t xml:space="preserve"> y – C</w:t>
      </w:r>
      <w:r w:rsidRPr="00CF39EE">
        <w:rPr>
          <w:rFonts w:ascii="Sylfaen" w:hAnsi="Sylfaen"/>
          <w:sz w:val="24"/>
          <w:szCs w:val="24"/>
          <w:vertAlign w:val="subscript"/>
        </w:rPr>
        <w:t>pumpType</w:t>
      </w:r>
      <w:r w:rsidRPr="00CF39EE">
        <w:rPr>
          <w:rFonts w:ascii="Sylfaen" w:hAnsi="Sylfaen"/>
          <w:sz w:val="24"/>
          <w:szCs w:val="24"/>
        </w:rPr>
        <w:t xml:space="preserve">, </w:t>
      </w:r>
      <w:r w:rsidRPr="00CF39EE">
        <w:rPr>
          <w:rFonts w:ascii="Sylfaen" w:hAnsi="Sylfaen"/>
          <w:sz w:val="24"/>
          <w:szCs w:val="24"/>
          <w:vertAlign w:val="subscript"/>
        </w:rPr>
        <w:t>rpm</w:t>
      </w:r>
      <w:r w:rsidRPr="00CF39EE">
        <w:rPr>
          <w:rFonts w:ascii="Sylfaen" w:hAnsi="Sylfaen"/>
          <w:sz w:val="24"/>
          <w:szCs w:val="24"/>
        </w:rPr>
        <w:t>,</w:t>
      </w:r>
    </w:p>
    <w:p w14:paraId="59BAB7B6" w14:textId="77777777" w:rsidR="009338B9" w:rsidRPr="00CF39EE" w:rsidRDefault="009338B9" w:rsidP="009338B9">
      <w:pPr>
        <w:pStyle w:val="Bodytext20"/>
        <w:spacing w:after="160" w:line="360" w:lineRule="auto"/>
        <w:ind w:firstLine="567"/>
        <w:jc w:val="both"/>
        <w:rPr>
          <w:rFonts w:ascii="Sylfaen" w:hAnsi="Sylfaen"/>
          <w:sz w:val="24"/>
          <w:szCs w:val="24"/>
        </w:rPr>
      </w:pPr>
    </w:p>
    <w:p w14:paraId="6B26AEBC"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որտեղ՝</w:t>
      </w:r>
    </w:p>
    <w:p w14:paraId="460A5889"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x = ln(n</w:t>
      </w:r>
      <w:r w:rsidRPr="00CF39EE">
        <w:rPr>
          <w:rStyle w:val="Bodytext29pt"/>
          <w:rFonts w:ascii="Sylfaen" w:hAnsi="Sylfaen"/>
          <w:sz w:val="24"/>
          <w:szCs w:val="24"/>
        </w:rPr>
        <w:t>s</w:t>
      </w:r>
      <w:r w:rsidRPr="00CF39EE">
        <w:rPr>
          <w:rFonts w:ascii="Sylfaen" w:hAnsi="Sylfaen"/>
          <w:sz w:val="24"/>
          <w:szCs w:val="24"/>
        </w:rPr>
        <w:t>).</w:t>
      </w:r>
    </w:p>
    <w:p w14:paraId="15F34B86"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у = ln(Q).</w:t>
      </w:r>
    </w:p>
    <w:p w14:paraId="31A51FA8"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n</w:t>
      </w:r>
      <w:r w:rsidRPr="00CF39EE">
        <w:rPr>
          <w:rFonts w:ascii="Sylfaen" w:hAnsi="Sylfaen"/>
          <w:sz w:val="24"/>
          <w:szCs w:val="24"/>
          <w:vertAlign w:val="subscript"/>
        </w:rPr>
        <w:t>S-ը</w:t>
      </w:r>
      <w:r w:rsidRPr="00CF39EE">
        <w:rPr>
          <w:rFonts w:ascii="Sylfaen" w:hAnsi="Sylfaen"/>
          <w:sz w:val="24"/>
          <w:szCs w:val="24"/>
        </w:rPr>
        <w:t>՝ պտտման բերված արագությունն է րոպեում</w:t>
      </w:r>
      <w:r w:rsidRPr="00CF39EE">
        <w:rPr>
          <w:rFonts w:ascii="Sylfaen" w:hAnsi="Sylfaen"/>
          <w:sz w:val="24"/>
          <w:szCs w:val="24"/>
          <w:vertAlign w:val="superscript"/>
        </w:rPr>
        <w:t>-1</w:t>
      </w:r>
      <w:r w:rsidRPr="00CF39EE">
        <w:rPr>
          <w:rFonts w:ascii="Sylfaen" w:hAnsi="Sylfaen"/>
          <w:sz w:val="24"/>
          <w:szCs w:val="24"/>
        </w:rPr>
        <w:t>.</w:t>
      </w:r>
    </w:p>
    <w:p w14:paraId="26BC50EA"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Q-ն՝ մատուցումը (մ</w:t>
      </w:r>
      <w:r w:rsidRPr="00CF39EE">
        <w:rPr>
          <w:rFonts w:ascii="Sylfaen" w:hAnsi="Sylfaen"/>
          <w:sz w:val="24"/>
          <w:szCs w:val="24"/>
          <w:vertAlign w:val="superscript"/>
        </w:rPr>
        <w:t>3</w:t>
      </w:r>
      <w:r w:rsidRPr="00CF39EE">
        <w:rPr>
          <w:rFonts w:ascii="Sylfaen" w:hAnsi="Sylfaen"/>
          <w:sz w:val="24"/>
          <w:szCs w:val="24"/>
        </w:rPr>
        <w:t xml:space="preserve"> /ժ-ով).</w:t>
      </w:r>
    </w:p>
    <w:p w14:paraId="2178F587"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Ln-ը՝ բնական լոգարիթմի նշանն է.</w:t>
      </w:r>
    </w:p>
    <w:p w14:paraId="387011B0" w14:textId="77777777" w:rsidR="009338B9" w:rsidRPr="00CF39EE" w:rsidRDefault="009338B9" w:rsidP="009338B9">
      <w:pPr>
        <w:pStyle w:val="Bodytext20"/>
        <w:spacing w:after="160" w:line="360" w:lineRule="auto"/>
        <w:ind w:left="220" w:firstLine="567"/>
        <w:jc w:val="both"/>
        <w:rPr>
          <w:rFonts w:ascii="Sylfaen" w:hAnsi="Sylfaen"/>
          <w:sz w:val="24"/>
          <w:szCs w:val="24"/>
        </w:rPr>
      </w:pPr>
      <w:r w:rsidRPr="00CF39EE">
        <w:rPr>
          <w:rFonts w:ascii="Sylfaen" w:hAnsi="Sylfaen"/>
          <w:sz w:val="24"/>
          <w:szCs w:val="24"/>
        </w:rPr>
        <w:lastRenderedPageBreak/>
        <w:t>C</w:t>
      </w:r>
      <w:r w:rsidRPr="00CF39EE">
        <w:rPr>
          <w:rFonts w:ascii="Sylfaen" w:hAnsi="Sylfaen"/>
          <w:sz w:val="24"/>
          <w:szCs w:val="24"/>
          <w:vertAlign w:val="subscript"/>
        </w:rPr>
        <w:t>PumpType</w:t>
      </w:r>
      <w:r w:rsidRPr="00CF39EE">
        <w:rPr>
          <w:rFonts w:ascii="Sylfaen" w:hAnsi="Sylfaen"/>
          <w:sz w:val="24"/>
          <w:szCs w:val="24"/>
        </w:rPr>
        <w:t xml:space="preserve">, </w:t>
      </w:r>
      <w:r w:rsidRPr="00CF39EE">
        <w:rPr>
          <w:rFonts w:ascii="Sylfaen" w:hAnsi="Sylfaen"/>
          <w:sz w:val="24"/>
          <w:szCs w:val="24"/>
          <w:vertAlign w:val="subscript"/>
        </w:rPr>
        <w:t>rpm</w:t>
      </w:r>
      <w:r w:rsidRPr="00CF39EE">
        <w:rPr>
          <w:rFonts w:ascii="Sylfaen" w:hAnsi="Sylfaen"/>
          <w:sz w:val="24"/>
          <w:szCs w:val="24"/>
        </w:rPr>
        <w:t xml:space="preserve">՝ պոմպի տիպի (Pump Type), պտտման արագության (պտ/ր-ով (rpm)) </w:t>
      </w:r>
      <w:r>
        <w:rPr>
          <w:rFonts w:ascii="Sylfaen" w:hAnsi="Sylfaen"/>
          <w:sz w:val="24"/>
          <w:szCs w:val="24"/>
        </w:rPr>
        <w:t>եւ</w:t>
      </w:r>
      <w:r w:rsidRPr="00CF39EE">
        <w:rPr>
          <w:rFonts w:ascii="Sylfaen" w:hAnsi="Sylfaen"/>
          <w:sz w:val="24"/>
          <w:szCs w:val="24"/>
        </w:rPr>
        <w:t xml:space="preserve"> էներգաարդյունավետության նվազագույն ցուցիչների (MEI) համար C</w:t>
      </w:r>
      <w:r w:rsidR="00ED3937" w:rsidRPr="00ED3937">
        <w:rPr>
          <w:rFonts w:ascii="Sylfaen" w:hAnsi="Sylfaen"/>
          <w:sz w:val="24"/>
          <w:szCs w:val="24"/>
        </w:rPr>
        <w:t> </w:t>
      </w:r>
      <w:r w:rsidRPr="00CF39EE">
        <w:rPr>
          <w:rFonts w:ascii="Sylfaen" w:hAnsi="Sylfaen"/>
          <w:sz w:val="24"/>
          <w:szCs w:val="24"/>
        </w:rPr>
        <w:t>հաստատունի արժեքները բերված են աղյուսակում:</w:t>
      </w:r>
    </w:p>
    <w:p w14:paraId="3E635804" w14:textId="77777777" w:rsidR="00ED3937" w:rsidRPr="003D2C38" w:rsidRDefault="00ED3937" w:rsidP="009338B9">
      <w:pPr>
        <w:pStyle w:val="Bodytext20"/>
        <w:spacing w:after="160" w:line="360" w:lineRule="auto"/>
        <w:ind w:right="-8"/>
        <w:jc w:val="right"/>
        <w:rPr>
          <w:rFonts w:ascii="Sylfaen" w:hAnsi="Sylfaen"/>
          <w:sz w:val="24"/>
          <w:szCs w:val="24"/>
        </w:rPr>
      </w:pPr>
    </w:p>
    <w:p w14:paraId="04346B72" w14:textId="77777777" w:rsidR="009338B9" w:rsidRPr="00CF39EE" w:rsidRDefault="009338B9" w:rsidP="009338B9">
      <w:pPr>
        <w:pStyle w:val="Bodytext20"/>
        <w:spacing w:after="160" w:line="360" w:lineRule="auto"/>
        <w:ind w:right="-8"/>
        <w:jc w:val="right"/>
        <w:rPr>
          <w:rFonts w:ascii="Sylfaen" w:hAnsi="Sylfaen"/>
          <w:sz w:val="24"/>
          <w:szCs w:val="24"/>
        </w:rPr>
      </w:pPr>
      <w:r w:rsidRPr="00CF39EE">
        <w:rPr>
          <w:rFonts w:ascii="Sylfaen" w:hAnsi="Sylfaen"/>
          <w:sz w:val="24"/>
          <w:szCs w:val="24"/>
        </w:rPr>
        <w:t>Աղյուսակ</w:t>
      </w:r>
    </w:p>
    <w:p w14:paraId="6A0AADA8" w14:textId="77777777" w:rsidR="009338B9" w:rsidRPr="00CF39EE" w:rsidRDefault="009338B9" w:rsidP="00ED3937">
      <w:pPr>
        <w:pStyle w:val="Bodytext20"/>
        <w:spacing w:after="160" w:line="360" w:lineRule="auto"/>
        <w:ind w:left="567" w:right="559"/>
        <w:rPr>
          <w:rFonts w:ascii="Sylfaen" w:hAnsi="Sylfaen"/>
          <w:sz w:val="24"/>
          <w:szCs w:val="24"/>
        </w:rPr>
      </w:pPr>
      <w:r w:rsidRPr="00CF39EE">
        <w:rPr>
          <w:rFonts w:ascii="Sylfaen" w:hAnsi="Sylfaen"/>
          <w:sz w:val="24"/>
          <w:szCs w:val="24"/>
        </w:rPr>
        <w:t xml:space="preserve">Էներգաարդյունավետության նվազագույն ցուցիչները (MEI) </w:t>
      </w:r>
      <w:r>
        <w:rPr>
          <w:rFonts w:ascii="Sylfaen" w:hAnsi="Sylfaen"/>
          <w:sz w:val="24"/>
          <w:szCs w:val="24"/>
        </w:rPr>
        <w:t>եւ</w:t>
      </w:r>
      <w:r w:rsidRPr="00CF39EE">
        <w:rPr>
          <w:rFonts w:ascii="Sylfaen" w:hAnsi="Sylfaen"/>
          <w:sz w:val="24"/>
          <w:szCs w:val="24"/>
        </w:rPr>
        <w:t xml:space="preserve"> դրանց համապատասխանող C հաստատունները՝ պայմանավորված պոմպի տիպով </w:t>
      </w:r>
      <w:r>
        <w:rPr>
          <w:rFonts w:ascii="Sylfaen" w:hAnsi="Sylfaen"/>
          <w:sz w:val="24"/>
          <w:szCs w:val="24"/>
        </w:rPr>
        <w:t>եւ</w:t>
      </w:r>
      <w:r w:rsidRPr="00CF39EE">
        <w:rPr>
          <w:rFonts w:ascii="Sylfaen" w:hAnsi="Sylfaen"/>
          <w:sz w:val="24"/>
          <w:szCs w:val="24"/>
        </w:rPr>
        <w:t xml:space="preserve"> դրա արագությամբ</w:t>
      </w:r>
    </w:p>
    <w:tbl>
      <w:tblPr>
        <w:tblOverlap w:val="never"/>
        <w:tblW w:w="0" w:type="auto"/>
        <w:jc w:val="center"/>
        <w:tblLayout w:type="fixed"/>
        <w:tblCellMar>
          <w:left w:w="10" w:type="dxa"/>
          <w:right w:w="10" w:type="dxa"/>
        </w:tblCellMar>
        <w:tblLook w:val="0000" w:firstRow="0" w:lastRow="0" w:firstColumn="0" w:lastColumn="0" w:noHBand="0" w:noVBand="0"/>
      </w:tblPr>
      <w:tblGrid>
        <w:gridCol w:w="4080"/>
        <w:gridCol w:w="2746"/>
        <w:gridCol w:w="2760"/>
      </w:tblGrid>
      <w:tr w:rsidR="009338B9" w:rsidRPr="00ED3937" w14:paraId="1DF87968" w14:textId="77777777" w:rsidTr="00ED3937">
        <w:trPr>
          <w:jc w:val="center"/>
        </w:trPr>
        <w:tc>
          <w:tcPr>
            <w:tcW w:w="4080" w:type="dxa"/>
            <w:tcBorders>
              <w:top w:val="single" w:sz="4" w:space="0" w:color="auto"/>
              <w:left w:val="single" w:sz="4" w:space="0" w:color="auto"/>
              <w:tl2br w:val="single" w:sz="4" w:space="0" w:color="auto"/>
            </w:tcBorders>
            <w:shd w:val="clear" w:color="auto" w:fill="FFFFFF"/>
          </w:tcPr>
          <w:p w14:paraId="36B4FD8B" w14:textId="77777777" w:rsidR="009338B9" w:rsidRPr="00ED3937" w:rsidRDefault="009338B9" w:rsidP="00ED3937">
            <w:pPr>
              <w:pStyle w:val="Bodytext20"/>
              <w:spacing w:after="120" w:line="240" w:lineRule="auto"/>
              <w:jc w:val="right"/>
              <w:rPr>
                <w:rFonts w:ascii="Sylfaen" w:hAnsi="Sylfaen"/>
                <w:sz w:val="20"/>
                <w:szCs w:val="20"/>
                <w:highlight w:val="yellow"/>
              </w:rPr>
            </w:pPr>
            <w:r w:rsidRPr="00ED3937">
              <w:rPr>
                <w:rStyle w:val="Bodytext211pt"/>
                <w:rFonts w:ascii="Sylfaen" w:hAnsi="Sylfaen"/>
                <w:sz w:val="20"/>
                <w:szCs w:val="20"/>
              </w:rPr>
              <w:t>MEI-ի համար C-ի արժեքը</w:t>
            </w:r>
          </w:p>
          <w:p w14:paraId="586F8C78" w14:textId="77777777" w:rsidR="009338B9" w:rsidRPr="00ED3937" w:rsidRDefault="009338B9" w:rsidP="00ED3937">
            <w:pPr>
              <w:pStyle w:val="Bodytext20"/>
              <w:spacing w:after="120" w:line="240" w:lineRule="auto"/>
              <w:jc w:val="left"/>
              <w:rPr>
                <w:rStyle w:val="Bodytext295pt"/>
                <w:rFonts w:ascii="Sylfaen" w:hAnsi="Sylfaen"/>
                <w:sz w:val="20"/>
                <w:szCs w:val="20"/>
              </w:rPr>
            </w:pPr>
            <w:r w:rsidRPr="00ED3937">
              <w:rPr>
                <w:rStyle w:val="Bodytext295pt"/>
                <w:rFonts w:ascii="Sylfaen" w:hAnsi="Sylfaen"/>
                <w:sz w:val="20"/>
                <w:szCs w:val="20"/>
              </w:rPr>
              <w:t>C</w:t>
            </w:r>
            <w:r w:rsidRPr="00ED3937">
              <w:rPr>
                <w:rStyle w:val="Bodytext295pt"/>
                <w:rFonts w:ascii="Sylfaen" w:hAnsi="Sylfaen"/>
                <w:sz w:val="20"/>
                <w:szCs w:val="20"/>
                <w:vertAlign w:val="subscript"/>
              </w:rPr>
              <w:t>PumpType</w:t>
            </w:r>
            <w:r w:rsidRPr="00ED3937">
              <w:rPr>
                <w:rStyle w:val="Bodytext295pt"/>
                <w:rFonts w:ascii="Sylfaen" w:hAnsi="Sylfaen"/>
                <w:sz w:val="20"/>
                <w:szCs w:val="20"/>
              </w:rPr>
              <w:t xml:space="preserve">, </w:t>
            </w:r>
            <w:r w:rsidRPr="00ED3937">
              <w:rPr>
                <w:rStyle w:val="Bodytext295pt"/>
                <w:rFonts w:ascii="Sylfaen" w:hAnsi="Sylfaen"/>
                <w:sz w:val="20"/>
                <w:szCs w:val="20"/>
                <w:vertAlign w:val="subscript"/>
              </w:rPr>
              <w:t>rpm</w:t>
            </w:r>
          </w:p>
          <w:p w14:paraId="4A6CC2AA" w14:textId="77777777" w:rsidR="009338B9" w:rsidRPr="00ED3937" w:rsidRDefault="009338B9" w:rsidP="00ED3937">
            <w:pPr>
              <w:pStyle w:val="Bodytext20"/>
              <w:spacing w:after="120" w:line="240" w:lineRule="auto"/>
              <w:jc w:val="left"/>
              <w:rPr>
                <w:rFonts w:ascii="Sylfaen" w:hAnsi="Sylfaen"/>
                <w:sz w:val="20"/>
                <w:szCs w:val="20"/>
              </w:rPr>
            </w:pPr>
            <w:r w:rsidRPr="00ED3937">
              <w:rPr>
                <w:rStyle w:val="Bodytext211pt"/>
                <w:rFonts w:ascii="Sylfaen" w:hAnsi="Sylfaen"/>
                <w:sz w:val="20"/>
                <w:szCs w:val="20"/>
              </w:rPr>
              <w:t>(պոմպի տիպը, պտ/ր)</w:t>
            </w:r>
          </w:p>
        </w:tc>
        <w:tc>
          <w:tcPr>
            <w:tcW w:w="2746" w:type="dxa"/>
            <w:tcBorders>
              <w:top w:val="single" w:sz="4" w:space="0" w:color="auto"/>
              <w:left w:val="single" w:sz="4" w:space="0" w:color="auto"/>
            </w:tcBorders>
            <w:shd w:val="clear" w:color="auto" w:fill="FFFFFF"/>
            <w:vAlign w:val="center"/>
          </w:tcPr>
          <w:p w14:paraId="4974E340" w14:textId="77777777" w:rsidR="009338B9" w:rsidRPr="00ED3937" w:rsidRDefault="009338B9" w:rsidP="00ED3937">
            <w:pPr>
              <w:pStyle w:val="Bodytext20"/>
              <w:spacing w:after="120" w:line="240" w:lineRule="auto"/>
              <w:rPr>
                <w:rFonts w:ascii="Sylfaen" w:hAnsi="Sylfaen"/>
                <w:sz w:val="20"/>
                <w:szCs w:val="20"/>
              </w:rPr>
            </w:pPr>
            <w:r w:rsidRPr="00ED3937">
              <w:rPr>
                <w:rFonts w:ascii="Sylfaen" w:hAnsi="Sylfaen"/>
                <w:sz w:val="20"/>
                <w:szCs w:val="20"/>
              </w:rPr>
              <w:t>MEI = 0,10</w:t>
            </w:r>
          </w:p>
        </w:tc>
        <w:tc>
          <w:tcPr>
            <w:tcW w:w="2760" w:type="dxa"/>
            <w:tcBorders>
              <w:top w:val="single" w:sz="4" w:space="0" w:color="auto"/>
              <w:left w:val="single" w:sz="4" w:space="0" w:color="auto"/>
              <w:right w:val="single" w:sz="4" w:space="0" w:color="auto"/>
            </w:tcBorders>
            <w:shd w:val="clear" w:color="auto" w:fill="FFFFFF"/>
            <w:vAlign w:val="center"/>
          </w:tcPr>
          <w:p w14:paraId="243EF2E1" w14:textId="77777777" w:rsidR="009338B9" w:rsidRPr="00ED3937" w:rsidRDefault="009338B9" w:rsidP="00ED3937">
            <w:pPr>
              <w:pStyle w:val="Bodytext20"/>
              <w:spacing w:after="120" w:line="240" w:lineRule="auto"/>
              <w:rPr>
                <w:rFonts w:ascii="Sylfaen" w:hAnsi="Sylfaen"/>
                <w:sz w:val="20"/>
                <w:szCs w:val="20"/>
              </w:rPr>
            </w:pPr>
            <w:r w:rsidRPr="00ED3937">
              <w:rPr>
                <w:rFonts w:ascii="Sylfaen" w:hAnsi="Sylfaen"/>
                <w:sz w:val="20"/>
                <w:szCs w:val="20"/>
              </w:rPr>
              <w:t>MEI = 0,40</w:t>
            </w:r>
          </w:p>
        </w:tc>
      </w:tr>
      <w:tr w:rsidR="009338B9" w:rsidRPr="00ED3937" w14:paraId="6E3158D3" w14:textId="77777777" w:rsidTr="00ED3937">
        <w:trPr>
          <w:jc w:val="center"/>
        </w:trPr>
        <w:tc>
          <w:tcPr>
            <w:tcW w:w="4080" w:type="dxa"/>
            <w:tcBorders>
              <w:top w:val="single" w:sz="4" w:space="0" w:color="auto"/>
              <w:left w:val="single" w:sz="4" w:space="0" w:color="auto"/>
            </w:tcBorders>
            <w:shd w:val="clear" w:color="auto" w:fill="FFFFFF"/>
            <w:vAlign w:val="center"/>
          </w:tcPr>
          <w:p w14:paraId="60565230"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(ESOB, 1450)</w:t>
            </w:r>
          </w:p>
        </w:tc>
        <w:tc>
          <w:tcPr>
            <w:tcW w:w="2746" w:type="dxa"/>
            <w:tcBorders>
              <w:top w:val="single" w:sz="4" w:space="0" w:color="auto"/>
              <w:left w:val="single" w:sz="4" w:space="0" w:color="auto"/>
            </w:tcBorders>
            <w:shd w:val="clear" w:color="auto" w:fill="FFFFFF"/>
            <w:vAlign w:val="center"/>
          </w:tcPr>
          <w:p w14:paraId="6A9BD93F"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132,58</w:t>
            </w:r>
          </w:p>
        </w:tc>
        <w:tc>
          <w:tcPr>
            <w:tcW w:w="2760" w:type="dxa"/>
            <w:tcBorders>
              <w:top w:val="single" w:sz="4" w:space="0" w:color="auto"/>
              <w:left w:val="single" w:sz="4" w:space="0" w:color="auto"/>
              <w:right w:val="single" w:sz="4" w:space="0" w:color="auto"/>
            </w:tcBorders>
            <w:shd w:val="clear" w:color="auto" w:fill="FFFFFF"/>
            <w:vAlign w:val="center"/>
          </w:tcPr>
          <w:p w14:paraId="77EA2F9C"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128,07</w:t>
            </w:r>
          </w:p>
        </w:tc>
      </w:tr>
      <w:tr w:rsidR="009338B9" w:rsidRPr="00ED3937" w14:paraId="04653E89" w14:textId="77777777" w:rsidTr="00ED3937">
        <w:trPr>
          <w:jc w:val="center"/>
        </w:trPr>
        <w:tc>
          <w:tcPr>
            <w:tcW w:w="4080" w:type="dxa"/>
            <w:tcBorders>
              <w:top w:val="single" w:sz="4" w:space="0" w:color="auto"/>
              <w:left w:val="single" w:sz="4" w:space="0" w:color="auto"/>
            </w:tcBorders>
            <w:shd w:val="clear" w:color="auto" w:fill="FFFFFF"/>
            <w:vAlign w:val="center"/>
          </w:tcPr>
          <w:p w14:paraId="762978E1"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(ESOB, 2900)</w:t>
            </w:r>
          </w:p>
        </w:tc>
        <w:tc>
          <w:tcPr>
            <w:tcW w:w="2746" w:type="dxa"/>
            <w:tcBorders>
              <w:top w:val="single" w:sz="4" w:space="0" w:color="auto"/>
              <w:left w:val="single" w:sz="4" w:space="0" w:color="auto"/>
            </w:tcBorders>
            <w:shd w:val="clear" w:color="auto" w:fill="FFFFFF"/>
            <w:vAlign w:val="center"/>
          </w:tcPr>
          <w:p w14:paraId="300F5509"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135,60</w:t>
            </w:r>
          </w:p>
        </w:tc>
        <w:tc>
          <w:tcPr>
            <w:tcW w:w="2760" w:type="dxa"/>
            <w:tcBorders>
              <w:top w:val="single" w:sz="4" w:space="0" w:color="auto"/>
              <w:left w:val="single" w:sz="4" w:space="0" w:color="auto"/>
              <w:right w:val="single" w:sz="4" w:space="0" w:color="auto"/>
            </w:tcBorders>
            <w:shd w:val="clear" w:color="auto" w:fill="FFFFFF"/>
            <w:vAlign w:val="center"/>
          </w:tcPr>
          <w:p w14:paraId="573E1981"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130,27</w:t>
            </w:r>
          </w:p>
        </w:tc>
      </w:tr>
      <w:tr w:rsidR="009338B9" w:rsidRPr="00ED3937" w14:paraId="5C63F430" w14:textId="77777777" w:rsidTr="00ED3937">
        <w:trPr>
          <w:jc w:val="center"/>
        </w:trPr>
        <w:tc>
          <w:tcPr>
            <w:tcW w:w="4080" w:type="dxa"/>
            <w:tcBorders>
              <w:top w:val="single" w:sz="4" w:space="0" w:color="auto"/>
              <w:left w:val="single" w:sz="4" w:space="0" w:color="auto"/>
            </w:tcBorders>
            <w:shd w:val="clear" w:color="auto" w:fill="FFFFFF"/>
            <w:vAlign w:val="center"/>
          </w:tcPr>
          <w:p w14:paraId="3B1CCAFD"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w:t>
            </w:r>
            <w:smartTag w:uri="urn:schemas-microsoft-com:office:smarttags" w:element="stockticker">
              <w:r w:rsidRPr="00ED3937">
                <w:rPr>
                  <w:rStyle w:val="Bodytext211pt"/>
                  <w:rFonts w:ascii="Sylfaen" w:hAnsi="Sylfaen"/>
                  <w:sz w:val="20"/>
                  <w:szCs w:val="20"/>
                </w:rPr>
                <w:t>ESCC</w:t>
              </w:r>
            </w:smartTag>
            <w:r w:rsidRPr="00ED3937">
              <w:rPr>
                <w:rStyle w:val="Bodytext211pt"/>
                <w:rFonts w:ascii="Sylfaen" w:hAnsi="Sylfaen"/>
                <w:sz w:val="20"/>
                <w:szCs w:val="20"/>
              </w:rPr>
              <w:t>, 1450)</w:t>
            </w:r>
          </w:p>
        </w:tc>
        <w:tc>
          <w:tcPr>
            <w:tcW w:w="2746" w:type="dxa"/>
            <w:tcBorders>
              <w:top w:val="single" w:sz="4" w:space="0" w:color="auto"/>
              <w:left w:val="single" w:sz="4" w:space="0" w:color="auto"/>
            </w:tcBorders>
            <w:shd w:val="clear" w:color="auto" w:fill="FFFFFF"/>
            <w:vAlign w:val="center"/>
          </w:tcPr>
          <w:p w14:paraId="5AA40EBF"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132,74</w:t>
            </w:r>
          </w:p>
        </w:tc>
        <w:tc>
          <w:tcPr>
            <w:tcW w:w="2760" w:type="dxa"/>
            <w:tcBorders>
              <w:top w:val="single" w:sz="4" w:space="0" w:color="auto"/>
              <w:left w:val="single" w:sz="4" w:space="0" w:color="auto"/>
              <w:right w:val="single" w:sz="4" w:space="0" w:color="auto"/>
            </w:tcBorders>
            <w:shd w:val="clear" w:color="auto" w:fill="FFFFFF"/>
            <w:vAlign w:val="center"/>
          </w:tcPr>
          <w:p w14:paraId="62D69020"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128,46</w:t>
            </w:r>
          </w:p>
        </w:tc>
      </w:tr>
      <w:tr w:rsidR="009338B9" w:rsidRPr="00ED3937" w14:paraId="6764540A" w14:textId="77777777" w:rsidTr="00ED3937">
        <w:trPr>
          <w:jc w:val="center"/>
        </w:trPr>
        <w:tc>
          <w:tcPr>
            <w:tcW w:w="4080" w:type="dxa"/>
            <w:tcBorders>
              <w:top w:val="single" w:sz="4" w:space="0" w:color="auto"/>
              <w:left w:val="single" w:sz="4" w:space="0" w:color="auto"/>
            </w:tcBorders>
            <w:shd w:val="clear" w:color="auto" w:fill="FFFFFF"/>
            <w:vAlign w:val="center"/>
          </w:tcPr>
          <w:p w14:paraId="019BCA1B"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w:t>
            </w:r>
            <w:smartTag w:uri="urn:schemas-microsoft-com:office:smarttags" w:element="stockticker">
              <w:r w:rsidRPr="00ED3937">
                <w:rPr>
                  <w:rStyle w:val="Bodytext211pt"/>
                  <w:rFonts w:ascii="Sylfaen" w:hAnsi="Sylfaen"/>
                  <w:sz w:val="20"/>
                  <w:szCs w:val="20"/>
                </w:rPr>
                <w:t>ESCC</w:t>
              </w:r>
            </w:smartTag>
            <w:r w:rsidRPr="00ED3937">
              <w:rPr>
                <w:rStyle w:val="Bodytext211pt"/>
                <w:rFonts w:ascii="Sylfaen" w:hAnsi="Sylfaen"/>
                <w:sz w:val="20"/>
                <w:szCs w:val="20"/>
              </w:rPr>
              <w:t>, 2900)</w:t>
            </w:r>
          </w:p>
        </w:tc>
        <w:tc>
          <w:tcPr>
            <w:tcW w:w="2746" w:type="dxa"/>
            <w:tcBorders>
              <w:top w:val="single" w:sz="4" w:space="0" w:color="auto"/>
              <w:left w:val="single" w:sz="4" w:space="0" w:color="auto"/>
            </w:tcBorders>
            <w:shd w:val="clear" w:color="auto" w:fill="FFFFFF"/>
            <w:vAlign w:val="center"/>
          </w:tcPr>
          <w:p w14:paraId="50A51A2A"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135,93</w:t>
            </w:r>
          </w:p>
        </w:tc>
        <w:tc>
          <w:tcPr>
            <w:tcW w:w="2760" w:type="dxa"/>
            <w:tcBorders>
              <w:top w:val="single" w:sz="4" w:space="0" w:color="auto"/>
              <w:left w:val="single" w:sz="4" w:space="0" w:color="auto"/>
              <w:right w:val="single" w:sz="4" w:space="0" w:color="auto"/>
            </w:tcBorders>
            <w:shd w:val="clear" w:color="auto" w:fill="FFFFFF"/>
            <w:vAlign w:val="center"/>
          </w:tcPr>
          <w:p w14:paraId="68E9AB7A"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130,77</w:t>
            </w:r>
          </w:p>
        </w:tc>
      </w:tr>
      <w:tr w:rsidR="009338B9" w:rsidRPr="00ED3937" w14:paraId="77590128" w14:textId="77777777" w:rsidTr="00ED3937">
        <w:trPr>
          <w:jc w:val="center"/>
        </w:trPr>
        <w:tc>
          <w:tcPr>
            <w:tcW w:w="4080" w:type="dxa"/>
            <w:tcBorders>
              <w:top w:val="single" w:sz="4" w:space="0" w:color="auto"/>
              <w:left w:val="single" w:sz="4" w:space="0" w:color="auto"/>
            </w:tcBorders>
            <w:shd w:val="clear" w:color="auto" w:fill="FFFFFF"/>
            <w:vAlign w:val="center"/>
          </w:tcPr>
          <w:p w14:paraId="0EF8F2FB"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(ESCCI, 1450)</w:t>
            </w:r>
          </w:p>
        </w:tc>
        <w:tc>
          <w:tcPr>
            <w:tcW w:w="2746" w:type="dxa"/>
            <w:tcBorders>
              <w:top w:val="single" w:sz="4" w:space="0" w:color="auto"/>
              <w:left w:val="single" w:sz="4" w:space="0" w:color="auto"/>
            </w:tcBorders>
            <w:shd w:val="clear" w:color="auto" w:fill="FFFFFF"/>
            <w:vAlign w:val="center"/>
          </w:tcPr>
          <w:p w14:paraId="7F8E3782"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136,67</w:t>
            </w:r>
          </w:p>
        </w:tc>
        <w:tc>
          <w:tcPr>
            <w:tcW w:w="2760" w:type="dxa"/>
            <w:tcBorders>
              <w:top w:val="single" w:sz="4" w:space="0" w:color="auto"/>
              <w:left w:val="single" w:sz="4" w:space="0" w:color="auto"/>
              <w:right w:val="single" w:sz="4" w:space="0" w:color="auto"/>
            </w:tcBorders>
            <w:shd w:val="clear" w:color="auto" w:fill="FFFFFF"/>
            <w:vAlign w:val="center"/>
          </w:tcPr>
          <w:p w14:paraId="0DF47C80"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132,30</w:t>
            </w:r>
          </w:p>
        </w:tc>
      </w:tr>
      <w:tr w:rsidR="009338B9" w:rsidRPr="00ED3937" w14:paraId="0152600C" w14:textId="77777777" w:rsidTr="00ED3937">
        <w:trPr>
          <w:jc w:val="center"/>
        </w:trPr>
        <w:tc>
          <w:tcPr>
            <w:tcW w:w="4080" w:type="dxa"/>
            <w:tcBorders>
              <w:top w:val="single" w:sz="4" w:space="0" w:color="auto"/>
              <w:left w:val="single" w:sz="4" w:space="0" w:color="auto"/>
            </w:tcBorders>
            <w:shd w:val="clear" w:color="auto" w:fill="FFFFFF"/>
            <w:vAlign w:val="center"/>
          </w:tcPr>
          <w:p w14:paraId="2C8E4063"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(ESCCI, 2900)</w:t>
            </w:r>
          </w:p>
        </w:tc>
        <w:tc>
          <w:tcPr>
            <w:tcW w:w="2746" w:type="dxa"/>
            <w:tcBorders>
              <w:top w:val="single" w:sz="4" w:space="0" w:color="auto"/>
              <w:left w:val="single" w:sz="4" w:space="0" w:color="auto"/>
            </w:tcBorders>
            <w:shd w:val="clear" w:color="auto" w:fill="FFFFFF"/>
            <w:vAlign w:val="center"/>
          </w:tcPr>
          <w:p w14:paraId="6848DC52"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139,45</w:t>
            </w:r>
          </w:p>
        </w:tc>
        <w:tc>
          <w:tcPr>
            <w:tcW w:w="2760" w:type="dxa"/>
            <w:tcBorders>
              <w:top w:val="single" w:sz="4" w:space="0" w:color="auto"/>
              <w:left w:val="single" w:sz="4" w:space="0" w:color="auto"/>
              <w:right w:val="single" w:sz="4" w:space="0" w:color="auto"/>
            </w:tcBorders>
            <w:shd w:val="clear" w:color="auto" w:fill="FFFFFF"/>
            <w:vAlign w:val="center"/>
          </w:tcPr>
          <w:p w14:paraId="4E392522"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133,69</w:t>
            </w:r>
          </w:p>
        </w:tc>
      </w:tr>
      <w:tr w:rsidR="009338B9" w:rsidRPr="00ED3937" w14:paraId="5C74776A" w14:textId="77777777" w:rsidTr="00ED3937">
        <w:trPr>
          <w:jc w:val="center"/>
        </w:trPr>
        <w:tc>
          <w:tcPr>
            <w:tcW w:w="4080" w:type="dxa"/>
            <w:tcBorders>
              <w:top w:val="single" w:sz="4" w:space="0" w:color="auto"/>
              <w:left w:val="single" w:sz="4" w:space="0" w:color="auto"/>
            </w:tcBorders>
            <w:shd w:val="clear" w:color="auto" w:fill="FFFFFF"/>
            <w:vAlign w:val="center"/>
          </w:tcPr>
          <w:p w14:paraId="503B65E7"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(MS-V, 2900)</w:t>
            </w:r>
          </w:p>
        </w:tc>
        <w:tc>
          <w:tcPr>
            <w:tcW w:w="2746" w:type="dxa"/>
            <w:tcBorders>
              <w:top w:val="single" w:sz="4" w:space="0" w:color="auto"/>
              <w:left w:val="single" w:sz="4" w:space="0" w:color="auto"/>
            </w:tcBorders>
            <w:shd w:val="clear" w:color="auto" w:fill="FFFFFF"/>
            <w:vAlign w:val="center"/>
          </w:tcPr>
          <w:p w14:paraId="11C13BF1"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138,19</w:t>
            </w:r>
          </w:p>
        </w:tc>
        <w:tc>
          <w:tcPr>
            <w:tcW w:w="2760" w:type="dxa"/>
            <w:tcBorders>
              <w:top w:val="single" w:sz="4" w:space="0" w:color="auto"/>
              <w:left w:val="single" w:sz="4" w:space="0" w:color="auto"/>
              <w:right w:val="single" w:sz="4" w:space="0" w:color="auto"/>
            </w:tcBorders>
            <w:shd w:val="clear" w:color="auto" w:fill="FFFFFF"/>
            <w:vAlign w:val="center"/>
          </w:tcPr>
          <w:p w14:paraId="3D255681"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133,95</w:t>
            </w:r>
          </w:p>
        </w:tc>
      </w:tr>
      <w:tr w:rsidR="009338B9" w:rsidRPr="00ED3937" w14:paraId="7775C76A" w14:textId="77777777" w:rsidTr="00ED3937">
        <w:trPr>
          <w:jc w:val="center"/>
        </w:trPr>
        <w:tc>
          <w:tcPr>
            <w:tcW w:w="4080" w:type="dxa"/>
            <w:tcBorders>
              <w:top w:val="single" w:sz="4" w:space="0" w:color="auto"/>
              <w:left w:val="single" w:sz="4" w:space="0" w:color="auto"/>
              <w:bottom w:val="single" w:sz="4" w:space="0" w:color="auto"/>
            </w:tcBorders>
            <w:shd w:val="clear" w:color="auto" w:fill="FFFFFF"/>
            <w:vAlign w:val="center"/>
          </w:tcPr>
          <w:p w14:paraId="7B161491"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C (</w:t>
            </w:r>
            <w:smartTag w:uri="urn:schemas-microsoft-com:office:smarttags" w:element="stockticker">
              <w:r w:rsidRPr="00ED3937">
                <w:rPr>
                  <w:rStyle w:val="Bodytext211pt"/>
                  <w:rFonts w:ascii="Sylfaen" w:hAnsi="Sylfaen"/>
                  <w:sz w:val="20"/>
                  <w:szCs w:val="20"/>
                </w:rPr>
                <w:t>MSS</w:t>
              </w:r>
            </w:smartTag>
            <w:r w:rsidRPr="00ED3937">
              <w:rPr>
                <w:rStyle w:val="Bodytext211pt"/>
                <w:rFonts w:ascii="Sylfaen" w:hAnsi="Sylfaen"/>
                <w:sz w:val="20"/>
                <w:szCs w:val="20"/>
              </w:rPr>
              <w:t>, 2900)</w:t>
            </w:r>
          </w:p>
        </w:tc>
        <w:tc>
          <w:tcPr>
            <w:tcW w:w="2746" w:type="dxa"/>
            <w:tcBorders>
              <w:top w:val="single" w:sz="4" w:space="0" w:color="auto"/>
              <w:left w:val="single" w:sz="4" w:space="0" w:color="auto"/>
              <w:bottom w:val="single" w:sz="4" w:space="0" w:color="auto"/>
            </w:tcBorders>
            <w:shd w:val="clear" w:color="auto" w:fill="FFFFFF"/>
            <w:vAlign w:val="center"/>
          </w:tcPr>
          <w:p w14:paraId="191FF092"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134,31</w:t>
            </w:r>
          </w:p>
        </w:tc>
        <w:tc>
          <w:tcPr>
            <w:tcW w:w="2760" w:type="dxa"/>
            <w:tcBorders>
              <w:top w:val="single" w:sz="4" w:space="0" w:color="auto"/>
              <w:left w:val="single" w:sz="4" w:space="0" w:color="auto"/>
              <w:bottom w:val="single" w:sz="4" w:space="0" w:color="auto"/>
              <w:right w:val="single" w:sz="4" w:space="0" w:color="auto"/>
            </w:tcBorders>
            <w:shd w:val="clear" w:color="auto" w:fill="FFFFFF"/>
            <w:vAlign w:val="center"/>
          </w:tcPr>
          <w:p w14:paraId="795CC81C" w14:textId="77777777" w:rsidR="009338B9" w:rsidRPr="00ED3937" w:rsidRDefault="009338B9" w:rsidP="00ED3937">
            <w:pPr>
              <w:pStyle w:val="Bodytext20"/>
              <w:spacing w:after="120" w:line="240" w:lineRule="auto"/>
              <w:rPr>
                <w:rFonts w:ascii="Sylfaen" w:hAnsi="Sylfaen"/>
                <w:sz w:val="20"/>
                <w:szCs w:val="20"/>
              </w:rPr>
            </w:pPr>
            <w:r w:rsidRPr="00ED3937">
              <w:rPr>
                <w:rStyle w:val="Bodytext211pt"/>
                <w:rFonts w:ascii="Sylfaen" w:hAnsi="Sylfaen"/>
                <w:sz w:val="20"/>
                <w:szCs w:val="20"/>
              </w:rPr>
              <w:t>128,79</w:t>
            </w:r>
          </w:p>
        </w:tc>
      </w:tr>
    </w:tbl>
    <w:p w14:paraId="7C70276A" w14:textId="77777777" w:rsidR="009338B9" w:rsidRPr="00CF39EE" w:rsidRDefault="009338B9" w:rsidP="009338B9">
      <w:pPr>
        <w:spacing w:after="160" w:line="360" w:lineRule="auto"/>
        <w:rPr>
          <w:rFonts w:ascii="Sylfaen" w:hAnsi="Sylfaen"/>
        </w:rPr>
      </w:pPr>
    </w:p>
    <w:p w14:paraId="75A4FBB9"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100-տոկոսանոց մատուցման (η</w:t>
      </w:r>
      <w:r w:rsidRPr="00CF39EE">
        <w:rPr>
          <w:rFonts w:ascii="Sylfaen" w:hAnsi="Sylfaen"/>
          <w:sz w:val="24"/>
          <w:szCs w:val="24"/>
          <w:vertAlign w:val="subscript"/>
        </w:rPr>
        <w:t>ВЕР</w:t>
      </w:r>
      <w:r w:rsidRPr="00CF39EE">
        <w:rPr>
          <w:rFonts w:ascii="Sylfaen" w:hAnsi="Sylfaen"/>
          <w:sz w:val="24"/>
          <w:szCs w:val="24"/>
        </w:rPr>
        <w:t xml:space="preserve">) դեպքում պահանջների մասով թերբեռնման (PL) </w:t>
      </w:r>
      <w:r>
        <w:rPr>
          <w:rFonts w:ascii="Sylfaen" w:hAnsi="Sylfaen"/>
          <w:sz w:val="24"/>
          <w:szCs w:val="24"/>
        </w:rPr>
        <w:t>եւ</w:t>
      </w:r>
      <w:r w:rsidRPr="00CF39EE">
        <w:rPr>
          <w:rFonts w:ascii="Sylfaen" w:hAnsi="Sylfaen"/>
          <w:sz w:val="24"/>
          <w:szCs w:val="24"/>
        </w:rPr>
        <w:t xml:space="preserve"> գերբեռնման (OL) պայմաններում նվազագույն պահանջվող ՕԳԳ-ն հաշվարկվում է հետ</w:t>
      </w:r>
      <w:r>
        <w:rPr>
          <w:rFonts w:ascii="Sylfaen" w:hAnsi="Sylfaen"/>
          <w:sz w:val="24"/>
          <w:szCs w:val="24"/>
        </w:rPr>
        <w:t>եւ</w:t>
      </w:r>
      <w:r w:rsidRPr="00CF39EE">
        <w:rPr>
          <w:rFonts w:ascii="Sylfaen" w:hAnsi="Sylfaen"/>
          <w:sz w:val="24"/>
          <w:szCs w:val="24"/>
        </w:rPr>
        <w:t>յալ բանաձ</w:t>
      </w:r>
      <w:r>
        <w:rPr>
          <w:rFonts w:ascii="Sylfaen" w:hAnsi="Sylfaen"/>
          <w:sz w:val="24"/>
          <w:szCs w:val="24"/>
        </w:rPr>
        <w:t>եւ</w:t>
      </w:r>
      <w:r w:rsidRPr="00CF39EE">
        <w:rPr>
          <w:rFonts w:ascii="Sylfaen" w:hAnsi="Sylfaen"/>
          <w:sz w:val="24"/>
          <w:szCs w:val="24"/>
        </w:rPr>
        <w:t>ով՝</w:t>
      </w:r>
    </w:p>
    <w:p w14:paraId="5559EFE7" w14:textId="77777777" w:rsidR="009338B9" w:rsidRPr="00ED3937" w:rsidRDefault="009338B9" w:rsidP="00ED3937">
      <w:pPr>
        <w:pStyle w:val="Bodytext90"/>
        <w:spacing w:after="160" w:line="360" w:lineRule="auto"/>
        <w:ind w:left="80"/>
        <w:jc w:val="center"/>
        <w:rPr>
          <w:rFonts w:ascii="Sylfaen" w:hAnsi="Sylfaen"/>
          <w:b w:val="0"/>
          <w:sz w:val="24"/>
          <w:szCs w:val="24"/>
        </w:rPr>
      </w:pPr>
      <w:r w:rsidRPr="00ED3937">
        <w:rPr>
          <w:rStyle w:val="Bodytext915pt"/>
          <w:rFonts w:ascii="Sylfaen" w:hAnsi="Sylfaen"/>
          <w:b w:val="0"/>
          <w:sz w:val="24"/>
          <w:szCs w:val="24"/>
        </w:rPr>
        <w:t>(</w:t>
      </w:r>
      <w:r w:rsidRPr="00ED3937">
        <w:rPr>
          <w:rFonts w:ascii="Sylfaen" w:hAnsi="Sylfaen"/>
          <w:b w:val="0"/>
          <w:sz w:val="24"/>
          <w:szCs w:val="24"/>
        </w:rPr>
        <w:t>η</w:t>
      </w:r>
      <w:r w:rsidRPr="00ED3937">
        <w:rPr>
          <w:rFonts w:ascii="Sylfaen" w:hAnsi="Sylfaen"/>
          <w:b w:val="0"/>
          <w:sz w:val="24"/>
          <w:szCs w:val="24"/>
          <w:vertAlign w:val="subscript"/>
        </w:rPr>
        <w:t>PL</w:t>
      </w:r>
      <w:r w:rsidRPr="00ED3937">
        <w:rPr>
          <w:rStyle w:val="Bodytext915pt"/>
          <w:rFonts w:ascii="Sylfaen" w:hAnsi="Sylfaen"/>
          <w:b w:val="0"/>
          <w:sz w:val="24"/>
          <w:szCs w:val="24"/>
        </w:rPr>
        <w:t xml:space="preserve">) </w:t>
      </w:r>
      <w:r w:rsidRPr="00ED3937">
        <w:rPr>
          <w:rFonts w:ascii="Sylfaen" w:hAnsi="Sylfaen"/>
          <w:b w:val="0"/>
          <w:sz w:val="24"/>
          <w:szCs w:val="24"/>
          <w:vertAlign w:val="subscript"/>
        </w:rPr>
        <w:t>min, requ</w:t>
      </w:r>
      <w:r w:rsidRPr="00ED3937">
        <w:rPr>
          <w:rFonts w:ascii="Sylfaen" w:hAnsi="Sylfaen"/>
          <w:b w:val="0"/>
          <w:sz w:val="24"/>
          <w:szCs w:val="24"/>
        </w:rPr>
        <w:t xml:space="preserve"> </w:t>
      </w:r>
      <w:r w:rsidRPr="00ED3937">
        <w:rPr>
          <w:rStyle w:val="Bodytext915pt"/>
          <w:rFonts w:ascii="Sylfaen" w:hAnsi="Sylfaen"/>
          <w:b w:val="0"/>
          <w:sz w:val="24"/>
          <w:szCs w:val="24"/>
          <w:lang w:val="en-US"/>
        </w:rPr>
        <w:t>=</w:t>
      </w:r>
      <w:r w:rsidRPr="00ED3937">
        <w:rPr>
          <w:rStyle w:val="Bodytext915pt"/>
          <w:rFonts w:ascii="Sylfaen" w:hAnsi="Sylfaen"/>
          <w:b w:val="0"/>
          <w:sz w:val="24"/>
          <w:szCs w:val="24"/>
          <w:vertAlign w:val="superscript"/>
          <w:lang w:val="en-US"/>
        </w:rPr>
        <w:t xml:space="preserve"> </w:t>
      </w:r>
      <w:r w:rsidR="00ED3937">
        <w:rPr>
          <w:rStyle w:val="Bodytext915pt"/>
          <w:rFonts w:ascii="Sylfaen" w:hAnsi="Sylfaen"/>
          <w:b w:val="0"/>
          <w:sz w:val="24"/>
          <w:szCs w:val="24"/>
        </w:rPr>
        <w:t>0,947·</w:t>
      </w:r>
      <w:r w:rsidRPr="00ED3937">
        <w:rPr>
          <w:rStyle w:val="Bodytext915pt"/>
          <w:rFonts w:ascii="Sylfaen" w:hAnsi="Sylfaen"/>
          <w:b w:val="0"/>
          <w:sz w:val="24"/>
          <w:szCs w:val="24"/>
        </w:rPr>
        <w:t>(</w:t>
      </w:r>
      <w:r w:rsidRPr="00ED3937">
        <w:rPr>
          <w:rFonts w:ascii="Sylfaen" w:hAnsi="Sylfaen"/>
          <w:b w:val="0"/>
          <w:sz w:val="24"/>
          <w:szCs w:val="24"/>
        </w:rPr>
        <w:t xml:space="preserve"> η</w:t>
      </w:r>
      <w:r w:rsidRPr="00ED3937">
        <w:rPr>
          <w:rFonts w:ascii="Sylfaen" w:hAnsi="Sylfaen"/>
          <w:b w:val="0"/>
          <w:sz w:val="24"/>
          <w:szCs w:val="24"/>
          <w:vertAlign w:val="subscript"/>
        </w:rPr>
        <w:t>ВЕР</w:t>
      </w:r>
      <w:r w:rsidRPr="00ED3937">
        <w:rPr>
          <w:rStyle w:val="Bodytext915pt"/>
          <w:rFonts w:ascii="Sylfaen" w:hAnsi="Sylfaen"/>
          <w:b w:val="0"/>
          <w:sz w:val="24"/>
          <w:szCs w:val="24"/>
        </w:rPr>
        <w:t xml:space="preserve">) </w:t>
      </w:r>
      <w:r w:rsidRPr="00ED3937">
        <w:rPr>
          <w:rFonts w:ascii="Sylfaen" w:hAnsi="Sylfaen"/>
          <w:b w:val="0"/>
          <w:sz w:val="24"/>
          <w:szCs w:val="24"/>
          <w:vertAlign w:val="subscript"/>
        </w:rPr>
        <w:t>min requ</w:t>
      </w:r>
      <w:r w:rsidRPr="00ED3937">
        <w:rPr>
          <w:rFonts w:ascii="Sylfaen" w:hAnsi="Sylfaen"/>
          <w:b w:val="0"/>
          <w:sz w:val="24"/>
          <w:szCs w:val="24"/>
        </w:rPr>
        <w:t>.</w:t>
      </w:r>
    </w:p>
    <w:p w14:paraId="765548F5" w14:textId="77777777" w:rsidR="009338B9" w:rsidRPr="00ED3937" w:rsidRDefault="009338B9" w:rsidP="00ED3937">
      <w:pPr>
        <w:pStyle w:val="Bodytext90"/>
        <w:spacing w:after="160" w:line="360" w:lineRule="auto"/>
        <w:ind w:left="80"/>
        <w:jc w:val="center"/>
        <w:rPr>
          <w:rStyle w:val="Bodytext915pt"/>
          <w:rFonts w:ascii="Sylfaen" w:hAnsi="Sylfaen"/>
          <w:b w:val="0"/>
          <w:sz w:val="24"/>
          <w:szCs w:val="24"/>
        </w:rPr>
      </w:pPr>
      <w:r w:rsidRPr="00ED3937">
        <w:rPr>
          <w:rStyle w:val="Bodytext915pt"/>
          <w:rFonts w:ascii="Sylfaen" w:hAnsi="Sylfaen"/>
          <w:b w:val="0"/>
          <w:sz w:val="24"/>
          <w:szCs w:val="24"/>
        </w:rPr>
        <w:t>(</w:t>
      </w:r>
      <w:r w:rsidRPr="00ED3937">
        <w:rPr>
          <w:rFonts w:ascii="Sylfaen" w:hAnsi="Sylfaen"/>
          <w:b w:val="0"/>
          <w:sz w:val="24"/>
          <w:szCs w:val="24"/>
        </w:rPr>
        <w:t>η</w:t>
      </w:r>
      <w:r w:rsidRPr="00ED3937">
        <w:rPr>
          <w:rFonts w:ascii="Sylfaen" w:hAnsi="Sylfaen"/>
          <w:b w:val="0"/>
          <w:sz w:val="24"/>
          <w:szCs w:val="24"/>
          <w:vertAlign w:val="subscript"/>
        </w:rPr>
        <w:t>OL</w:t>
      </w:r>
      <w:r w:rsidRPr="00ED3937">
        <w:rPr>
          <w:rStyle w:val="Bodytext915pt"/>
          <w:rFonts w:ascii="Sylfaen" w:hAnsi="Sylfaen"/>
          <w:b w:val="0"/>
          <w:sz w:val="24"/>
          <w:szCs w:val="24"/>
        </w:rPr>
        <w:t xml:space="preserve">) </w:t>
      </w:r>
      <w:r w:rsidRPr="00ED3937">
        <w:rPr>
          <w:rFonts w:ascii="Sylfaen" w:hAnsi="Sylfaen"/>
          <w:b w:val="0"/>
          <w:sz w:val="24"/>
          <w:szCs w:val="24"/>
          <w:vertAlign w:val="subscript"/>
        </w:rPr>
        <w:t>min, requ</w:t>
      </w:r>
      <w:r w:rsidRPr="00ED3937">
        <w:rPr>
          <w:rFonts w:ascii="Sylfaen" w:hAnsi="Sylfaen"/>
          <w:b w:val="0"/>
          <w:sz w:val="24"/>
          <w:szCs w:val="24"/>
        </w:rPr>
        <w:t xml:space="preserve"> </w:t>
      </w:r>
      <w:r w:rsidRPr="00ED3937">
        <w:rPr>
          <w:rStyle w:val="Bodytext915pt"/>
          <w:rFonts w:ascii="Sylfaen" w:hAnsi="Sylfaen"/>
          <w:b w:val="0"/>
          <w:sz w:val="24"/>
          <w:szCs w:val="24"/>
          <w:lang w:val="en-US"/>
        </w:rPr>
        <w:t>=</w:t>
      </w:r>
      <w:r w:rsidR="00ED3937">
        <w:rPr>
          <w:rStyle w:val="Bodytext915pt"/>
          <w:rFonts w:ascii="Sylfaen" w:hAnsi="Sylfaen"/>
          <w:b w:val="0"/>
          <w:sz w:val="24"/>
          <w:szCs w:val="24"/>
        </w:rPr>
        <w:t xml:space="preserve"> 0,985</w:t>
      </w:r>
      <w:r w:rsidRPr="00ED3937">
        <w:rPr>
          <w:rStyle w:val="Bodytext915pt"/>
          <w:rFonts w:ascii="Sylfaen" w:hAnsi="Sylfaen"/>
          <w:b w:val="0"/>
          <w:sz w:val="24"/>
          <w:szCs w:val="24"/>
        </w:rPr>
        <w:t xml:space="preserve"> (</w:t>
      </w:r>
      <w:r w:rsidRPr="00ED3937">
        <w:rPr>
          <w:rFonts w:ascii="Sylfaen" w:hAnsi="Sylfaen"/>
          <w:b w:val="0"/>
          <w:sz w:val="24"/>
          <w:szCs w:val="24"/>
        </w:rPr>
        <w:t>η</w:t>
      </w:r>
      <w:r w:rsidRPr="00ED3937">
        <w:rPr>
          <w:rFonts w:ascii="Sylfaen" w:hAnsi="Sylfaen"/>
          <w:b w:val="0"/>
          <w:sz w:val="24"/>
          <w:szCs w:val="24"/>
          <w:vertAlign w:val="subscript"/>
        </w:rPr>
        <w:t>ВЕР</w:t>
      </w:r>
      <w:r w:rsidRPr="00ED3937">
        <w:rPr>
          <w:rStyle w:val="Bodytext915pt"/>
          <w:rFonts w:ascii="Sylfaen" w:hAnsi="Sylfaen"/>
          <w:b w:val="0"/>
          <w:sz w:val="24"/>
          <w:szCs w:val="24"/>
        </w:rPr>
        <w:t xml:space="preserve">) </w:t>
      </w:r>
      <w:r w:rsidRPr="00ED3937">
        <w:rPr>
          <w:rFonts w:ascii="Sylfaen" w:hAnsi="Sylfaen"/>
          <w:b w:val="0"/>
          <w:sz w:val="24"/>
          <w:szCs w:val="24"/>
          <w:vertAlign w:val="subscript"/>
        </w:rPr>
        <w:t>min requ</w:t>
      </w:r>
      <w:r w:rsidRPr="00ED3937">
        <w:rPr>
          <w:rFonts w:ascii="Sylfaen" w:hAnsi="Sylfaen"/>
          <w:b w:val="0"/>
          <w:sz w:val="24"/>
          <w:szCs w:val="24"/>
        </w:rPr>
        <w:t>:</w:t>
      </w:r>
    </w:p>
    <w:p w14:paraId="40DCC941" w14:textId="77777777" w:rsidR="009338B9" w:rsidRPr="00CF39EE" w:rsidRDefault="009338B9" w:rsidP="009338B9">
      <w:pPr>
        <w:pStyle w:val="Bodytext90"/>
        <w:spacing w:after="160" w:line="360" w:lineRule="auto"/>
        <w:ind w:left="80"/>
        <w:rPr>
          <w:rFonts w:ascii="Sylfaen" w:hAnsi="Sylfaen"/>
          <w:sz w:val="24"/>
          <w:szCs w:val="24"/>
        </w:rPr>
      </w:pPr>
    </w:p>
    <w:p w14:paraId="71218BF7"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ՕԳԳ-ի բոլոր արժեքները վերաբերում են բանող անիվի անվանական կամ լրիվ (առանց ճշտման կամ ձ</w:t>
      </w:r>
      <w:r>
        <w:rPr>
          <w:rFonts w:ascii="Sylfaen" w:hAnsi="Sylfaen"/>
          <w:sz w:val="24"/>
          <w:szCs w:val="24"/>
        </w:rPr>
        <w:t>եւ</w:t>
      </w:r>
      <w:r w:rsidRPr="00CF39EE">
        <w:rPr>
          <w:rFonts w:ascii="Sylfaen" w:hAnsi="Sylfaen"/>
          <w:sz w:val="24"/>
          <w:szCs w:val="24"/>
        </w:rPr>
        <w:t xml:space="preserve">աճշտման) տրամագծին: Բազմաստիճանավոր </w:t>
      </w:r>
      <w:r w:rsidRPr="00ED3937">
        <w:rPr>
          <w:rFonts w:ascii="Sylfaen" w:hAnsi="Sylfaen"/>
          <w:spacing w:val="-4"/>
          <w:sz w:val="24"/>
          <w:szCs w:val="24"/>
        </w:rPr>
        <w:lastRenderedPageBreak/>
        <w:t>ուղղաձիգ ջրի պոմպը պետք է փորձարկվի եռաստիճան տարբերակի համար (i = 3): Բազմաստիճանավոր սուզապոմպը պետք է փորձարկվի իննաստիճան</w:t>
      </w:r>
      <w:r w:rsidRPr="00CF39EE">
        <w:rPr>
          <w:rFonts w:ascii="Sylfaen" w:hAnsi="Sylfaen"/>
          <w:sz w:val="24"/>
          <w:szCs w:val="24"/>
        </w:rPr>
        <w:t xml:space="preserve"> տարբերակի համար (i = 9): Եթե պոմպը աստիճանների տրված քանակ չի կարող ունենալ, ապա ընտրվում է աստիճանների թվով ամենամոտ պոմպը:</w:t>
      </w:r>
    </w:p>
    <w:p w14:paraId="2F037C44"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5.</w:t>
      </w:r>
      <w:r w:rsidR="00ED3937" w:rsidRPr="00ED3937">
        <w:rPr>
          <w:rFonts w:ascii="Sylfaen" w:hAnsi="Sylfaen"/>
          <w:sz w:val="24"/>
          <w:szCs w:val="24"/>
        </w:rPr>
        <w:tab/>
      </w:r>
      <w:r w:rsidRPr="00CF39EE">
        <w:rPr>
          <w:rFonts w:ascii="Sylfaen" w:hAnsi="Sylfaen"/>
          <w:sz w:val="24"/>
          <w:szCs w:val="24"/>
        </w:rPr>
        <w:t>Ջրի պոմպերը պետք է համապատասխանեն էներգետիկ արդյունավետության հետ</w:t>
      </w:r>
      <w:r>
        <w:rPr>
          <w:rFonts w:ascii="Sylfaen" w:hAnsi="Sylfaen"/>
          <w:sz w:val="24"/>
          <w:szCs w:val="24"/>
        </w:rPr>
        <w:t>եւ</w:t>
      </w:r>
      <w:r w:rsidRPr="00CF39EE">
        <w:rPr>
          <w:rFonts w:ascii="Sylfaen" w:hAnsi="Sylfaen"/>
          <w:sz w:val="24"/>
          <w:szCs w:val="24"/>
        </w:rPr>
        <w:t>յալ պահանջներին՝</w:t>
      </w:r>
    </w:p>
    <w:p w14:paraId="33C30828"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ա)</w:t>
      </w:r>
      <w:r w:rsidR="00ED3937" w:rsidRPr="003D2C38">
        <w:rPr>
          <w:rFonts w:ascii="Sylfaen" w:hAnsi="Sylfaen"/>
          <w:sz w:val="24"/>
          <w:szCs w:val="24"/>
        </w:rPr>
        <w:tab/>
      </w:r>
      <w:r w:rsidRPr="00CF39EE">
        <w:rPr>
          <w:rFonts w:ascii="Sylfaen" w:hAnsi="Sylfaen"/>
          <w:sz w:val="24"/>
          <w:szCs w:val="24"/>
        </w:rPr>
        <w:t>2020 թվականի սեպտեմբերի 1-ից՝</w:t>
      </w:r>
    </w:p>
    <w:p w14:paraId="5C1CBCFF"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տեխնիկական կանոնակարգի սույն պահանջների 4-րդ կետին համապատասխան չափելիս օպտիմալ կետում (BEP) C արժեքով MEI = 0,1-ի համար (η</w:t>
      </w:r>
      <w:r w:rsidRPr="00CF39EE">
        <w:rPr>
          <w:rFonts w:ascii="Sylfaen" w:hAnsi="Sylfaen"/>
          <w:sz w:val="24"/>
          <w:szCs w:val="24"/>
          <w:vertAlign w:val="subscript"/>
        </w:rPr>
        <w:t>BEP</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արժեքից ոչ ցածր ՕԳԳ η.</w:t>
      </w:r>
    </w:p>
    <w:p w14:paraId="558B7401"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սույն պահանջների 4-րդ կետին համապատասխան չափելիս մասնակի բեռնման (PL) դեպքում C արժեքով MEI = 0,1-ի համար (η</w:t>
      </w:r>
      <w:r w:rsidRPr="00CF39EE">
        <w:rPr>
          <w:rFonts w:ascii="Sylfaen" w:hAnsi="Sylfaen"/>
          <w:sz w:val="24"/>
          <w:szCs w:val="24"/>
          <w:vertAlign w:val="subscript"/>
        </w:rPr>
        <w:t>PL</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արժեքից ոչ ցածր ՕԳԳ η.</w:t>
      </w:r>
    </w:p>
    <w:p w14:paraId="61EE1D62" w14:textId="77777777" w:rsidR="009338B9" w:rsidRPr="00CF39EE" w:rsidRDefault="009338B9" w:rsidP="009338B9">
      <w:pPr>
        <w:pStyle w:val="Bodytext20"/>
        <w:spacing w:after="160" w:line="360" w:lineRule="auto"/>
        <w:ind w:right="-8" w:firstLine="567"/>
        <w:jc w:val="both"/>
        <w:rPr>
          <w:rFonts w:ascii="Sylfaen" w:hAnsi="Sylfaen"/>
          <w:sz w:val="24"/>
          <w:szCs w:val="24"/>
          <w:vertAlign w:val="subscript"/>
        </w:rPr>
      </w:pPr>
      <w:r w:rsidRPr="00CF39EE">
        <w:rPr>
          <w:rFonts w:ascii="Sylfaen" w:hAnsi="Sylfaen"/>
          <w:sz w:val="24"/>
          <w:szCs w:val="24"/>
        </w:rPr>
        <w:t>սույն պահանջների 4-րդ կետին համապատասխան չափելիս գերբեռնման (OL) դեպքում C արժեքով MEI = 0,1-ի համար (η</w:t>
      </w:r>
      <w:r w:rsidRPr="00CF39EE">
        <w:rPr>
          <w:rFonts w:ascii="Sylfaen" w:hAnsi="Sylfaen"/>
          <w:sz w:val="24"/>
          <w:szCs w:val="24"/>
          <w:vertAlign w:val="subscript"/>
        </w:rPr>
        <w:t>OL</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արժեքից ոչ ցածր ՕԳԳ η.</w:t>
      </w:r>
    </w:p>
    <w:p w14:paraId="06EA1C56"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ա)</w:t>
      </w:r>
      <w:r w:rsidR="00ED3937" w:rsidRPr="003D2C38">
        <w:rPr>
          <w:rFonts w:ascii="Sylfaen" w:hAnsi="Sylfaen"/>
          <w:sz w:val="24"/>
          <w:szCs w:val="24"/>
        </w:rPr>
        <w:tab/>
      </w:r>
      <w:r w:rsidRPr="00CF39EE">
        <w:rPr>
          <w:rFonts w:ascii="Sylfaen" w:hAnsi="Sylfaen"/>
          <w:sz w:val="24"/>
          <w:szCs w:val="24"/>
        </w:rPr>
        <w:t>2023 թվականի սեպտեմբերի 1-ից՝</w:t>
      </w:r>
    </w:p>
    <w:p w14:paraId="5E4DB9A6"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սույն պահանջների 4-րդ կետին համապատասխան չափելիս օպտիմալ կետում (BEP) դեպքում C արժեքով MEI = 0,4-ի համար (η</w:t>
      </w:r>
      <w:r w:rsidRPr="00CF39EE">
        <w:rPr>
          <w:rFonts w:ascii="Sylfaen" w:hAnsi="Sylfaen"/>
          <w:sz w:val="24"/>
          <w:szCs w:val="24"/>
          <w:vertAlign w:val="subscript"/>
        </w:rPr>
        <w:t>вер</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արժեքից ոչ ցածր ՕԳԳ η.</w:t>
      </w:r>
    </w:p>
    <w:p w14:paraId="66D80E29"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սույն պահանջների 4-րդ կետին համապատասխան չափելիս մասնակի բեռնման (PL) դեպքում C արժեքով MEI = 0,4-ի համար (η</w:t>
      </w:r>
      <w:r w:rsidRPr="00CF39EE">
        <w:rPr>
          <w:rFonts w:ascii="Sylfaen" w:hAnsi="Sylfaen"/>
          <w:sz w:val="24"/>
          <w:szCs w:val="24"/>
          <w:vertAlign w:val="subscript"/>
        </w:rPr>
        <w:t>PL</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արժեքից ոչ ցածր ՕԳԳ η.</w:t>
      </w:r>
    </w:p>
    <w:p w14:paraId="09A43A93" w14:textId="77777777" w:rsidR="009338B9" w:rsidRPr="00CF39EE" w:rsidRDefault="009338B9" w:rsidP="009338B9">
      <w:pPr>
        <w:pStyle w:val="Bodytext20"/>
        <w:spacing w:after="160" w:line="360" w:lineRule="auto"/>
        <w:ind w:right="-8" w:firstLine="567"/>
        <w:jc w:val="both"/>
        <w:rPr>
          <w:rFonts w:ascii="Sylfaen" w:hAnsi="Sylfaen"/>
          <w:sz w:val="24"/>
          <w:szCs w:val="24"/>
          <w:vertAlign w:val="subscript"/>
        </w:rPr>
      </w:pPr>
      <w:r w:rsidRPr="00CF39EE">
        <w:rPr>
          <w:rFonts w:ascii="Sylfaen" w:hAnsi="Sylfaen"/>
          <w:sz w:val="24"/>
          <w:szCs w:val="24"/>
        </w:rPr>
        <w:t>սույն պահանջների 4-րդ կետին համապատասխան չափելիս գերբեռնվածքի (OL) դեպքում C արժեքով MEI = 0,4-ի համար (η</w:t>
      </w:r>
      <w:r w:rsidRPr="00CF39EE">
        <w:rPr>
          <w:rFonts w:ascii="Sylfaen" w:hAnsi="Sylfaen"/>
          <w:sz w:val="24"/>
          <w:szCs w:val="24"/>
          <w:vertAlign w:val="subscript"/>
        </w:rPr>
        <w:t>OL</w:t>
      </w:r>
      <w:r w:rsidRPr="00CF39EE">
        <w:rPr>
          <w:rFonts w:ascii="Sylfaen" w:hAnsi="Sylfaen"/>
          <w:sz w:val="24"/>
          <w:szCs w:val="24"/>
        </w:rPr>
        <w:t xml:space="preserve">) </w:t>
      </w:r>
      <w:r w:rsidRPr="00CF39EE">
        <w:rPr>
          <w:rFonts w:ascii="Sylfaen" w:hAnsi="Sylfaen"/>
          <w:sz w:val="24"/>
          <w:szCs w:val="24"/>
          <w:vertAlign w:val="subscript"/>
        </w:rPr>
        <w:t>min, requ</w:t>
      </w:r>
      <w:r w:rsidRPr="00CF39EE">
        <w:rPr>
          <w:rFonts w:ascii="Sylfaen" w:hAnsi="Sylfaen"/>
          <w:sz w:val="24"/>
          <w:szCs w:val="24"/>
        </w:rPr>
        <w:t xml:space="preserve"> արժեքից ոչ ցածր ՕԳԳ η.</w:t>
      </w:r>
    </w:p>
    <w:p w14:paraId="7C67E0A8"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6.</w:t>
      </w:r>
      <w:r w:rsidR="00ED3937" w:rsidRPr="00ED3937">
        <w:rPr>
          <w:rFonts w:ascii="Sylfaen" w:hAnsi="Sylfaen"/>
          <w:sz w:val="24"/>
          <w:szCs w:val="24"/>
        </w:rPr>
        <w:tab/>
      </w:r>
      <w:r w:rsidRPr="00CF39EE">
        <w:rPr>
          <w:rFonts w:ascii="Sylfaen" w:hAnsi="Sylfaen"/>
          <w:sz w:val="24"/>
          <w:szCs w:val="24"/>
        </w:rPr>
        <w:t>Ջրի պոմպերի մականշվածքը պետք է պարունակի դրանց բնութագրերի մասին հետ</w:t>
      </w:r>
      <w:r>
        <w:rPr>
          <w:rFonts w:ascii="Sylfaen" w:hAnsi="Sylfaen"/>
          <w:sz w:val="24"/>
          <w:szCs w:val="24"/>
        </w:rPr>
        <w:t>եւ</w:t>
      </w:r>
      <w:r w:rsidRPr="00CF39EE">
        <w:rPr>
          <w:rFonts w:ascii="Sylfaen" w:hAnsi="Sylfaen"/>
          <w:sz w:val="24"/>
          <w:szCs w:val="24"/>
        </w:rPr>
        <w:t>յալ տեղեկատվությունը՝</w:t>
      </w:r>
    </w:p>
    <w:p w14:paraId="38228345" w14:textId="77777777" w:rsidR="009338B9" w:rsidRPr="00CF39EE" w:rsidRDefault="009338B9" w:rsidP="00ED3937">
      <w:pPr>
        <w:pStyle w:val="Bodytext20"/>
        <w:spacing w:after="160" w:line="343" w:lineRule="auto"/>
        <w:ind w:right="-6" w:firstLine="567"/>
        <w:jc w:val="both"/>
        <w:rPr>
          <w:rFonts w:ascii="Sylfaen" w:hAnsi="Sylfaen"/>
          <w:sz w:val="24"/>
          <w:szCs w:val="24"/>
        </w:rPr>
      </w:pPr>
      <w:r w:rsidRPr="00CF39EE">
        <w:rPr>
          <w:rFonts w:ascii="Sylfaen" w:hAnsi="Sylfaen"/>
          <w:sz w:val="24"/>
          <w:szCs w:val="24"/>
        </w:rPr>
        <w:lastRenderedPageBreak/>
        <w:t>էներգաարդյունավետության նվազագույն ցուցիչը (MEI) հետ</w:t>
      </w:r>
      <w:r>
        <w:rPr>
          <w:rFonts w:ascii="Sylfaen" w:hAnsi="Sylfaen"/>
          <w:sz w:val="24"/>
          <w:szCs w:val="24"/>
        </w:rPr>
        <w:t>եւ</w:t>
      </w:r>
      <w:r w:rsidRPr="00CF39EE">
        <w:rPr>
          <w:rFonts w:ascii="Sylfaen" w:hAnsi="Sylfaen"/>
          <w:sz w:val="24"/>
          <w:szCs w:val="24"/>
        </w:rPr>
        <w:t>յալ գրառման ձ</w:t>
      </w:r>
      <w:r>
        <w:rPr>
          <w:rFonts w:ascii="Sylfaen" w:hAnsi="Sylfaen"/>
          <w:sz w:val="24"/>
          <w:szCs w:val="24"/>
        </w:rPr>
        <w:t>եւ</w:t>
      </w:r>
      <w:r w:rsidRPr="00CF39EE">
        <w:rPr>
          <w:rFonts w:ascii="Sylfaen" w:hAnsi="Sylfaen"/>
          <w:sz w:val="24"/>
          <w:szCs w:val="24"/>
        </w:rPr>
        <w:t>ով՝ «MEI &gt; [х,хх]».</w:t>
      </w:r>
    </w:p>
    <w:p w14:paraId="1F12B9D2" w14:textId="77777777" w:rsidR="009338B9" w:rsidRPr="00CF39EE" w:rsidRDefault="009338B9" w:rsidP="00ED3937">
      <w:pPr>
        <w:pStyle w:val="Bodytext20"/>
        <w:spacing w:after="160" w:line="343" w:lineRule="auto"/>
        <w:ind w:right="-6" w:firstLine="567"/>
        <w:jc w:val="both"/>
        <w:rPr>
          <w:rFonts w:ascii="Sylfaen" w:hAnsi="Sylfaen"/>
          <w:sz w:val="24"/>
          <w:szCs w:val="24"/>
        </w:rPr>
      </w:pPr>
      <w:r w:rsidRPr="00CF39EE">
        <w:rPr>
          <w:rFonts w:ascii="Sylfaen" w:hAnsi="Sylfaen"/>
          <w:sz w:val="24"/>
          <w:szCs w:val="24"/>
        </w:rPr>
        <w:t>ջրի հիդրավլիկ պոմպի ՕԳԳ-ն (տոկոսներով) բանող անիվի ճշգրտված տրամագծի դեպքում [хх,х]:</w:t>
      </w:r>
    </w:p>
    <w:p w14:paraId="2C6F7945" w14:textId="77777777" w:rsidR="009338B9" w:rsidRPr="00CF39EE" w:rsidRDefault="009338B9" w:rsidP="00ED3937">
      <w:pPr>
        <w:pStyle w:val="Bodytext20"/>
        <w:tabs>
          <w:tab w:val="left" w:pos="1134"/>
          <w:tab w:val="left" w:pos="1843"/>
        </w:tabs>
        <w:spacing w:after="160" w:line="343" w:lineRule="auto"/>
        <w:ind w:right="-6" w:firstLine="567"/>
        <w:jc w:val="both"/>
        <w:rPr>
          <w:rFonts w:ascii="Sylfaen" w:hAnsi="Sylfaen"/>
          <w:sz w:val="24"/>
          <w:szCs w:val="24"/>
        </w:rPr>
      </w:pPr>
      <w:r w:rsidRPr="00CF39EE">
        <w:rPr>
          <w:rFonts w:ascii="Sylfaen" w:hAnsi="Sylfaen"/>
          <w:sz w:val="24"/>
          <w:szCs w:val="24"/>
        </w:rPr>
        <w:t>7.</w:t>
      </w:r>
      <w:r w:rsidR="00ED3937" w:rsidRPr="00ED3937">
        <w:rPr>
          <w:rFonts w:ascii="Sylfaen" w:hAnsi="Sylfaen"/>
          <w:sz w:val="24"/>
          <w:szCs w:val="24"/>
        </w:rPr>
        <w:tab/>
      </w:r>
      <w:r w:rsidRPr="00CF39EE">
        <w:rPr>
          <w:rFonts w:ascii="Sylfaen" w:hAnsi="Sylfaen"/>
          <w:sz w:val="24"/>
          <w:szCs w:val="24"/>
        </w:rPr>
        <w:t>«Էներգասպառող սարքվածքների էներգետիկ արդյունավետությանը ներկայացվող պահանջների մասին» Միության տեխնիկական կանոնակարգի (ԵԱՏՄ ՏԿ</w:t>
      </w:r>
      <w:r w:rsidR="00ED3937" w:rsidRPr="00ED3937">
        <w:rPr>
          <w:rFonts w:ascii="Sylfaen" w:hAnsi="Sylfaen"/>
          <w:sz w:val="24"/>
          <w:szCs w:val="24"/>
        </w:rPr>
        <w:tab/>
      </w:r>
      <w:r>
        <w:rPr>
          <w:rFonts w:ascii="Sylfaen" w:hAnsi="Sylfaen"/>
          <w:sz w:val="24"/>
          <w:szCs w:val="24"/>
        </w:rPr>
        <w:t xml:space="preserve"> </w:t>
      </w:r>
      <w:r w:rsidRPr="00CF39EE">
        <w:rPr>
          <w:rFonts w:ascii="Sylfaen" w:hAnsi="Sylfaen"/>
          <w:sz w:val="24"/>
          <w:szCs w:val="24"/>
        </w:rPr>
        <w:t>/20</w:t>
      </w:r>
      <w:r w:rsidR="00ED3937" w:rsidRPr="00ED3937">
        <w:rPr>
          <w:rFonts w:ascii="Sylfaen" w:hAnsi="Sylfaen"/>
          <w:sz w:val="24"/>
          <w:szCs w:val="24"/>
        </w:rPr>
        <w:tab/>
      </w:r>
      <w:r w:rsidRPr="00CF39EE">
        <w:rPr>
          <w:rFonts w:ascii="Sylfaen" w:hAnsi="Sylfaen"/>
          <w:sz w:val="24"/>
          <w:szCs w:val="24"/>
        </w:rPr>
        <w:t>) (այսուհետ՝ տեխնիկական կանոնակարգ) 13-րդ կետով նախատեսված՝ ջրի պոմպերին կցվող շահագործման փաստաթղթերը պետք է պարունակեն սույն փաստաթղթի 6-րդ կետով նախատեսված տեղեկատվությունը, ինչպես նա</w:t>
      </w:r>
      <w:r>
        <w:rPr>
          <w:rFonts w:ascii="Sylfaen" w:hAnsi="Sylfaen"/>
          <w:sz w:val="24"/>
          <w:szCs w:val="24"/>
        </w:rPr>
        <w:t>եւ</w:t>
      </w:r>
      <w:r w:rsidRPr="00CF39EE">
        <w:rPr>
          <w:rFonts w:ascii="Sylfaen" w:hAnsi="Sylfaen"/>
          <w:sz w:val="24"/>
          <w:szCs w:val="24"/>
        </w:rPr>
        <w:t xml:space="preserve"> դրանց բնութագրերի </w:t>
      </w:r>
      <w:r>
        <w:rPr>
          <w:rFonts w:ascii="Sylfaen" w:hAnsi="Sylfaen"/>
          <w:sz w:val="24"/>
          <w:szCs w:val="24"/>
        </w:rPr>
        <w:t>եւ</w:t>
      </w:r>
      <w:r w:rsidRPr="00CF39EE">
        <w:rPr>
          <w:rFonts w:ascii="Sylfaen" w:hAnsi="Sylfaen"/>
          <w:sz w:val="24"/>
          <w:szCs w:val="24"/>
        </w:rPr>
        <w:t xml:space="preserve"> պարամետրերի մասին հետ</w:t>
      </w:r>
      <w:r>
        <w:rPr>
          <w:rFonts w:ascii="Sylfaen" w:hAnsi="Sylfaen"/>
          <w:sz w:val="24"/>
          <w:szCs w:val="24"/>
        </w:rPr>
        <w:t>եւ</w:t>
      </w:r>
      <w:r w:rsidRPr="00CF39EE">
        <w:rPr>
          <w:rFonts w:ascii="Sylfaen" w:hAnsi="Sylfaen"/>
          <w:sz w:val="24"/>
          <w:szCs w:val="24"/>
        </w:rPr>
        <w:t>յալ տեղեկությունները՝</w:t>
      </w:r>
    </w:p>
    <w:p w14:paraId="4B8C0696" w14:textId="77777777" w:rsidR="009338B9" w:rsidRPr="00CF39EE" w:rsidRDefault="009338B9" w:rsidP="00ED3937">
      <w:pPr>
        <w:pStyle w:val="Bodytext20"/>
        <w:spacing w:after="160" w:line="343" w:lineRule="auto"/>
        <w:ind w:right="-6" w:firstLine="567"/>
        <w:jc w:val="both"/>
        <w:rPr>
          <w:rFonts w:ascii="Sylfaen" w:hAnsi="Sylfaen"/>
          <w:sz w:val="24"/>
          <w:szCs w:val="24"/>
        </w:rPr>
      </w:pPr>
      <w:r w:rsidRPr="00CF39EE">
        <w:rPr>
          <w:rFonts w:ascii="Sylfaen" w:hAnsi="Sylfaen"/>
          <w:sz w:val="24"/>
          <w:szCs w:val="24"/>
        </w:rPr>
        <w:t>ստանդարտ տեքստ. «լավագույն ՕԳԳ-ով ջրի պոմպի MEI-ի չափանմուշային արժեքը &gt; 0,70» կամ «MEI-ի չափանմուշային արժեքը &gt; 0,70».</w:t>
      </w:r>
    </w:p>
    <w:p w14:paraId="55E57D03" w14:textId="77777777" w:rsidR="009338B9" w:rsidRPr="00CF39EE" w:rsidRDefault="009338B9" w:rsidP="00ED3937">
      <w:pPr>
        <w:pStyle w:val="Bodytext20"/>
        <w:spacing w:after="160" w:line="343" w:lineRule="auto"/>
        <w:ind w:right="-6" w:firstLine="567"/>
        <w:jc w:val="both"/>
        <w:rPr>
          <w:rFonts w:ascii="Sylfaen" w:hAnsi="Sylfaen"/>
          <w:sz w:val="24"/>
          <w:szCs w:val="24"/>
        </w:rPr>
      </w:pPr>
      <w:r w:rsidRPr="00CF39EE">
        <w:rPr>
          <w:rFonts w:ascii="Sylfaen" w:hAnsi="Sylfaen"/>
          <w:sz w:val="24"/>
          <w:szCs w:val="24"/>
        </w:rPr>
        <w:t>պոմպի աշխատանքային բնութագրերը, այդ թվում՝ էներգետիկ արդյունավետության բնութագրերը.</w:t>
      </w:r>
    </w:p>
    <w:p w14:paraId="5FF9B1BB" w14:textId="77777777" w:rsidR="009338B9" w:rsidRPr="00CF39EE" w:rsidRDefault="009338B9" w:rsidP="00ED3937">
      <w:pPr>
        <w:pStyle w:val="Bodytext20"/>
        <w:spacing w:after="160" w:line="343" w:lineRule="auto"/>
        <w:ind w:right="-6" w:firstLine="567"/>
        <w:jc w:val="both"/>
        <w:rPr>
          <w:rFonts w:ascii="Sylfaen" w:hAnsi="Sylfaen"/>
          <w:sz w:val="24"/>
          <w:szCs w:val="24"/>
        </w:rPr>
      </w:pPr>
      <w:r w:rsidRPr="00CF39EE">
        <w:rPr>
          <w:rFonts w:ascii="Sylfaen" w:hAnsi="Sylfaen"/>
          <w:sz w:val="24"/>
          <w:szCs w:val="24"/>
        </w:rPr>
        <w:t xml:space="preserve">պոմպի քանդմանը, կրկնակի օգտագործմանը </w:t>
      </w:r>
      <w:r>
        <w:rPr>
          <w:rFonts w:ascii="Sylfaen" w:hAnsi="Sylfaen"/>
          <w:sz w:val="24"/>
          <w:szCs w:val="24"/>
        </w:rPr>
        <w:t>եւ</w:t>
      </w:r>
      <w:r w:rsidRPr="00CF39EE">
        <w:rPr>
          <w:rFonts w:ascii="Sylfaen" w:hAnsi="Sylfaen"/>
          <w:sz w:val="24"/>
          <w:szCs w:val="24"/>
        </w:rPr>
        <w:t xml:space="preserve"> օգտահանմանը վերաբերող տեղեկատվությունը.</w:t>
      </w:r>
    </w:p>
    <w:p w14:paraId="09244461" w14:textId="77777777" w:rsidR="009338B9" w:rsidRPr="00CF39EE" w:rsidRDefault="009338B9" w:rsidP="00ED3937">
      <w:pPr>
        <w:pStyle w:val="Bodytext20"/>
        <w:spacing w:after="160" w:line="343" w:lineRule="auto"/>
        <w:ind w:right="-6" w:firstLine="567"/>
        <w:jc w:val="both"/>
        <w:rPr>
          <w:rFonts w:ascii="Sylfaen" w:hAnsi="Sylfaen"/>
          <w:sz w:val="24"/>
          <w:szCs w:val="24"/>
        </w:rPr>
      </w:pPr>
      <w:r w:rsidRPr="00CF39EE">
        <w:rPr>
          <w:rFonts w:ascii="Sylfaen" w:hAnsi="Sylfaen"/>
          <w:sz w:val="24"/>
          <w:szCs w:val="24"/>
        </w:rPr>
        <w:t>ստանդարտ տեքստ. «Ճշգրտված բանող անիվով պոմպի էներգետիկ արդյունավետությունը սովորաբար ցածր է, քան բանող անիվի լրիվ տրամագծով ստանդարտ պոմպի էներգետիկ արդյունավետությունը: Բանող անիվի ճշտման (ձ</w:t>
      </w:r>
      <w:r>
        <w:rPr>
          <w:rFonts w:ascii="Sylfaen" w:hAnsi="Sylfaen"/>
          <w:sz w:val="24"/>
          <w:szCs w:val="24"/>
        </w:rPr>
        <w:t>եւ</w:t>
      </w:r>
      <w:r w:rsidRPr="00CF39EE">
        <w:rPr>
          <w:rFonts w:ascii="Sylfaen" w:hAnsi="Sylfaen"/>
          <w:sz w:val="24"/>
          <w:szCs w:val="24"/>
        </w:rPr>
        <w:t>աճշտման) միջոցով պոմպը հարմարեցված է տրված բանող կետում ցածր էներգասպառմամբ աշխատելու համար: Էներգաարդյունավետության նվազագույն ցուցիչը (MEI) վերաբերում է բանող անիվի լրիվ տրամագծին».</w:t>
      </w:r>
    </w:p>
    <w:p w14:paraId="4F5FF0DD" w14:textId="77777777" w:rsidR="009338B9" w:rsidRPr="00ED3937" w:rsidRDefault="009338B9" w:rsidP="00ED3937">
      <w:pPr>
        <w:pStyle w:val="Bodytext20"/>
        <w:spacing w:after="160" w:line="343" w:lineRule="auto"/>
        <w:ind w:right="-6" w:firstLine="567"/>
        <w:jc w:val="both"/>
        <w:rPr>
          <w:rFonts w:ascii="Sylfaen" w:hAnsi="Sylfaen"/>
          <w:spacing w:val="-6"/>
          <w:sz w:val="24"/>
          <w:szCs w:val="24"/>
        </w:rPr>
      </w:pPr>
      <w:r w:rsidRPr="00ED3937">
        <w:rPr>
          <w:rFonts w:ascii="Sylfaen" w:hAnsi="Sylfaen"/>
          <w:spacing w:val="-6"/>
          <w:sz w:val="24"/>
          <w:szCs w:val="24"/>
        </w:rPr>
        <w:t>ստանդարտ տեքստ. «Տվյալ ջրի պոմպի գործողությունը աշխատանքի տարբեր պահերին կարող է արդյունավետ եւ տնտեսող լինել, եթե այն վերահսկվում է, օրինակ՝ պոմպի արագությունը համակարգում կարգավորելու միջոցով».</w:t>
      </w:r>
    </w:p>
    <w:p w14:paraId="2EA82DE5"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ստանդարտ տեքստ՝ միայն մինուս 10° С-ից ցածր ջերմաստիճանի պայմաններում մաքուր ջրի վերամղման համար հատուկ նախատեսված պոմպերի </w:t>
      </w:r>
      <w:r w:rsidRPr="00CF39EE">
        <w:rPr>
          <w:rFonts w:ascii="Sylfaen" w:hAnsi="Sylfaen"/>
          <w:sz w:val="24"/>
          <w:szCs w:val="24"/>
        </w:rPr>
        <w:lastRenderedPageBreak/>
        <w:t>համար. «Միայն մինուս 10° С-ից ցածր ջերմաստիճանի պայմաններում օգտագործելու համար».</w:t>
      </w:r>
    </w:p>
    <w:p w14:paraId="04F57B58"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ստանդարտ տեքստ՝ միայն 120° С-ից բարձր ջերմաստիճանի պայմաններում մաքուր ջրի վերամղման համար հատուկ նախատեսված պոմպերի համար. «Միայն 120° С-ից բարձր ջերմաստիճանի պայմաններում օգտագործելու համար».</w:t>
      </w:r>
    </w:p>
    <w:p w14:paraId="58898794"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եթե պոմպը նախատեսված է մինուս 10° С-ից ցածր կամ 120° С-ից բարձր ջերմաստիճանի պայմաններում մաքուր ջրի վերամղման համար, ապա պետք է նշված լինեն համապատասխան տեխնիկական պարամետրերը </w:t>
      </w:r>
      <w:r>
        <w:rPr>
          <w:rFonts w:ascii="Sylfaen" w:hAnsi="Sylfaen"/>
          <w:sz w:val="24"/>
          <w:szCs w:val="24"/>
        </w:rPr>
        <w:t>եւ</w:t>
      </w:r>
      <w:r w:rsidRPr="00CF39EE">
        <w:rPr>
          <w:rFonts w:ascii="Sylfaen" w:hAnsi="Sylfaen"/>
          <w:sz w:val="24"/>
          <w:szCs w:val="24"/>
        </w:rPr>
        <w:t xml:space="preserve"> բնութագրերը:</w:t>
      </w:r>
    </w:p>
    <w:p w14:paraId="2F2323D7" w14:textId="77777777" w:rsidR="009338B9" w:rsidRPr="00CF39EE" w:rsidRDefault="009338B9" w:rsidP="009338B9">
      <w:pPr>
        <w:pStyle w:val="Bodytext20"/>
        <w:spacing w:after="160" w:line="360" w:lineRule="auto"/>
        <w:ind w:left="160" w:firstLine="720"/>
        <w:jc w:val="both"/>
        <w:rPr>
          <w:rFonts w:ascii="Sylfaen" w:hAnsi="Sylfaen"/>
          <w:sz w:val="24"/>
          <w:szCs w:val="24"/>
        </w:rPr>
      </w:pPr>
    </w:p>
    <w:p w14:paraId="7222B83C" w14:textId="77777777" w:rsidR="009338B9" w:rsidRPr="00CF39EE" w:rsidRDefault="009338B9" w:rsidP="00ED3937">
      <w:pPr>
        <w:pStyle w:val="Bodytext20"/>
        <w:spacing w:after="160" w:line="360" w:lineRule="auto"/>
        <w:ind w:left="567" w:right="559"/>
        <w:rPr>
          <w:rFonts w:ascii="Sylfaen" w:hAnsi="Sylfaen"/>
          <w:sz w:val="24"/>
          <w:szCs w:val="24"/>
        </w:rPr>
      </w:pPr>
      <w:r w:rsidRPr="00CF39EE">
        <w:rPr>
          <w:rFonts w:ascii="Sylfaen" w:hAnsi="Sylfaen"/>
          <w:sz w:val="24"/>
          <w:szCs w:val="24"/>
        </w:rPr>
        <w:t>IV. Ջրի պոմպերի էներգետիկ արդյունավետության պարամետրերի թույլատրելի շեղումները դրանք շրջանառության մեջ դնելուց հետո փորձարկումներ (չափումներ) անցկացնելիս</w:t>
      </w:r>
    </w:p>
    <w:p w14:paraId="3902BA6D" w14:textId="77777777" w:rsidR="009338B9" w:rsidRPr="00ED3937" w:rsidRDefault="009338B9" w:rsidP="00ED3937">
      <w:pPr>
        <w:pStyle w:val="Bodytext20"/>
        <w:tabs>
          <w:tab w:val="left" w:pos="1134"/>
        </w:tabs>
        <w:spacing w:after="160" w:line="360" w:lineRule="auto"/>
        <w:ind w:firstLine="567"/>
        <w:jc w:val="both"/>
        <w:rPr>
          <w:rFonts w:ascii="Sylfaen" w:hAnsi="Sylfaen"/>
          <w:spacing w:val="-6"/>
          <w:sz w:val="24"/>
          <w:szCs w:val="24"/>
        </w:rPr>
      </w:pPr>
      <w:r w:rsidRPr="00CF39EE">
        <w:rPr>
          <w:rFonts w:ascii="Sylfaen" w:hAnsi="Sylfaen"/>
          <w:sz w:val="24"/>
          <w:szCs w:val="24"/>
        </w:rPr>
        <w:t>8.</w:t>
      </w:r>
      <w:r w:rsidR="00ED3937" w:rsidRPr="00ED3937">
        <w:rPr>
          <w:rFonts w:ascii="Sylfaen" w:hAnsi="Sylfaen"/>
          <w:sz w:val="24"/>
          <w:szCs w:val="24"/>
        </w:rPr>
        <w:tab/>
      </w:r>
      <w:r w:rsidRPr="00CF39EE">
        <w:rPr>
          <w:rFonts w:ascii="Sylfaen" w:hAnsi="Sylfaen"/>
          <w:sz w:val="24"/>
          <w:szCs w:val="24"/>
        </w:rPr>
        <w:t xml:space="preserve">Ջրի պոմպերի՝ շրջանառության մեջ դնելուց հետո փորձարկումները </w:t>
      </w:r>
      <w:r w:rsidRPr="00ED3937">
        <w:rPr>
          <w:rFonts w:ascii="Sylfaen" w:hAnsi="Sylfaen"/>
          <w:spacing w:val="-6"/>
          <w:sz w:val="24"/>
          <w:szCs w:val="24"/>
        </w:rPr>
        <w:t>(չափումները) անցկացնելիս պետք է փորձարկվի յուրաքանչյուր մոդելի ջրի պոմպի 1 տիպային օրինակ։ Ջրի պոմպի մոդելը համարվում է սույն փաստաթղթի պահանջներին համապատասխանող, եթե թերբեռնման եւ գերբեռնման դեպքում օպտիմալ կետում չափված ջրի պոմպի էներգետիկ արդյունավետությունը (η</w:t>
      </w:r>
      <w:r w:rsidRPr="00ED3937">
        <w:rPr>
          <w:rFonts w:ascii="Sylfaen" w:hAnsi="Sylfaen"/>
          <w:spacing w:val="-6"/>
          <w:sz w:val="24"/>
          <w:szCs w:val="24"/>
          <w:vertAlign w:val="subscript"/>
        </w:rPr>
        <w:t>ВЕР</w:t>
      </w:r>
      <w:r w:rsidRPr="00ED3937">
        <w:rPr>
          <w:rFonts w:ascii="Sylfaen" w:hAnsi="Sylfaen"/>
          <w:spacing w:val="-6"/>
          <w:sz w:val="24"/>
          <w:szCs w:val="24"/>
        </w:rPr>
        <w:t xml:space="preserve"> , η</w:t>
      </w:r>
      <w:r w:rsidRPr="00ED3937">
        <w:rPr>
          <w:rFonts w:ascii="Sylfaen" w:hAnsi="Sylfaen"/>
          <w:spacing w:val="-6"/>
          <w:sz w:val="24"/>
          <w:szCs w:val="24"/>
          <w:vertAlign w:val="subscript"/>
        </w:rPr>
        <w:t>PL</w:t>
      </w:r>
      <w:r w:rsidRPr="00ED3937">
        <w:rPr>
          <w:rFonts w:ascii="Sylfaen" w:hAnsi="Sylfaen"/>
          <w:spacing w:val="-6"/>
          <w:sz w:val="24"/>
          <w:szCs w:val="24"/>
        </w:rPr>
        <w:t xml:space="preserve"> եւ η</w:t>
      </w:r>
      <w:r w:rsidRPr="00ED3937">
        <w:rPr>
          <w:rFonts w:ascii="Sylfaen" w:hAnsi="Sylfaen"/>
          <w:spacing w:val="-6"/>
          <w:sz w:val="24"/>
          <w:szCs w:val="24"/>
          <w:vertAlign w:val="subscript"/>
        </w:rPr>
        <w:t>OL</w:t>
      </w:r>
      <w:r w:rsidRPr="00ED3937">
        <w:rPr>
          <w:rFonts w:ascii="Sylfaen" w:hAnsi="Sylfaen"/>
          <w:spacing w:val="-6"/>
          <w:sz w:val="24"/>
          <w:szCs w:val="24"/>
        </w:rPr>
        <w:t>) սույն պահանջների 5-րդ կետում նշված արժեքներից ավելի, քան 5%-ով ցածր չէ:</w:t>
      </w:r>
    </w:p>
    <w:p w14:paraId="38B6BF57"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 xml:space="preserve">Եթե ջրի պոմպի մոդելը համարվում է սույն կետի առաջին պարբերությունում նշված՝ սույն պահանջներին չհամապատասխանող, ապա ստուգվում է ջրի պոմպի </w:t>
      </w:r>
      <w:r>
        <w:rPr>
          <w:rFonts w:ascii="Sylfaen" w:hAnsi="Sylfaen"/>
          <w:sz w:val="24"/>
          <w:szCs w:val="24"/>
        </w:rPr>
        <w:t>եւ</w:t>
      </w:r>
      <w:r w:rsidRPr="00CF39EE">
        <w:rPr>
          <w:rFonts w:ascii="Sylfaen" w:hAnsi="Sylfaen"/>
          <w:sz w:val="24"/>
          <w:szCs w:val="24"/>
        </w:rPr>
        <w:t>ս երեք օրինակ: Ջրի պոմպի մոդելը համարվում է սույն պահանջներին համապատասխանող, եթե այդ 3 նմուշների փորձարկումների (չափումների) η</w:t>
      </w:r>
      <w:r w:rsidRPr="00CF39EE">
        <w:rPr>
          <w:rFonts w:ascii="Sylfaen" w:hAnsi="Sylfaen"/>
          <w:sz w:val="24"/>
          <w:szCs w:val="24"/>
          <w:vertAlign w:val="subscript"/>
        </w:rPr>
        <w:t>ВЕР</w:t>
      </w:r>
      <w:r w:rsidRPr="00CF39EE">
        <w:rPr>
          <w:rFonts w:ascii="Sylfaen" w:hAnsi="Sylfaen"/>
          <w:sz w:val="24"/>
          <w:szCs w:val="24"/>
        </w:rPr>
        <w:t>, η</w:t>
      </w:r>
      <w:r w:rsidRPr="00CF39EE">
        <w:rPr>
          <w:rFonts w:ascii="Sylfaen" w:hAnsi="Sylfaen"/>
          <w:sz w:val="24"/>
          <w:szCs w:val="24"/>
          <w:vertAlign w:val="subscript"/>
        </w:rPr>
        <w:t xml:space="preserve">PL </w:t>
      </w:r>
      <w:r>
        <w:rPr>
          <w:rFonts w:ascii="Sylfaen" w:hAnsi="Sylfaen"/>
          <w:sz w:val="24"/>
          <w:szCs w:val="24"/>
        </w:rPr>
        <w:t>եւ</w:t>
      </w:r>
      <w:r w:rsidRPr="00CF39EE">
        <w:rPr>
          <w:rFonts w:ascii="Sylfaen" w:hAnsi="Sylfaen"/>
          <w:sz w:val="24"/>
          <w:szCs w:val="24"/>
        </w:rPr>
        <w:t xml:space="preserve"> η</w:t>
      </w:r>
      <w:r w:rsidRPr="00CF39EE">
        <w:rPr>
          <w:rFonts w:ascii="Sylfaen" w:hAnsi="Sylfaen"/>
          <w:sz w:val="24"/>
          <w:szCs w:val="24"/>
          <w:vertAlign w:val="subscript"/>
        </w:rPr>
        <w:t>OL</w:t>
      </w:r>
      <w:r w:rsidRPr="00CF39EE">
        <w:rPr>
          <w:rFonts w:ascii="Sylfaen" w:hAnsi="Sylfaen"/>
          <w:sz w:val="24"/>
          <w:szCs w:val="24"/>
        </w:rPr>
        <w:t xml:space="preserve"> արդյունքների միջին արժեքը սույն կետի առաջին պարբերությունում նշված արժեքներից ցածր չէ:</w:t>
      </w:r>
    </w:p>
    <w:p w14:paraId="55D73AFB" w14:textId="77777777" w:rsidR="00ED3937" w:rsidRPr="003D2C38" w:rsidRDefault="009338B9" w:rsidP="009338B9">
      <w:pPr>
        <w:pStyle w:val="Bodytext20"/>
        <w:spacing w:after="160" w:line="360" w:lineRule="auto"/>
        <w:ind w:right="200" w:firstLine="567"/>
        <w:jc w:val="both"/>
        <w:rPr>
          <w:rFonts w:ascii="Sylfaen" w:hAnsi="Sylfaen"/>
          <w:sz w:val="24"/>
          <w:szCs w:val="24"/>
        </w:rPr>
      </w:pPr>
      <w:r w:rsidRPr="00CF39EE">
        <w:rPr>
          <w:rFonts w:ascii="Sylfaen" w:hAnsi="Sylfaen"/>
          <w:sz w:val="24"/>
          <w:szCs w:val="24"/>
        </w:rPr>
        <w:t>Այլ դեպքերում ջրի պոմպի տվյալ մոդելը հարկ է դիտարկել որպես տեխնիկական կանոնակարգի պահանջներին չհամապատասխանող։</w:t>
      </w:r>
    </w:p>
    <w:p w14:paraId="3CFE88E0" w14:textId="77777777" w:rsidR="00ED3937" w:rsidRPr="003D2C38" w:rsidRDefault="00ED3937" w:rsidP="00ED3937">
      <w:pPr>
        <w:pStyle w:val="Bodytext20"/>
        <w:spacing w:after="160" w:line="360" w:lineRule="auto"/>
        <w:ind w:right="200"/>
        <w:rPr>
          <w:rFonts w:ascii="Sylfaen" w:hAnsi="Sylfaen"/>
          <w:sz w:val="24"/>
          <w:szCs w:val="24"/>
        </w:rPr>
      </w:pPr>
      <w:r w:rsidRPr="003D2C38">
        <w:rPr>
          <w:rFonts w:ascii="Sylfaen" w:hAnsi="Sylfaen"/>
          <w:sz w:val="24"/>
          <w:szCs w:val="24"/>
        </w:rPr>
        <w:t>________________</w:t>
      </w:r>
    </w:p>
    <w:p w14:paraId="0BD5BD1D" w14:textId="77777777" w:rsidR="00ED3937" w:rsidRPr="003D2C38" w:rsidRDefault="00ED3937" w:rsidP="00ED3937">
      <w:pPr>
        <w:pStyle w:val="Bodytext20"/>
        <w:spacing w:after="160" w:line="360" w:lineRule="auto"/>
        <w:ind w:right="200"/>
        <w:rPr>
          <w:rFonts w:ascii="Sylfaen" w:hAnsi="Sylfaen"/>
          <w:sz w:val="24"/>
          <w:szCs w:val="24"/>
        </w:rPr>
        <w:sectPr w:rsidR="00ED3937" w:rsidRPr="003D2C38" w:rsidSect="003C5DE2">
          <w:pgSz w:w="11900" w:h="16840" w:code="9"/>
          <w:pgMar w:top="1418" w:right="1418" w:bottom="1418" w:left="1418" w:header="0" w:footer="539" w:gutter="0"/>
          <w:pgNumType w:start="1"/>
          <w:cols w:space="720"/>
          <w:noEndnote/>
          <w:titlePg/>
          <w:docGrid w:linePitch="360"/>
        </w:sectPr>
      </w:pPr>
    </w:p>
    <w:p w14:paraId="21C4BCCE" w14:textId="77777777" w:rsidR="009338B9" w:rsidRPr="00CF39EE" w:rsidRDefault="009338B9" w:rsidP="00ED3937">
      <w:pPr>
        <w:pStyle w:val="Bodytext20"/>
        <w:spacing w:after="160" w:line="360" w:lineRule="auto"/>
        <w:ind w:left="3969" w:right="-8"/>
        <w:rPr>
          <w:rFonts w:ascii="Sylfaen" w:hAnsi="Sylfaen"/>
          <w:sz w:val="24"/>
          <w:szCs w:val="24"/>
        </w:rPr>
      </w:pPr>
      <w:r w:rsidRPr="00CF39EE">
        <w:rPr>
          <w:rFonts w:ascii="Sylfaen" w:hAnsi="Sylfaen"/>
          <w:sz w:val="24"/>
          <w:szCs w:val="24"/>
        </w:rPr>
        <w:lastRenderedPageBreak/>
        <w:t>ՀԱՎԵԼՎԱԾ ԹԻՎ 19</w:t>
      </w:r>
    </w:p>
    <w:p w14:paraId="138BF851" w14:textId="77777777" w:rsidR="009338B9" w:rsidRPr="00CF39EE" w:rsidRDefault="009338B9" w:rsidP="00ED3937">
      <w:pPr>
        <w:pStyle w:val="Bodytext20"/>
        <w:spacing w:after="160" w:line="360" w:lineRule="auto"/>
        <w:ind w:left="3969" w:right="-6"/>
        <w:rPr>
          <w:rFonts w:ascii="Sylfaen" w:hAnsi="Sylfaen"/>
          <w:sz w:val="24"/>
          <w:szCs w:val="24"/>
        </w:rPr>
      </w:pPr>
      <w:r w:rsidRPr="00CF39EE">
        <w:rPr>
          <w:rFonts w:ascii="Sylfaen" w:hAnsi="Sylfaen"/>
          <w:sz w:val="24"/>
          <w:szCs w:val="24"/>
        </w:rPr>
        <w:t xml:space="preserve">«Էներգասպառող սարքվածքների </w:t>
      </w:r>
      <w:r w:rsidR="00ED3937" w:rsidRPr="00ED3937">
        <w:rPr>
          <w:rFonts w:ascii="Sylfaen" w:hAnsi="Sylfaen"/>
          <w:sz w:val="24"/>
          <w:szCs w:val="24"/>
        </w:rPr>
        <w:br/>
      </w:r>
      <w:r w:rsidRPr="00CF39EE">
        <w:rPr>
          <w:rFonts w:ascii="Sylfaen" w:hAnsi="Sylfaen"/>
          <w:sz w:val="24"/>
          <w:szCs w:val="24"/>
        </w:rPr>
        <w:t xml:space="preserve">էներգետիկ արդյունավետությանը ներկայացվող պահանջների մասին» Եվրասիական տնտեսական միության տեխնիկական կանոնակարգի </w:t>
      </w:r>
      <w:r w:rsidR="00ED3937" w:rsidRPr="00ED3937">
        <w:rPr>
          <w:rFonts w:ascii="Sylfaen" w:hAnsi="Sylfaen"/>
          <w:sz w:val="24"/>
          <w:szCs w:val="24"/>
        </w:rPr>
        <w:br/>
      </w:r>
      <w:r w:rsidRPr="00CF39EE">
        <w:rPr>
          <w:rFonts w:ascii="Sylfaen" w:hAnsi="Sylfaen"/>
          <w:sz w:val="24"/>
          <w:szCs w:val="24"/>
        </w:rPr>
        <w:t>(ԵԱՏՄ ՏԿ</w:t>
      </w:r>
      <w:r w:rsidR="00ED3937" w:rsidRPr="00ED3937">
        <w:rPr>
          <w:rFonts w:ascii="Sylfaen" w:hAnsi="Sylfaen"/>
          <w:sz w:val="24"/>
          <w:szCs w:val="24"/>
        </w:rPr>
        <w:tab/>
      </w:r>
      <w:r w:rsidRPr="00CF39EE">
        <w:rPr>
          <w:rFonts w:ascii="Sylfaen" w:hAnsi="Sylfaen"/>
          <w:sz w:val="24"/>
          <w:szCs w:val="24"/>
        </w:rPr>
        <w:t>/20</w:t>
      </w:r>
      <w:r w:rsidR="00ED3937" w:rsidRPr="00ED3937">
        <w:rPr>
          <w:rFonts w:ascii="Sylfaen" w:hAnsi="Sylfaen"/>
          <w:sz w:val="24"/>
          <w:szCs w:val="24"/>
        </w:rPr>
        <w:tab/>
      </w:r>
      <w:r w:rsidRPr="00CF39EE">
        <w:rPr>
          <w:rFonts w:ascii="Sylfaen" w:hAnsi="Sylfaen"/>
          <w:sz w:val="24"/>
          <w:szCs w:val="24"/>
        </w:rPr>
        <w:t>)</w:t>
      </w:r>
    </w:p>
    <w:p w14:paraId="7BC1E7DB" w14:textId="77777777" w:rsidR="009338B9" w:rsidRPr="00CF39EE" w:rsidRDefault="009338B9" w:rsidP="009338B9">
      <w:pPr>
        <w:pStyle w:val="Bodytext20"/>
        <w:spacing w:after="160" w:line="360" w:lineRule="auto"/>
        <w:ind w:left="4536" w:right="-6"/>
        <w:rPr>
          <w:rFonts w:ascii="Sylfaen" w:hAnsi="Sylfaen"/>
          <w:sz w:val="24"/>
          <w:szCs w:val="24"/>
        </w:rPr>
      </w:pPr>
    </w:p>
    <w:p w14:paraId="58E8B1BF" w14:textId="77777777" w:rsidR="009338B9" w:rsidRPr="00ED3937" w:rsidRDefault="009338B9" w:rsidP="00ED3937">
      <w:pPr>
        <w:pStyle w:val="Bodytext30"/>
        <w:spacing w:after="160" w:line="360" w:lineRule="auto"/>
        <w:ind w:left="567" w:right="559"/>
        <w:rPr>
          <w:rStyle w:val="Bodytext3Spacing2pt"/>
          <w:rFonts w:ascii="Sylfaen" w:hAnsi="Sylfaen"/>
          <w:bCs w:val="0"/>
          <w:i w:val="0"/>
          <w:sz w:val="24"/>
          <w:szCs w:val="24"/>
        </w:rPr>
      </w:pPr>
      <w:r w:rsidRPr="00ED3937">
        <w:rPr>
          <w:rStyle w:val="Bodytext3Spacing2pt"/>
          <w:rFonts w:ascii="Sylfaen" w:hAnsi="Sylfaen"/>
          <w:i w:val="0"/>
          <w:sz w:val="24"/>
          <w:szCs w:val="24"/>
        </w:rPr>
        <w:t>ՊԱՀԱՆՋՆԵՐ</w:t>
      </w:r>
    </w:p>
    <w:p w14:paraId="71F7C985" w14:textId="77777777" w:rsidR="009338B9" w:rsidRPr="003D2C38" w:rsidRDefault="009338B9" w:rsidP="00ED3937">
      <w:pPr>
        <w:pStyle w:val="Bodytext30"/>
        <w:spacing w:after="160" w:line="360" w:lineRule="auto"/>
        <w:ind w:left="567" w:right="559"/>
        <w:rPr>
          <w:rFonts w:ascii="Sylfaen" w:hAnsi="Sylfaen"/>
          <w:b/>
          <w:i w:val="0"/>
        </w:rPr>
      </w:pPr>
      <w:r w:rsidRPr="00ED3937">
        <w:rPr>
          <w:rFonts w:ascii="Sylfaen" w:hAnsi="Sylfaen"/>
          <w:b/>
          <w:i w:val="0"/>
        </w:rPr>
        <w:t>օդորակիչների եւ սենյակի օդափոխիչների էներգետիկ արդյունավետությանը ներկայացվող</w:t>
      </w:r>
    </w:p>
    <w:p w14:paraId="49FAEB0D" w14:textId="77777777" w:rsidR="00ED3937" w:rsidRPr="003D2C38" w:rsidRDefault="00ED3937" w:rsidP="00ED3937">
      <w:pPr>
        <w:pStyle w:val="Bodytext30"/>
        <w:spacing w:after="160" w:line="360" w:lineRule="auto"/>
        <w:ind w:left="567" w:right="559"/>
        <w:rPr>
          <w:rFonts w:ascii="Sylfaen" w:hAnsi="Sylfaen"/>
          <w:b/>
          <w:i w:val="0"/>
        </w:rPr>
      </w:pPr>
    </w:p>
    <w:p w14:paraId="3A1835C1" w14:textId="77777777" w:rsidR="009338B9" w:rsidRPr="00CF39EE" w:rsidRDefault="009338B9" w:rsidP="009338B9">
      <w:pPr>
        <w:pStyle w:val="Bodytext20"/>
        <w:spacing w:after="160" w:line="360" w:lineRule="auto"/>
        <w:ind w:left="40"/>
        <w:rPr>
          <w:rFonts w:ascii="Sylfaen" w:hAnsi="Sylfaen"/>
          <w:sz w:val="24"/>
          <w:szCs w:val="24"/>
        </w:rPr>
      </w:pPr>
      <w:r w:rsidRPr="00CF39EE">
        <w:rPr>
          <w:rFonts w:ascii="Sylfaen" w:hAnsi="Sylfaen"/>
          <w:sz w:val="24"/>
          <w:szCs w:val="24"/>
        </w:rPr>
        <w:t>I. Կիրառման ոլորտը</w:t>
      </w:r>
    </w:p>
    <w:p w14:paraId="4DD2F365"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1.</w:t>
      </w:r>
      <w:r w:rsidR="00ED3937" w:rsidRPr="003D2C38">
        <w:rPr>
          <w:rFonts w:ascii="Sylfaen" w:hAnsi="Sylfaen"/>
          <w:sz w:val="24"/>
          <w:szCs w:val="24"/>
        </w:rPr>
        <w:tab/>
      </w:r>
      <w:r w:rsidRPr="00CF39EE">
        <w:rPr>
          <w:rFonts w:ascii="Sylfaen" w:hAnsi="Sylfaen"/>
          <w:sz w:val="24"/>
          <w:szCs w:val="24"/>
        </w:rPr>
        <w:t xml:space="preserve">Սույն պահանջները տարածվում են Եվրասիական տնտեսական միության (այսուհետ՝ Միություն) մաքսային տարածքում շրջանառության մեջ դրվող՝ էլեկտրական ցանցից սնվող 12 կՎտ-ից ոչ ավելի հովացման </w:t>
      </w:r>
      <w:r>
        <w:rPr>
          <w:rFonts w:ascii="Sylfaen" w:hAnsi="Sylfaen"/>
          <w:sz w:val="24"/>
          <w:szCs w:val="24"/>
        </w:rPr>
        <w:t>եւ</w:t>
      </w:r>
      <w:r w:rsidRPr="00CF39EE">
        <w:rPr>
          <w:rFonts w:ascii="Sylfaen" w:hAnsi="Sylfaen"/>
          <w:sz w:val="24"/>
          <w:szCs w:val="24"/>
        </w:rPr>
        <w:t xml:space="preserve"> (կամ) տաքացման անվանական հզորությամբ օդորակիչների (այսուհետ՝ օդորակիչներ) վրա, ինչպես նա</w:t>
      </w:r>
      <w:r>
        <w:rPr>
          <w:rFonts w:ascii="Sylfaen" w:hAnsi="Sylfaen"/>
          <w:sz w:val="24"/>
          <w:szCs w:val="24"/>
        </w:rPr>
        <w:t>եւ</w:t>
      </w:r>
      <w:r w:rsidRPr="00CF39EE">
        <w:rPr>
          <w:rFonts w:ascii="Sylfaen" w:hAnsi="Sylfaen"/>
          <w:sz w:val="24"/>
          <w:szCs w:val="24"/>
        </w:rPr>
        <w:t xml:space="preserve"> 125 Վտ-ից ոչ ավելի անվանական սպառվող հզորությամբ սենյակի օդափոխիչների (օդափոխիչներ) վրա` բացառությամբ</w:t>
      </w:r>
    </w:p>
    <w:p w14:paraId="30D05211"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ա)</w:t>
      </w:r>
      <w:r w:rsidR="00ED3937" w:rsidRPr="00ED3937">
        <w:rPr>
          <w:rFonts w:ascii="Sylfaen" w:hAnsi="Sylfaen"/>
          <w:sz w:val="24"/>
          <w:szCs w:val="24"/>
        </w:rPr>
        <w:tab/>
      </w:r>
      <w:r w:rsidRPr="00CF39EE">
        <w:rPr>
          <w:rFonts w:ascii="Sylfaen" w:hAnsi="Sylfaen"/>
          <w:sz w:val="24"/>
          <w:szCs w:val="24"/>
        </w:rPr>
        <w:t xml:space="preserve">օդորակիչների, որոնցում գոլորշիչով </w:t>
      </w:r>
      <w:r>
        <w:rPr>
          <w:rFonts w:ascii="Sylfaen" w:hAnsi="Sylfaen"/>
          <w:sz w:val="24"/>
          <w:szCs w:val="24"/>
        </w:rPr>
        <w:t>եւ</w:t>
      </w:r>
      <w:r w:rsidRPr="00CF39EE">
        <w:rPr>
          <w:rFonts w:ascii="Sylfaen" w:hAnsi="Sylfaen"/>
          <w:sz w:val="24"/>
          <w:szCs w:val="24"/>
        </w:rPr>
        <w:t xml:space="preserve"> (կամ) կոնդենսատորով օդը որպես ջերմափոխանակման միջավայր չի օգտագործում.</w:t>
      </w:r>
    </w:p>
    <w:p w14:paraId="42E930FD"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բ)</w:t>
      </w:r>
      <w:r w:rsidR="00ED3937" w:rsidRPr="00ED3937">
        <w:rPr>
          <w:rFonts w:ascii="Sylfaen" w:hAnsi="Sylfaen"/>
          <w:sz w:val="24"/>
          <w:szCs w:val="24"/>
        </w:rPr>
        <w:tab/>
      </w:r>
      <w:r w:rsidRPr="00CF39EE">
        <w:rPr>
          <w:rFonts w:ascii="Sylfaen" w:hAnsi="Sylfaen"/>
          <w:sz w:val="24"/>
          <w:szCs w:val="24"/>
        </w:rPr>
        <w:t xml:space="preserve">օդորակիչների </w:t>
      </w:r>
      <w:r>
        <w:rPr>
          <w:rFonts w:ascii="Sylfaen" w:hAnsi="Sylfaen"/>
          <w:sz w:val="24"/>
          <w:szCs w:val="24"/>
        </w:rPr>
        <w:t>եւ</w:t>
      </w:r>
      <w:r w:rsidRPr="00CF39EE">
        <w:rPr>
          <w:rFonts w:ascii="Sylfaen" w:hAnsi="Sylfaen"/>
          <w:sz w:val="24"/>
          <w:szCs w:val="24"/>
        </w:rPr>
        <w:t xml:space="preserve"> օդափոխիչների, որոնք, բացի էլեկտրաէներգիայից, աշխատում են էներգիայի այլ տեսակների օգտագործման հաշվին:</w:t>
      </w:r>
    </w:p>
    <w:p w14:paraId="07093973"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Եթե օդորակիչների </w:t>
      </w:r>
      <w:r>
        <w:rPr>
          <w:rFonts w:ascii="Sylfaen" w:hAnsi="Sylfaen"/>
          <w:sz w:val="24"/>
          <w:szCs w:val="24"/>
        </w:rPr>
        <w:t>եւ</w:t>
      </w:r>
      <w:r w:rsidRPr="00CF39EE">
        <w:rPr>
          <w:rFonts w:ascii="Sylfaen" w:hAnsi="Sylfaen"/>
          <w:sz w:val="24"/>
          <w:szCs w:val="24"/>
        </w:rPr>
        <w:t xml:space="preserve"> օդափոխիչների մասով ընդունվել են դրանց նկատմամբ պահանջներ սահմանող՝ Միության այլ տեխնիկական կանոնակարգեր (Մաքսային միության տեխնիկական կանոնակարգեր), ապա օդորակիչները </w:t>
      </w:r>
      <w:r>
        <w:rPr>
          <w:rFonts w:ascii="Sylfaen" w:hAnsi="Sylfaen"/>
          <w:sz w:val="24"/>
          <w:szCs w:val="24"/>
        </w:rPr>
        <w:t>եւ</w:t>
      </w:r>
      <w:r w:rsidRPr="00CF39EE">
        <w:rPr>
          <w:rFonts w:ascii="Sylfaen" w:hAnsi="Sylfaen"/>
          <w:sz w:val="24"/>
          <w:szCs w:val="24"/>
        </w:rPr>
        <w:t xml:space="preserve"> </w:t>
      </w:r>
      <w:r w:rsidRPr="00CF39EE">
        <w:rPr>
          <w:rFonts w:ascii="Sylfaen" w:hAnsi="Sylfaen"/>
          <w:sz w:val="24"/>
          <w:szCs w:val="24"/>
        </w:rPr>
        <w:lastRenderedPageBreak/>
        <w:t>օդափոխիչները պետք է համապատասխանեն Միության բոլոր այն տեխնիկական կանոնակարգերի (Մաքսային միության տեխնիկական կանոնակարգերի) պահանջներին, որոնց գործողությունը դրանց վրա տարածվում է։</w:t>
      </w:r>
    </w:p>
    <w:p w14:paraId="07ED9499" w14:textId="77777777" w:rsidR="009338B9" w:rsidRPr="00CF39EE" w:rsidRDefault="009338B9" w:rsidP="009338B9">
      <w:pPr>
        <w:pStyle w:val="Bodytext20"/>
        <w:spacing w:after="160" w:line="360" w:lineRule="auto"/>
        <w:ind w:right="140"/>
        <w:jc w:val="both"/>
        <w:rPr>
          <w:rFonts w:ascii="Sylfaen" w:hAnsi="Sylfaen"/>
          <w:sz w:val="24"/>
          <w:szCs w:val="24"/>
        </w:rPr>
      </w:pPr>
    </w:p>
    <w:p w14:paraId="406A5E51" w14:textId="77777777" w:rsidR="009338B9" w:rsidRPr="00CF39EE" w:rsidRDefault="009338B9" w:rsidP="009338B9">
      <w:pPr>
        <w:pStyle w:val="Bodytext20"/>
        <w:spacing w:after="160" w:line="360" w:lineRule="auto"/>
        <w:rPr>
          <w:rFonts w:ascii="Sylfaen" w:hAnsi="Sylfaen"/>
          <w:sz w:val="24"/>
          <w:szCs w:val="24"/>
        </w:rPr>
      </w:pPr>
      <w:r w:rsidRPr="00CF39EE">
        <w:rPr>
          <w:rFonts w:ascii="Sylfaen" w:hAnsi="Sylfaen"/>
          <w:sz w:val="24"/>
          <w:szCs w:val="24"/>
        </w:rPr>
        <w:t>II. Հիմնական հասկացությունները</w:t>
      </w:r>
    </w:p>
    <w:p w14:paraId="4BB10DC3" w14:textId="77777777" w:rsidR="009338B9" w:rsidRPr="00CF39EE" w:rsidRDefault="009338B9" w:rsidP="00ED3937">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t>2.</w:t>
      </w:r>
      <w:r w:rsidR="00ED3937" w:rsidRPr="00ED3937">
        <w:rPr>
          <w:rFonts w:ascii="Sylfaen" w:hAnsi="Sylfaen"/>
          <w:sz w:val="24"/>
          <w:szCs w:val="24"/>
        </w:rPr>
        <w:tab/>
      </w:r>
      <w:r w:rsidRPr="00CF39EE">
        <w:rPr>
          <w:rFonts w:ascii="Sylfaen" w:hAnsi="Sylfaen"/>
          <w:sz w:val="24"/>
          <w:szCs w:val="24"/>
        </w:rPr>
        <w:t>Սույն պահանջները կիրառելու նպատակներով օգտագործվում են հասկացություններ, որոնք ունեն հետ</w:t>
      </w:r>
      <w:r>
        <w:rPr>
          <w:rFonts w:ascii="Sylfaen" w:hAnsi="Sylfaen"/>
          <w:sz w:val="24"/>
          <w:szCs w:val="24"/>
        </w:rPr>
        <w:t>եւ</w:t>
      </w:r>
      <w:r w:rsidRPr="00CF39EE">
        <w:rPr>
          <w:rFonts w:ascii="Sylfaen" w:hAnsi="Sylfaen"/>
          <w:sz w:val="24"/>
          <w:szCs w:val="24"/>
        </w:rPr>
        <w:t>յալ իմաստը՝</w:t>
      </w:r>
    </w:p>
    <w:p w14:paraId="6269BE7D"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ED3937">
        <w:rPr>
          <w:rFonts w:ascii="Sylfaen" w:hAnsi="Sylfaen"/>
          <w:b/>
          <w:sz w:val="24"/>
          <w:szCs w:val="24"/>
        </w:rPr>
        <w:t xml:space="preserve">ակտիվ ռեժիմ՝ </w:t>
      </w:r>
      <w:r w:rsidRPr="00ED3937">
        <w:rPr>
          <w:rFonts w:ascii="Sylfaen" w:hAnsi="Sylfaen"/>
          <w:sz w:val="24"/>
          <w:szCs w:val="24"/>
        </w:rPr>
        <w:t xml:space="preserve">օդորակիչի՝ </w:t>
      </w:r>
      <w:r w:rsidRPr="00CF39EE">
        <w:rPr>
          <w:rFonts w:ascii="Sylfaen" w:hAnsi="Sylfaen"/>
          <w:sz w:val="24"/>
          <w:szCs w:val="24"/>
        </w:rPr>
        <w:t xml:space="preserve">հովացման կամ տաքացման աշխատանքի ռեժիմ, որի դեպքում տարածքում օդի պահանջվող ջերմաստիճանն ապահովելու համար օդորակիչը կարող է միացվել </w:t>
      </w:r>
      <w:r>
        <w:rPr>
          <w:rFonts w:ascii="Sylfaen" w:hAnsi="Sylfaen"/>
          <w:sz w:val="24"/>
          <w:szCs w:val="24"/>
        </w:rPr>
        <w:t>եւ</w:t>
      </w:r>
      <w:r w:rsidRPr="00CF39EE">
        <w:rPr>
          <w:rFonts w:ascii="Sylfaen" w:hAnsi="Sylfaen"/>
          <w:sz w:val="24"/>
          <w:szCs w:val="24"/>
        </w:rPr>
        <w:t xml:space="preserve"> անջատվել.</w:t>
      </w:r>
    </w:p>
    <w:p w14:paraId="0DBDBAA6"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ED3937">
        <w:rPr>
          <w:rFonts w:ascii="Sylfaen" w:hAnsi="Sylfaen"/>
          <w:b/>
          <w:sz w:val="24"/>
          <w:szCs w:val="24"/>
        </w:rPr>
        <w:t>օդափոխիչ՝</w:t>
      </w:r>
      <w:r w:rsidRPr="00CF39EE">
        <w:rPr>
          <w:rFonts w:ascii="Sylfaen" w:hAnsi="Sylfaen"/>
          <w:sz w:val="24"/>
          <w:szCs w:val="24"/>
        </w:rPr>
        <w:t xml:space="preserve"> սարք, որը գլխավորապես նախատեսված է հովացման նպատակով մարդու մարմինը կամ դրա մասերը շրջափչող օդային հոսք ստեղծելու համար` ներառյալ լրացուցիչ ֆունկցիաներով (օրինակ` լուսավորում </w:t>
      </w:r>
      <w:r>
        <w:rPr>
          <w:rFonts w:ascii="Sylfaen" w:hAnsi="Sylfaen"/>
          <w:sz w:val="24"/>
          <w:szCs w:val="24"/>
        </w:rPr>
        <w:t>եւ</w:t>
      </w:r>
      <w:r w:rsidRPr="00CF39EE">
        <w:rPr>
          <w:rFonts w:ascii="Sylfaen" w:hAnsi="Sylfaen"/>
          <w:sz w:val="24"/>
          <w:szCs w:val="24"/>
        </w:rPr>
        <w:t xml:space="preserve"> (կամ) թեթ</w:t>
      </w:r>
      <w:r>
        <w:rPr>
          <w:rFonts w:ascii="Sylfaen" w:hAnsi="Sylfaen"/>
          <w:sz w:val="24"/>
          <w:szCs w:val="24"/>
        </w:rPr>
        <w:t>եւ</w:t>
      </w:r>
      <w:r w:rsidRPr="00CF39EE">
        <w:rPr>
          <w:rFonts w:ascii="Sylfaen" w:hAnsi="Sylfaen"/>
          <w:sz w:val="24"/>
          <w:szCs w:val="24"/>
        </w:rPr>
        <w:t xml:space="preserve"> լուսավորում, հեռավար կառավարում, ներկայության տվիչ, թայմեր, անջատման կասեցում, խոնավության տվիչ, օդի խոնավացուցիչ </w:t>
      </w:r>
      <w:r>
        <w:rPr>
          <w:rFonts w:ascii="Sylfaen" w:hAnsi="Sylfaen"/>
          <w:sz w:val="24"/>
          <w:szCs w:val="24"/>
        </w:rPr>
        <w:t>եւ</w:t>
      </w:r>
      <w:r w:rsidRPr="00CF39EE">
        <w:rPr>
          <w:rFonts w:ascii="Sylfaen" w:hAnsi="Sylfaen"/>
          <w:sz w:val="24"/>
          <w:szCs w:val="24"/>
        </w:rPr>
        <w:t xml:space="preserve"> (կամ) իոնարար, օդային հոսքը պտտելու (թեքելու) ֆունկցիա </w:t>
      </w:r>
      <w:r>
        <w:rPr>
          <w:rFonts w:ascii="Sylfaen" w:hAnsi="Sylfaen"/>
          <w:sz w:val="24"/>
          <w:szCs w:val="24"/>
        </w:rPr>
        <w:t>եւ</w:t>
      </w:r>
      <w:r w:rsidRPr="00CF39EE">
        <w:rPr>
          <w:rFonts w:ascii="Sylfaen" w:hAnsi="Sylfaen"/>
          <w:sz w:val="24"/>
          <w:szCs w:val="24"/>
        </w:rPr>
        <w:t xml:space="preserve"> այլն) օդափոխիչները.</w:t>
      </w:r>
    </w:p>
    <w:p w14:paraId="42AE21BC"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ED3937">
        <w:rPr>
          <w:rFonts w:ascii="Sylfaen" w:hAnsi="Sylfaen"/>
          <w:b/>
          <w:sz w:val="24"/>
          <w:szCs w:val="24"/>
        </w:rPr>
        <w:t>«աշխատանքի ժամանակ անջատման ռեժիմում (</w:t>
      </w:r>
      <w:r w:rsidR="00ED3937" w:rsidRPr="00ED3937">
        <w:rPr>
          <w:rFonts w:ascii="Sylfaen" w:hAnsi="Sylfaen"/>
          <w:b/>
          <w:sz w:val="24"/>
          <w:szCs w:val="24"/>
        </w:rPr>
        <w:t>H</w:t>
      </w:r>
      <w:r w:rsidRPr="00ED3937">
        <w:rPr>
          <w:rFonts w:ascii="Sylfaen" w:hAnsi="Sylfaen"/>
          <w:b/>
          <w:sz w:val="24"/>
          <w:szCs w:val="24"/>
          <w:vertAlign w:val="subscript"/>
        </w:rPr>
        <w:t>OFF</w:t>
      </w:r>
      <w:r w:rsidRPr="00ED3937">
        <w:rPr>
          <w:rFonts w:ascii="Sylfaen" w:hAnsi="Sylfaen"/>
          <w:b/>
          <w:sz w:val="24"/>
          <w:szCs w:val="24"/>
        </w:rPr>
        <w:t>)»՝</w:t>
      </w:r>
      <w:r w:rsidRPr="00CF39EE">
        <w:rPr>
          <w:rFonts w:ascii="Sylfaen" w:hAnsi="Sylfaen"/>
          <w:sz w:val="24"/>
          <w:szCs w:val="24"/>
        </w:rPr>
        <w:t xml:space="preserve"> համապատասխան սեզոնով </w:t>
      </w:r>
      <w:r>
        <w:rPr>
          <w:rFonts w:ascii="Sylfaen" w:hAnsi="Sylfaen"/>
          <w:sz w:val="24"/>
          <w:szCs w:val="24"/>
        </w:rPr>
        <w:t>եւ</w:t>
      </w:r>
      <w:r w:rsidRPr="00CF39EE">
        <w:rPr>
          <w:rFonts w:ascii="Sylfaen" w:hAnsi="Sylfaen"/>
          <w:sz w:val="24"/>
          <w:szCs w:val="24"/>
        </w:rPr>
        <w:t xml:space="preserve"> տրված ֆունկցիայով պայմանավորված՝ մեկ տարում ժամերով (ժ/տարի) աշխատանքի գումարային ժամանակահատված, որի ընթացքում էներգասպառող սարքվածքը գտնվում է անջատված ռեժիմում.</w:t>
      </w:r>
    </w:p>
    <w:p w14:paraId="2D510250"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ED3937">
        <w:rPr>
          <w:rFonts w:ascii="Sylfaen" w:hAnsi="Sylfaen"/>
          <w:b/>
          <w:sz w:val="24"/>
          <w:szCs w:val="24"/>
        </w:rPr>
        <w:t>աշխատանքի ժամանակ սպասման ռեժիմում (H</w:t>
      </w:r>
      <w:r w:rsidRPr="00ED3937">
        <w:rPr>
          <w:rFonts w:ascii="Sylfaen" w:hAnsi="Sylfaen"/>
          <w:b/>
          <w:sz w:val="24"/>
          <w:szCs w:val="24"/>
          <w:vertAlign w:val="subscript"/>
        </w:rPr>
        <w:t>SB</w:t>
      </w:r>
      <w:r w:rsidR="00ED3937">
        <w:rPr>
          <w:rFonts w:ascii="Sylfaen" w:hAnsi="Sylfaen"/>
          <w:b/>
          <w:sz w:val="24"/>
          <w:szCs w:val="24"/>
        </w:rPr>
        <w:t>)</w:t>
      </w:r>
      <w:r w:rsidRPr="00ED3937">
        <w:rPr>
          <w:rFonts w:ascii="Sylfaen" w:hAnsi="Sylfaen"/>
          <w:b/>
          <w:sz w:val="24"/>
          <w:szCs w:val="24"/>
        </w:rPr>
        <w:t>՝</w:t>
      </w:r>
      <w:r w:rsidRPr="00CF39EE">
        <w:rPr>
          <w:rFonts w:ascii="Sylfaen" w:hAnsi="Sylfaen"/>
          <w:sz w:val="24"/>
          <w:szCs w:val="24"/>
        </w:rPr>
        <w:t xml:space="preserve"> համապատասխան սեզոնով </w:t>
      </w:r>
      <w:r>
        <w:rPr>
          <w:rFonts w:ascii="Sylfaen" w:hAnsi="Sylfaen"/>
          <w:sz w:val="24"/>
          <w:szCs w:val="24"/>
        </w:rPr>
        <w:t>եւ</w:t>
      </w:r>
      <w:r w:rsidRPr="00CF39EE">
        <w:rPr>
          <w:rFonts w:ascii="Sylfaen" w:hAnsi="Sylfaen"/>
          <w:sz w:val="24"/>
          <w:szCs w:val="24"/>
        </w:rPr>
        <w:t xml:space="preserve"> տրված ֆունկցիայով պայմանավորված՝ մեկ տարում ժամերով (ժ/տարի) աշխատանքի գումարային ժամանակահատված, որի ընթացքում էներգասպառող սարքվածքը գտնվում է սպասման ռեժիմում.</w:t>
      </w:r>
    </w:p>
    <w:p w14:paraId="17D288D0"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ED3937">
        <w:rPr>
          <w:rFonts w:ascii="Sylfaen" w:hAnsi="Sylfaen"/>
          <w:b/>
          <w:sz w:val="24"/>
          <w:szCs w:val="24"/>
        </w:rPr>
        <w:t>աշխատանքի ժամանակ անջատված ջերմակարգավորիչով ռեժիմում (H</w:t>
      </w:r>
      <w:r w:rsidRPr="00ED3937">
        <w:rPr>
          <w:rFonts w:ascii="Sylfaen" w:hAnsi="Sylfaen"/>
          <w:b/>
          <w:sz w:val="24"/>
          <w:szCs w:val="24"/>
          <w:vertAlign w:val="subscript"/>
        </w:rPr>
        <w:t>TO</w:t>
      </w:r>
      <w:r w:rsidR="00ED3937" w:rsidRPr="00ED3937">
        <w:rPr>
          <w:rFonts w:ascii="Sylfaen" w:hAnsi="Sylfaen"/>
          <w:b/>
          <w:sz w:val="24"/>
          <w:szCs w:val="24"/>
        </w:rPr>
        <w:t>)</w:t>
      </w:r>
      <w:r w:rsidRPr="00ED3937">
        <w:rPr>
          <w:rFonts w:ascii="Sylfaen" w:hAnsi="Sylfaen"/>
          <w:b/>
          <w:sz w:val="24"/>
          <w:szCs w:val="24"/>
        </w:rPr>
        <w:t>՝</w:t>
      </w:r>
      <w:r w:rsidRPr="00CF39EE">
        <w:rPr>
          <w:rFonts w:ascii="Sylfaen" w:hAnsi="Sylfaen"/>
          <w:sz w:val="24"/>
          <w:szCs w:val="24"/>
        </w:rPr>
        <w:t xml:space="preserve"> համապատասխան սեզոնով </w:t>
      </w:r>
      <w:r>
        <w:rPr>
          <w:rFonts w:ascii="Sylfaen" w:hAnsi="Sylfaen"/>
          <w:sz w:val="24"/>
          <w:szCs w:val="24"/>
        </w:rPr>
        <w:t>եւ</w:t>
      </w:r>
      <w:r w:rsidRPr="00CF39EE">
        <w:rPr>
          <w:rFonts w:ascii="Sylfaen" w:hAnsi="Sylfaen"/>
          <w:sz w:val="24"/>
          <w:szCs w:val="24"/>
        </w:rPr>
        <w:t xml:space="preserve"> տրված ֆունկցիայով պայմանավորված՝ մեկ</w:t>
      </w:r>
      <w:r w:rsidR="00ED3937" w:rsidRPr="00ED3937">
        <w:rPr>
          <w:rFonts w:ascii="Sylfaen" w:hAnsi="Sylfaen"/>
          <w:sz w:val="24"/>
          <w:szCs w:val="24"/>
        </w:rPr>
        <w:t> </w:t>
      </w:r>
      <w:r w:rsidRPr="00CF39EE">
        <w:rPr>
          <w:rFonts w:ascii="Sylfaen" w:hAnsi="Sylfaen"/>
          <w:sz w:val="24"/>
          <w:szCs w:val="24"/>
        </w:rPr>
        <w:t xml:space="preserve">տարում ժամերով (ժ/տարի) աշխատանքի գումարային ժամանակահատված, </w:t>
      </w:r>
      <w:r w:rsidRPr="00CF39EE">
        <w:rPr>
          <w:rFonts w:ascii="Sylfaen" w:hAnsi="Sylfaen"/>
          <w:sz w:val="24"/>
          <w:szCs w:val="24"/>
        </w:rPr>
        <w:lastRenderedPageBreak/>
        <w:t>որի ընթացքում օդորակիչը գտնվում է անջատված ջերմակարգավորիչով աշխատանքի ռեժիմում.</w:t>
      </w:r>
    </w:p>
    <w:p w14:paraId="02D74D90"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ED3937">
        <w:rPr>
          <w:rFonts w:ascii="Sylfaen" w:hAnsi="Sylfaen"/>
          <w:b/>
          <w:sz w:val="24"/>
          <w:szCs w:val="24"/>
        </w:rPr>
        <w:t>աշխատանքի ժամանակ հենատուփային տաքացուցիչով ռեժիմում (H</w:t>
      </w:r>
      <w:r w:rsidRPr="00ED3937">
        <w:rPr>
          <w:rFonts w:ascii="Sylfaen" w:hAnsi="Sylfaen"/>
          <w:b/>
          <w:sz w:val="24"/>
          <w:szCs w:val="24"/>
          <w:vertAlign w:val="subscript"/>
        </w:rPr>
        <w:t>ск</w:t>
      </w:r>
      <w:r w:rsidR="00ED3937" w:rsidRPr="00ED3937">
        <w:rPr>
          <w:rFonts w:ascii="Sylfaen" w:hAnsi="Sylfaen"/>
          <w:b/>
          <w:sz w:val="24"/>
          <w:szCs w:val="24"/>
        </w:rPr>
        <w:t>)</w:t>
      </w:r>
      <w:r w:rsidRPr="00ED3937">
        <w:rPr>
          <w:rFonts w:ascii="Sylfaen" w:hAnsi="Sylfaen"/>
          <w:b/>
          <w:sz w:val="24"/>
          <w:szCs w:val="24"/>
        </w:rPr>
        <w:t>՝</w:t>
      </w:r>
      <w:r w:rsidRPr="00CF39EE">
        <w:rPr>
          <w:rFonts w:ascii="Sylfaen" w:hAnsi="Sylfaen"/>
          <w:sz w:val="24"/>
          <w:szCs w:val="24"/>
        </w:rPr>
        <w:t xml:space="preserve"> համապատասխան սեզոնով </w:t>
      </w:r>
      <w:r>
        <w:rPr>
          <w:rFonts w:ascii="Sylfaen" w:hAnsi="Sylfaen"/>
          <w:sz w:val="24"/>
          <w:szCs w:val="24"/>
        </w:rPr>
        <w:t>եւ</w:t>
      </w:r>
      <w:r w:rsidRPr="00CF39EE">
        <w:rPr>
          <w:rFonts w:ascii="Sylfaen" w:hAnsi="Sylfaen"/>
          <w:sz w:val="24"/>
          <w:szCs w:val="24"/>
        </w:rPr>
        <w:t xml:space="preserve"> տրված ֆունկցիայով պայմանավորված՝ մեկ</w:t>
      </w:r>
      <w:r w:rsidR="00ED3937" w:rsidRPr="00ED3937">
        <w:rPr>
          <w:rFonts w:ascii="Sylfaen" w:hAnsi="Sylfaen"/>
          <w:sz w:val="24"/>
          <w:szCs w:val="24"/>
        </w:rPr>
        <w:t> </w:t>
      </w:r>
      <w:r w:rsidRPr="00CF39EE">
        <w:rPr>
          <w:rFonts w:ascii="Sylfaen" w:hAnsi="Sylfaen"/>
          <w:sz w:val="24"/>
          <w:szCs w:val="24"/>
        </w:rPr>
        <w:t>տարում ժամերով (ժ/տարի) աշխատանքի գումարային ժամանակահատված, որի ընթացքում օդորակիչը գտնվում է միացված ճնշակային հենատուփի տաքացուցիչով աշխատանքի ռեժիմում.</w:t>
      </w:r>
    </w:p>
    <w:p w14:paraId="18C7310E" w14:textId="77777777" w:rsidR="009338B9" w:rsidRPr="00CF39EE" w:rsidRDefault="009338B9" w:rsidP="00530191">
      <w:pPr>
        <w:pStyle w:val="Bodytext20"/>
        <w:spacing w:after="160" w:line="348" w:lineRule="auto"/>
        <w:ind w:right="-6" w:firstLine="567"/>
        <w:jc w:val="both"/>
        <w:rPr>
          <w:rFonts w:ascii="Sylfaen" w:hAnsi="Sylfaen"/>
          <w:sz w:val="24"/>
          <w:szCs w:val="24"/>
        </w:rPr>
      </w:pPr>
      <w:r w:rsidRPr="00ED3937">
        <w:rPr>
          <w:rFonts w:ascii="Sylfaen" w:hAnsi="Sylfaen"/>
          <w:b/>
          <w:sz w:val="24"/>
          <w:szCs w:val="24"/>
        </w:rPr>
        <w:t>օդափոխիչի աշխատանքի ժամանակ ակտիվ ռեժիմում (H</w:t>
      </w:r>
      <w:r w:rsidRPr="00ED3937">
        <w:rPr>
          <w:rFonts w:ascii="Sylfaen" w:hAnsi="Sylfaen"/>
          <w:b/>
          <w:sz w:val="24"/>
          <w:szCs w:val="24"/>
          <w:vertAlign w:val="subscript"/>
        </w:rPr>
        <w:t>CE</w:t>
      </w:r>
      <w:r w:rsidR="00ED3937" w:rsidRPr="00ED3937">
        <w:rPr>
          <w:rFonts w:ascii="Sylfaen" w:hAnsi="Sylfaen"/>
          <w:b/>
          <w:sz w:val="24"/>
          <w:szCs w:val="24"/>
        </w:rPr>
        <w:t>)</w:t>
      </w:r>
      <w:r w:rsidRPr="00ED3937">
        <w:rPr>
          <w:rFonts w:ascii="Sylfaen" w:hAnsi="Sylfaen"/>
          <w:b/>
          <w:sz w:val="24"/>
          <w:szCs w:val="24"/>
        </w:rPr>
        <w:t>՝</w:t>
      </w:r>
      <w:r w:rsidRPr="00CF39EE">
        <w:rPr>
          <w:rFonts w:ascii="Sylfaen" w:hAnsi="Sylfaen"/>
          <w:sz w:val="24"/>
          <w:szCs w:val="24"/>
        </w:rPr>
        <w:t xml:space="preserve"> ենթադրաբար ակնկալվող՝ մեկ տարում ժամերով (ժ/տարի) աշխատանքի գումարային ժամանակահատված, որի ընթացքում օդափոխիչն ապահովում է օդի առավելագույն հոսքի ստեղծումը.</w:t>
      </w:r>
    </w:p>
    <w:p w14:paraId="2CB1B238" w14:textId="77777777" w:rsidR="009338B9" w:rsidRPr="00CF39EE" w:rsidRDefault="009338B9" w:rsidP="00530191">
      <w:pPr>
        <w:pStyle w:val="Bodytext20"/>
        <w:spacing w:after="160" w:line="348" w:lineRule="auto"/>
        <w:ind w:right="-6" w:firstLine="567"/>
        <w:jc w:val="both"/>
        <w:rPr>
          <w:rFonts w:ascii="Sylfaen" w:hAnsi="Sylfaen"/>
          <w:sz w:val="24"/>
          <w:szCs w:val="24"/>
        </w:rPr>
      </w:pPr>
      <w:r w:rsidRPr="00ED3937">
        <w:rPr>
          <w:rFonts w:ascii="Sylfaen" w:hAnsi="Sylfaen"/>
          <w:b/>
          <w:sz w:val="24"/>
          <w:szCs w:val="24"/>
        </w:rPr>
        <w:t>տաքացման համար էլեկտրաէներգիայի տարեկան սպառում (Q</w:t>
      </w:r>
      <w:r w:rsidRPr="00ED3937">
        <w:rPr>
          <w:rFonts w:ascii="Sylfaen" w:hAnsi="Sylfaen"/>
          <w:b/>
          <w:sz w:val="24"/>
          <w:szCs w:val="24"/>
          <w:vertAlign w:val="subscript"/>
        </w:rPr>
        <w:t>HE</w:t>
      </w:r>
      <w:r w:rsidR="00ED3937" w:rsidRPr="00ED3937">
        <w:rPr>
          <w:rFonts w:ascii="Sylfaen" w:hAnsi="Sylfaen"/>
          <w:b/>
          <w:sz w:val="24"/>
          <w:szCs w:val="24"/>
        </w:rPr>
        <w:t>)</w:t>
      </w:r>
      <w:r w:rsidRPr="00ED3937">
        <w:rPr>
          <w:rFonts w:ascii="Sylfaen" w:hAnsi="Sylfaen"/>
          <w:b/>
          <w:sz w:val="24"/>
          <w:szCs w:val="24"/>
        </w:rPr>
        <w:t>՝</w:t>
      </w:r>
      <w:r w:rsidRPr="00CF39EE">
        <w:rPr>
          <w:rFonts w:ascii="Sylfaen" w:hAnsi="Sylfaen"/>
          <w:sz w:val="24"/>
          <w:szCs w:val="24"/>
        </w:rPr>
        <w:t xml:space="preserve"> որոշակի ջեռուցման սեզոնի ընթացքում տաքացման համար էներգիայի տարեկան չափանմուշային սպառումն ապահովելու համար օդորակիչով էլեկտրաէներգիայի սպառում (կՎտժ/տարի-ով), որը հավասար է՝</w:t>
      </w:r>
    </w:p>
    <w:p w14:paraId="380EC771" w14:textId="77777777" w:rsidR="009338B9" w:rsidRPr="00CF39EE" w:rsidRDefault="009338B9" w:rsidP="00530191">
      <w:pPr>
        <w:pStyle w:val="Bodytext20"/>
        <w:spacing w:after="160" w:line="348" w:lineRule="auto"/>
        <w:ind w:right="-6" w:firstLine="567"/>
        <w:jc w:val="both"/>
        <w:rPr>
          <w:rFonts w:ascii="Sylfaen" w:hAnsi="Sylfaen"/>
          <w:sz w:val="24"/>
          <w:szCs w:val="24"/>
        </w:rPr>
      </w:pPr>
      <w:r w:rsidRPr="00ED3937">
        <w:rPr>
          <w:rFonts w:ascii="Sylfaen" w:hAnsi="Sylfaen"/>
          <w:b/>
          <w:sz w:val="24"/>
          <w:szCs w:val="24"/>
        </w:rPr>
        <w:t>տաքացման համար էներգիայի տարեկան չափանմուշային սպառման գումարին՝</w:t>
      </w:r>
      <w:r w:rsidRPr="00CF39EE">
        <w:rPr>
          <w:rFonts w:ascii="Sylfaen" w:hAnsi="Sylfaen"/>
          <w:sz w:val="24"/>
          <w:szCs w:val="24"/>
        </w:rPr>
        <w:t xml:space="preserve"> բաժանած տաքացման ակտիվ ռեժիմում (SCOP</w:t>
      </w:r>
      <w:r w:rsidRPr="00CF39EE">
        <w:rPr>
          <w:rFonts w:ascii="Sylfaen" w:hAnsi="Sylfaen"/>
          <w:sz w:val="24"/>
          <w:szCs w:val="24"/>
          <w:vertAlign w:val="subscript"/>
        </w:rPr>
        <w:t>on</w:t>
      </w:r>
      <w:r w:rsidRPr="00CF39EE">
        <w:rPr>
          <w:rFonts w:ascii="Sylfaen" w:hAnsi="Sylfaen"/>
          <w:sz w:val="24"/>
          <w:szCs w:val="24"/>
        </w:rPr>
        <w:t>) սեզոնային էներգաարդյունավետության վրա.</w:t>
      </w:r>
    </w:p>
    <w:p w14:paraId="2A05FD43" w14:textId="77777777" w:rsidR="009338B9" w:rsidRPr="00CF39EE" w:rsidRDefault="009338B9" w:rsidP="00530191">
      <w:pPr>
        <w:pStyle w:val="Bodytext20"/>
        <w:spacing w:after="160" w:line="348" w:lineRule="auto"/>
        <w:ind w:right="-6" w:firstLine="567"/>
        <w:jc w:val="both"/>
        <w:rPr>
          <w:rFonts w:ascii="Sylfaen" w:hAnsi="Sylfaen"/>
          <w:sz w:val="24"/>
          <w:szCs w:val="24"/>
        </w:rPr>
      </w:pPr>
      <w:r w:rsidRPr="00CF39EE">
        <w:rPr>
          <w:rFonts w:ascii="Sylfaen" w:hAnsi="Sylfaen"/>
          <w:sz w:val="24"/>
          <w:szCs w:val="24"/>
        </w:rPr>
        <w:t xml:space="preserve">անջատված ջերմակարգավորիչով աշխատանքի ռեժիմում, սպասման </w:t>
      </w:r>
      <w:r>
        <w:rPr>
          <w:rFonts w:ascii="Sylfaen" w:hAnsi="Sylfaen"/>
          <w:sz w:val="24"/>
          <w:szCs w:val="24"/>
        </w:rPr>
        <w:t>եւ</w:t>
      </w:r>
      <w:r w:rsidRPr="00CF39EE">
        <w:rPr>
          <w:rFonts w:ascii="Sylfaen" w:hAnsi="Sylfaen"/>
          <w:sz w:val="24"/>
          <w:szCs w:val="24"/>
        </w:rPr>
        <w:t xml:space="preserve"> անջատման ռեժիմներում, ինչպես նա</w:t>
      </w:r>
      <w:r>
        <w:rPr>
          <w:rFonts w:ascii="Sylfaen" w:hAnsi="Sylfaen"/>
          <w:sz w:val="24"/>
          <w:szCs w:val="24"/>
        </w:rPr>
        <w:t>եւ</w:t>
      </w:r>
      <w:r w:rsidRPr="00CF39EE">
        <w:rPr>
          <w:rFonts w:ascii="Sylfaen" w:hAnsi="Sylfaen"/>
          <w:sz w:val="24"/>
          <w:szCs w:val="24"/>
        </w:rPr>
        <w:t xml:space="preserve"> հենատուփային տաքացուցիչով աշխատանքի ռեժիմում ջեռուցման սեզոնի ընթացքում էլեկտրաէներգիայի սպառման գումարին.</w:t>
      </w:r>
    </w:p>
    <w:p w14:paraId="42D1CA8E" w14:textId="77777777" w:rsidR="009338B9" w:rsidRPr="00CF39EE" w:rsidRDefault="009338B9" w:rsidP="00530191">
      <w:pPr>
        <w:pStyle w:val="Bodytext20"/>
        <w:spacing w:after="160" w:line="348" w:lineRule="auto"/>
        <w:ind w:right="-6" w:firstLine="567"/>
        <w:jc w:val="both"/>
        <w:rPr>
          <w:rFonts w:ascii="Sylfaen" w:hAnsi="Sylfaen"/>
          <w:sz w:val="24"/>
          <w:szCs w:val="24"/>
        </w:rPr>
      </w:pPr>
      <w:r w:rsidRPr="00ED3937">
        <w:rPr>
          <w:rFonts w:ascii="Sylfaen" w:hAnsi="Sylfaen"/>
          <w:b/>
          <w:sz w:val="24"/>
          <w:szCs w:val="24"/>
        </w:rPr>
        <w:t>հովացման համար էլեկտրաէներգիայի տարեկան սպառում (Q</w:t>
      </w:r>
      <w:r w:rsidRPr="00ED3937">
        <w:rPr>
          <w:rFonts w:ascii="Sylfaen" w:hAnsi="Sylfaen"/>
          <w:b/>
          <w:sz w:val="24"/>
          <w:szCs w:val="24"/>
          <w:vertAlign w:val="subscript"/>
        </w:rPr>
        <w:t>CE</w:t>
      </w:r>
      <w:r w:rsidR="00ED3937" w:rsidRPr="00ED3937">
        <w:rPr>
          <w:rFonts w:ascii="Sylfaen" w:hAnsi="Sylfaen"/>
          <w:b/>
          <w:sz w:val="24"/>
          <w:szCs w:val="24"/>
        </w:rPr>
        <w:t>)</w:t>
      </w:r>
      <w:r w:rsidRPr="00ED3937">
        <w:rPr>
          <w:rFonts w:ascii="Sylfaen" w:hAnsi="Sylfaen"/>
          <w:b/>
          <w:sz w:val="24"/>
          <w:szCs w:val="24"/>
        </w:rPr>
        <w:t>՝</w:t>
      </w:r>
      <w:r w:rsidRPr="00CF39EE">
        <w:rPr>
          <w:rFonts w:ascii="Sylfaen" w:hAnsi="Sylfaen"/>
          <w:sz w:val="24"/>
          <w:szCs w:val="24"/>
        </w:rPr>
        <w:t xml:space="preserve"> հովացման համար էներգիայի տարեկան չափանմուշային սպառումն ապահովելու համար օդորակիչով էլեկտրաէներգիայի սպառում (կՎտժ/տարի-ով), որը հավասար է՝</w:t>
      </w:r>
    </w:p>
    <w:p w14:paraId="055493EA" w14:textId="77777777" w:rsidR="009338B9" w:rsidRPr="00CF39EE" w:rsidRDefault="009338B9" w:rsidP="00530191">
      <w:pPr>
        <w:pStyle w:val="Bodytext20"/>
        <w:spacing w:after="160" w:line="348" w:lineRule="auto"/>
        <w:ind w:right="-6" w:firstLine="567"/>
        <w:jc w:val="both"/>
        <w:rPr>
          <w:rFonts w:ascii="Sylfaen" w:hAnsi="Sylfaen"/>
          <w:sz w:val="24"/>
          <w:szCs w:val="24"/>
        </w:rPr>
      </w:pPr>
      <w:r w:rsidRPr="00530191">
        <w:rPr>
          <w:rFonts w:ascii="Sylfaen" w:hAnsi="Sylfaen"/>
          <w:b/>
          <w:sz w:val="24"/>
          <w:szCs w:val="24"/>
        </w:rPr>
        <w:t>հովացման համար էներգիայի տարեկան չափանմուշային սպառման գումարին՝</w:t>
      </w:r>
      <w:r w:rsidRPr="00CF39EE">
        <w:rPr>
          <w:rFonts w:ascii="Sylfaen" w:hAnsi="Sylfaen"/>
          <w:sz w:val="24"/>
          <w:szCs w:val="24"/>
        </w:rPr>
        <w:t xml:space="preserve"> բաժանած հովացման ակտիվ ռեժիմում (SEER</w:t>
      </w:r>
      <w:r w:rsidRPr="00CF39EE">
        <w:rPr>
          <w:rFonts w:ascii="Sylfaen" w:hAnsi="Sylfaen"/>
          <w:sz w:val="24"/>
          <w:szCs w:val="24"/>
          <w:vertAlign w:val="subscript"/>
        </w:rPr>
        <w:t>on</w:t>
      </w:r>
      <w:r w:rsidRPr="00CF39EE">
        <w:rPr>
          <w:rFonts w:ascii="Sylfaen" w:hAnsi="Sylfaen"/>
          <w:sz w:val="24"/>
          <w:szCs w:val="24"/>
        </w:rPr>
        <w:t>) սեզոնային էներգաարդյունավետության վրա.</w:t>
      </w:r>
    </w:p>
    <w:p w14:paraId="18BB21D2"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lastRenderedPageBreak/>
        <w:t xml:space="preserve">անջատված ջերմակարգավորիչով աշխատանքի ռեժիմում, սպասման </w:t>
      </w:r>
      <w:r>
        <w:rPr>
          <w:rFonts w:ascii="Sylfaen" w:hAnsi="Sylfaen"/>
          <w:sz w:val="24"/>
          <w:szCs w:val="24"/>
        </w:rPr>
        <w:t>եւ</w:t>
      </w:r>
      <w:r w:rsidRPr="00CF39EE">
        <w:rPr>
          <w:rFonts w:ascii="Sylfaen" w:hAnsi="Sylfaen"/>
          <w:sz w:val="24"/>
          <w:szCs w:val="24"/>
        </w:rPr>
        <w:t xml:space="preserve"> անջատման ռեժիմներում, ինչպես նա</w:t>
      </w:r>
      <w:r>
        <w:rPr>
          <w:rFonts w:ascii="Sylfaen" w:hAnsi="Sylfaen"/>
          <w:sz w:val="24"/>
          <w:szCs w:val="24"/>
        </w:rPr>
        <w:t>եւ</w:t>
      </w:r>
      <w:r w:rsidRPr="00CF39EE">
        <w:rPr>
          <w:rFonts w:ascii="Sylfaen" w:hAnsi="Sylfaen"/>
          <w:sz w:val="24"/>
          <w:szCs w:val="24"/>
        </w:rPr>
        <w:t xml:space="preserve"> հենատուփային տաքացուցիչով աշխատանքի ռեժիմում հովացման սեզոնի ընթացքում էլեկտրաէներգիայի սպառման գումարին.</w:t>
      </w:r>
    </w:p>
    <w:p w14:paraId="5E0D3666" w14:textId="77777777" w:rsidR="009338B9" w:rsidRPr="00CF39EE" w:rsidRDefault="00530191" w:rsidP="009338B9">
      <w:pPr>
        <w:pStyle w:val="Bodytext20"/>
        <w:spacing w:after="160" w:line="360" w:lineRule="auto"/>
        <w:ind w:right="-8" w:firstLine="567"/>
        <w:jc w:val="both"/>
        <w:rPr>
          <w:rFonts w:ascii="Sylfaen" w:hAnsi="Sylfaen"/>
          <w:sz w:val="24"/>
          <w:szCs w:val="24"/>
        </w:rPr>
      </w:pPr>
      <w:r w:rsidRPr="00530191">
        <w:rPr>
          <w:rFonts w:ascii="Sylfaen" w:hAnsi="Sylfaen"/>
          <w:b/>
          <w:sz w:val="24"/>
          <w:szCs w:val="24"/>
        </w:rPr>
        <w:t>երկուղի օդորակիչ</w:t>
      </w:r>
      <w:r w:rsidR="009338B9" w:rsidRPr="00530191">
        <w:rPr>
          <w:rFonts w:ascii="Sylfaen" w:hAnsi="Sylfaen"/>
          <w:b/>
          <w:sz w:val="24"/>
          <w:szCs w:val="24"/>
        </w:rPr>
        <w:t>՝</w:t>
      </w:r>
      <w:r w:rsidR="009338B9" w:rsidRPr="00CF39EE">
        <w:rPr>
          <w:rFonts w:ascii="Sylfaen" w:hAnsi="Sylfaen"/>
          <w:sz w:val="24"/>
          <w:szCs w:val="24"/>
        </w:rPr>
        <w:t xml:space="preserve"> օդորակվող տարածքի ներսում պատին մոտ ամբողջությամբ տեղադրվող օդորակիչ, որում հովացման կամ տաքացման ժամանակ կոնդենսատորը կամ գոլորշիչը շրջափչող օդը մատուցվում է դրսից մեկ ուղով </w:t>
      </w:r>
      <w:r w:rsidR="009338B9">
        <w:rPr>
          <w:rFonts w:ascii="Sylfaen" w:hAnsi="Sylfaen"/>
          <w:sz w:val="24"/>
          <w:szCs w:val="24"/>
        </w:rPr>
        <w:t>եւ</w:t>
      </w:r>
      <w:r w:rsidR="009338B9" w:rsidRPr="00CF39EE">
        <w:rPr>
          <w:rFonts w:ascii="Sylfaen" w:hAnsi="Sylfaen"/>
          <w:sz w:val="24"/>
          <w:szCs w:val="24"/>
        </w:rPr>
        <w:t xml:space="preserve"> դուրս է մղվում</w:t>
      </w:r>
      <w:r w:rsidR="009338B9" w:rsidRPr="00CF39EE" w:rsidDel="005077C9">
        <w:rPr>
          <w:rFonts w:ascii="Sylfaen" w:hAnsi="Sylfaen"/>
          <w:sz w:val="24"/>
          <w:szCs w:val="24"/>
        </w:rPr>
        <w:t xml:space="preserve"> </w:t>
      </w:r>
      <w:r w:rsidR="009338B9" w:rsidRPr="00CF39EE">
        <w:rPr>
          <w:rFonts w:ascii="Sylfaen" w:hAnsi="Sylfaen"/>
          <w:sz w:val="24"/>
          <w:szCs w:val="24"/>
        </w:rPr>
        <w:t>տարածքի սահմաններից մյուս ուղով.</w:t>
      </w:r>
    </w:p>
    <w:p w14:paraId="3BECE157"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բինի տեւ</w:t>
      </w:r>
      <w:r w:rsidR="00530191" w:rsidRPr="00530191">
        <w:rPr>
          <w:rFonts w:ascii="Sylfaen" w:hAnsi="Sylfaen"/>
          <w:b/>
          <w:sz w:val="24"/>
          <w:szCs w:val="24"/>
        </w:rPr>
        <w:t>ողություն</w:t>
      </w:r>
      <w:r w:rsidRPr="00530191">
        <w:rPr>
          <w:rFonts w:ascii="Sylfaen" w:hAnsi="Sylfaen"/>
          <w:b/>
          <w:sz w:val="24"/>
          <w:szCs w:val="24"/>
        </w:rPr>
        <w:t>՝</w:t>
      </w:r>
      <w:r w:rsidRPr="00CF39EE">
        <w:rPr>
          <w:rFonts w:ascii="Sylfaen" w:hAnsi="Sylfaen"/>
          <w:sz w:val="24"/>
          <w:szCs w:val="24"/>
        </w:rPr>
        <w:t xml:space="preserve"> սեզոնի ընթացքում h</w:t>
      </w:r>
      <w:r w:rsidRPr="00CF39EE">
        <w:rPr>
          <w:rFonts w:ascii="Sylfaen" w:hAnsi="Sylfaen"/>
          <w:sz w:val="24"/>
          <w:szCs w:val="24"/>
          <w:vertAlign w:val="subscript"/>
        </w:rPr>
        <w:t>j</w:t>
      </w:r>
      <w:r w:rsidRPr="00CF39EE">
        <w:rPr>
          <w:rFonts w:ascii="Sylfaen" w:hAnsi="Sylfaen"/>
          <w:sz w:val="24"/>
          <w:szCs w:val="24"/>
        </w:rPr>
        <w:t xml:space="preserve"> ժամերի քանակ, երբ ջերմաստիճանաժամանակային միջակայքում (բինում) գերակշռում է T</w:t>
      </w:r>
      <w:r w:rsidRPr="00CF39EE">
        <w:rPr>
          <w:rFonts w:ascii="Sylfaen" w:hAnsi="Sylfaen"/>
          <w:sz w:val="24"/>
          <w:szCs w:val="24"/>
          <w:vertAlign w:val="subscript"/>
        </w:rPr>
        <w:t>j</w:t>
      </w:r>
      <w:r w:rsidRPr="00CF39EE">
        <w:rPr>
          <w:rFonts w:ascii="Sylfaen" w:hAnsi="Sylfaen"/>
          <w:sz w:val="24"/>
          <w:szCs w:val="24"/>
        </w:rPr>
        <w:t xml:space="preserve"> արտաքին օդի ջերմաստիճանը.</w:t>
      </w:r>
    </w:p>
    <w:p w14:paraId="098D8ADE"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արտաքին օդի ջերմաստիճանը</w:t>
      </w:r>
      <w:r w:rsidR="00530191" w:rsidRPr="00530191">
        <w:rPr>
          <w:rFonts w:ascii="Sylfaen" w:hAnsi="Sylfaen"/>
          <w:b/>
          <w:sz w:val="24"/>
          <w:szCs w:val="24"/>
        </w:rPr>
        <w:t>`</w:t>
      </w:r>
      <w:r w:rsidRPr="00CF39EE">
        <w:rPr>
          <w:rFonts w:ascii="Sylfaen" w:hAnsi="Sylfaen"/>
          <w:sz w:val="24"/>
          <w:szCs w:val="24"/>
        </w:rPr>
        <w:t xml:space="preserve"> T</w:t>
      </w:r>
      <w:r w:rsidRPr="00CF39EE">
        <w:rPr>
          <w:rFonts w:ascii="Sylfaen" w:hAnsi="Sylfaen"/>
          <w:sz w:val="24"/>
          <w:szCs w:val="24"/>
          <w:vertAlign w:val="subscript"/>
        </w:rPr>
        <w:t>j</w:t>
      </w:r>
      <w:r w:rsidRPr="00CF39EE">
        <w:rPr>
          <w:rFonts w:ascii="Sylfaen" w:hAnsi="Sylfaen"/>
          <w:sz w:val="24"/>
          <w:szCs w:val="24"/>
        </w:rPr>
        <w:t xml:space="preserve"> արտաքին օդի ջերմաստիճանի </w:t>
      </w:r>
      <w:r>
        <w:rPr>
          <w:rFonts w:ascii="Sylfaen" w:hAnsi="Sylfaen"/>
          <w:sz w:val="24"/>
          <w:szCs w:val="24"/>
        </w:rPr>
        <w:t>եւ</w:t>
      </w:r>
      <w:r w:rsidRPr="00CF39EE">
        <w:rPr>
          <w:rFonts w:ascii="Sylfaen" w:hAnsi="Sylfaen"/>
          <w:sz w:val="24"/>
          <w:szCs w:val="24"/>
        </w:rPr>
        <w:t xml:space="preserve"> տարածքում T</w:t>
      </w:r>
      <w:r w:rsidRPr="00CF39EE">
        <w:rPr>
          <w:rFonts w:ascii="Sylfaen" w:hAnsi="Sylfaen"/>
          <w:sz w:val="24"/>
          <w:szCs w:val="24"/>
          <w:vertAlign w:val="subscript"/>
        </w:rPr>
        <w:t>in</w:t>
      </w:r>
      <w:r w:rsidRPr="00CF39EE">
        <w:rPr>
          <w:rFonts w:ascii="Sylfaen" w:hAnsi="Sylfaen"/>
          <w:sz w:val="24"/>
          <w:szCs w:val="24"/>
        </w:rPr>
        <w:t xml:space="preserve"> օդի ջերմաստիճանի պայմաններում հովացման P</w:t>
      </w:r>
      <w:r w:rsidRPr="00CF39EE">
        <w:rPr>
          <w:rFonts w:ascii="Sylfaen" w:hAnsi="Sylfaen"/>
          <w:sz w:val="24"/>
          <w:szCs w:val="24"/>
          <w:vertAlign w:val="subscript"/>
        </w:rPr>
        <w:t>dc</w:t>
      </w:r>
      <w:r w:rsidRPr="00CF39EE">
        <w:rPr>
          <w:rFonts w:ascii="Sylfaen" w:hAnsi="Sylfaen"/>
          <w:sz w:val="24"/>
          <w:szCs w:val="24"/>
        </w:rPr>
        <w:t>(T</w:t>
      </w:r>
      <w:r w:rsidRPr="00CF39EE">
        <w:rPr>
          <w:rFonts w:ascii="Sylfaen" w:hAnsi="Sylfaen"/>
          <w:sz w:val="24"/>
          <w:szCs w:val="24"/>
          <w:vertAlign w:val="subscript"/>
        </w:rPr>
        <w:t>j</w:t>
      </w:r>
      <w:r w:rsidRPr="00CF39EE">
        <w:rPr>
          <w:rFonts w:ascii="Sylfaen" w:hAnsi="Sylfaen"/>
          <w:sz w:val="24"/>
          <w:szCs w:val="24"/>
        </w:rPr>
        <w:t>) կամ տաքացման P</w:t>
      </w:r>
      <w:r w:rsidRPr="00CF39EE">
        <w:rPr>
          <w:rFonts w:ascii="Sylfaen" w:hAnsi="Sylfaen"/>
          <w:sz w:val="24"/>
          <w:szCs w:val="24"/>
          <w:vertAlign w:val="subscript"/>
        </w:rPr>
        <w:t>dh</w:t>
      </w:r>
      <w:r w:rsidRPr="00CF39EE">
        <w:rPr>
          <w:rFonts w:ascii="Sylfaen" w:hAnsi="Sylfaen"/>
          <w:sz w:val="24"/>
          <w:szCs w:val="24"/>
        </w:rPr>
        <w:t>(T</w:t>
      </w:r>
      <w:r w:rsidRPr="00CF39EE">
        <w:rPr>
          <w:rFonts w:ascii="Sylfaen" w:hAnsi="Sylfaen"/>
          <w:sz w:val="24"/>
          <w:szCs w:val="24"/>
          <w:vertAlign w:val="subscript"/>
        </w:rPr>
        <w:t>j</w:t>
      </w:r>
      <w:r w:rsidRPr="00CF39EE">
        <w:rPr>
          <w:rFonts w:ascii="Sylfaen" w:hAnsi="Sylfaen"/>
          <w:sz w:val="24"/>
          <w:szCs w:val="24"/>
        </w:rPr>
        <w:t>) ռեժիմում գոլորշասեղմումային ցիկլի աշխատանքն ապահովելու համար սպառվող՝ արտադրողի կողմից կՎտ-ով նշված՝ օդորակիչի հզորություն.</w:t>
      </w:r>
    </w:p>
    <w:p w14:paraId="16152C56"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հայտարարված էներգաարդյունավետություն տաքացման ռեժիմում (COP</w:t>
      </w:r>
      <w:r w:rsidRPr="00530191">
        <w:rPr>
          <w:rFonts w:ascii="Sylfaen" w:hAnsi="Sylfaen"/>
          <w:b/>
          <w:sz w:val="24"/>
          <w:szCs w:val="24"/>
          <w:vertAlign w:val="subscript"/>
        </w:rPr>
        <w:t>d</w:t>
      </w:r>
      <w:r w:rsidRPr="00530191">
        <w:rPr>
          <w:rFonts w:ascii="Sylfaen" w:hAnsi="Sylfaen"/>
          <w:b/>
          <w:sz w:val="24"/>
          <w:szCs w:val="24"/>
        </w:rPr>
        <w:t>(T</w:t>
      </w:r>
      <w:r w:rsidRPr="00530191">
        <w:rPr>
          <w:rFonts w:ascii="Sylfaen" w:hAnsi="Sylfaen"/>
          <w:b/>
          <w:sz w:val="24"/>
          <w:szCs w:val="24"/>
          <w:vertAlign w:val="subscript"/>
        </w:rPr>
        <w:t>j</w:t>
      </w:r>
      <w:r w:rsidRPr="00530191">
        <w:rPr>
          <w:rFonts w:ascii="Sylfaen" w:hAnsi="Sylfaen"/>
          <w:b/>
          <w:sz w:val="24"/>
          <w:szCs w:val="24"/>
        </w:rPr>
        <w:t xml:space="preserve">))»՝ </w:t>
      </w:r>
      <w:r w:rsidRPr="00CF39EE">
        <w:rPr>
          <w:rFonts w:ascii="Sylfaen" w:hAnsi="Sylfaen"/>
          <w:sz w:val="24"/>
          <w:szCs w:val="24"/>
        </w:rPr>
        <w:t>արտադրողի կողմից նշված՝ T</w:t>
      </w:r>
      <w:r w:rsidRPr="00CF39EE">
        <w:rPr>
          <w:rFonts w:ascii="Sylfaen" w:hAnsi="Sylfaen"/>
          <w:sz w:val="24"/>
          <w:szCs w:val="24"/>
          <w:vertAlign w:val="subscript"/>
        </w:rPr>
        <w:t>j</w:t>
      </w:r>
      <w:r w:rsidRPr="00CF39EE" w:rsidDel="00923713">
        <w:rPr>
          <w:rFonts w:ascii="Sylfaen" w:hAnsi="Sylfaen"/>
          <w:sz w:val="24"/>
          <w:szCs w:val="24"/>
        </w:rPr>
        <w:t xml:space="preserve"> </w:t>
      </w:r>
      <w:r w:rsidRPr="00CF39EE">
        <w:rPr>
          <w:rFonts w:ascii="Sylfaen" w:hAnsi="Sylfaen"/>
          <w:sz w:val="24"/>
          <w:szCs w:val="24"/>
        </w:rPr>
        <w:t>արտաքին օդի ջերմաստիճաններին</w:t>
      </w:r>
      <w:r w:rsidRPr="00CF39EE" w:rsidDel="00923713">
        <w:rPr>
          <w:rFonts w:ascii="Sylfaen" w:hAnsi="Sylfaen"/>
          <w:sz w:val="24"/>
          <w:szCs w:val="24"/>
        </w:rPr>
        <w:t xml:space="preserve"> </w:t>
      </w:r>
      <w:r w:rsidRPr="00CF39EE">
        <w:rPr>
          <w:rFonts w:ascii="Sylfaen" w:hAnsi="Sylfaen"/>
          <w:sz w:val="24"/>
          <w:szCs w:val="24"/>
        </w:rPr>
        <w:t>համապատասխանող՝ j ցուցիչով սահմանափակ քանակությամբ ջերմաստիճանաժամանակային միջակայքերի (բիների) համար տաքացման ռեժիմում օդորակիչի էներգաարդյունավետություն.</w:t>
      </w:r>
    </w:p>
    <w:p w14:paraId="45528FDF" w14:textId="77777777" w:rsidR="00530191"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հայտարարված էներգաարդյունավետություն հովացման ռեժիմում (EER</w:t>
      </w:r>
      <w:r w:rsidRPr="00530191">
        <w:rPr>
          <w:rFonts w:ascii="Sylfaen" w:hAnsi="Sylfaen"/>
          <w:b/>
          <w:sz w:val="24"/>
          <w:szCs w:val="24"/>
          <w:vertAlign w:val="subscript"/>
        </w:rPr>
        <w:t>d</w:t>
      </w:r>
      <w:r w:rsidRPr="00530191">
        <w:rPr>
          <w:rFonts w:ascii="Sylfaen" w:hAnsi="Sylfaen"/>
          <w:b/>
          <w:sz w:val="24"/>
          <w:szCs w:val="24"/>
        </w:rPr>
        <w:t>(T</w:t>
      </w:r>
      <w:r w:rsidRPr="00530191">
        <w:rPr>
          <w:rFonts w:ascii="Sylfaen" w:hAnsi="Sylfaen"/>
          <w:b/>
          <w:sz w:val="24"/>
          <w:szCs w:val="24"/>
          <w:vertAlign w:val="subscript"/>
        </w:rPr>
        <w:t>j</w:t>
      </w:r>
      <w:r w:rsidRPr="00530191">
        <w:rPr>
          <w:rFonts w:ascii="Sylfaen" w:hAnsi="Sylfaen"/>
          <w:b/>
          <w:sz w:val="24"/>
          <w:szCs w:val="24"/>
        </w:rPr>
        <w:t>))»՝</w:t>
      </w:r>
      <w:r w:rsidRPr="00CF39EE">
        <w:rPr>
          <w:rFonts w:ascii="Sylfaen" w:hAnsi="Sylfaen"/>
          <w:sz w:val="24"/>
          <w:szCs w:val="24"/>
        </w:rPr>
        <w:t xml:space="preserve"> արտադրողի կողմից նշված՝ T</w:t>
      </w:r>
      <w:r w:rsidRPr="00CF39EE">
        <w:rPr>
          <w:rFonts w:ascii="Sylfaen" w:hAnsi="Sylfaen"/>
          <w:sz w:val="24"/>
          <w:szCs w:val="24"/>
          <w:vertAlign w:val="subscript"/>
        </w:rPr>
        <w:t>j</w:t>
      </w:r>
      <w:r w:rsidRPr="00CF39EE">
        <w:rPr>
          <w:rFonts w:ascii="Sylfaen" w:hAnsi="Sylfaen"/>
          <w:sz w:val="24"/>
          <w:szCs w:val="24"/>
        </w:rPr>
        <w:t xml:space="preserve"> արտաքին օդի ջերմաստիճաններին համապատասխանող՝ j ցուցիչով սահմանափակ քանակությամբ ջերմաստիճանաժամանակային միջակայքերի (բիների) համար հովացման ռեժիմում օդորակիչի էներգաարդյունավետություն.</w:t>
      </w:r>
    </w:p>
    <w:p w14:paraId="0B66336F" w14:textId="77777777" w:rsidR="00530191" w:rsidRDefault="00530191">
      <w:pPr>
        <w:rPr>
          <w:rFonts w:ascii="Sylfaen" w:eastAsia="Times New Roman" w:hAnsi="Sylfaen" w:cs="Times New Roman"/>
          <w:color w:val="auto"/>
        </w:rPr>
      </w:pPr>
      <w:r>
        <w:rPr>
          <w:rFonts w:ascii="Sylfaen" w:hAnsi="Sylfaen"/>
        </w:rPr>
        <w:br w:type="page"/>
      </w:r>
    </w:p>
    <w:p w14:paraId="6ACFDF7F"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lastRenderedPageBreak/>
        <w:t>օդորակիչ</w:t>
      </w:r>
      <w:r w:rsidR="009338B9" w:rsidRPr="00530191">
        <w:rPr>
          <w:rFonts w:ascii="Sylfaen" w:hAnsi="Sylfaen"/>
          <w:b/>
          <w:sz w:val="24"/>
          <w:szCs w:val="24"/>
        </w:rPr>
        <w:t>՝</w:t>
      </w:r>
      <w:r w:rsidR="009338B9" w:rsidRPr="00CF39EE">
        <w:rPr>
          <w:rFonts w:ascii="Sylfaen" w:hAnsi="Sylfaen"/>
          <w:sz w:val="24"/>
          <w:szCs w:val="24"/>
        </w:rPr>
        <w:t xml:space="preserve"> ջերմային պոմպի գոլորշասեղմումային ցիկլի օգտագործման հաշվին տարածքում օդը հովացնելու </w:t>
      </w:r>
      <w:r w:rsidR="009338B9">
        <w:rPr>
          <w:rFonts w:ascii="Sylfaen" w:hAnsi="Sylfaen"/>
          <w:sz w:val="24"/>
          <w:szCs w:val="24"/>
        </w:rPr>
        <w:t>եւ</w:t>
      </w:r>
      <w:r w:rsidR="009338B9" w:rsidRPr="00CF39EE">
        <w:rPr>
          <w:rFonts w:ascii="Sylfaen" w:hAnsi="Sylfaen"/>
          <w:sz w:val="24"/>
          <w:szCs w:val="24"/>
        </w:rPr>
        <w:t xml:space="preserve"> (կամ) տաքացնելու համար նախատեսված սարքվածք, որը գործողության մեջ է դրվում էլեկտրական ճնշակի միջոցով, ներառյալ այնպիսի լրացուցիչ ֆունկցիաներ ունեցող օդորակիչները, ինչպիսիք են օդափոխություն, խոնավության նվազեցում </w:t>
      </w:r>
      <w:r w:rsidR="009338B9">
        <w:rPr>
          <w:rFonts w:ascii="Sylfaen" w:hAnsi="Sylfaen"/>
          <w:sz w:val="24"/>
          <w:szCs w:val="24"/>
        </w:rPr>
        <w:t>եւ</w:t>
      </w:r>
      <w:r w:rsidR="009338B9" w:rsidRPr="00CF39EE">
        <w:rPr>
          <w:rFonts w:ascii="Sylfaen" w:hAnsi="Sylfaen"/>
          <w:sz w:val="24"/>
          <w:szCs w:val="24"/>
        </w:rPr>
        <w:t xml:space="preserve"> օդի մաքրում, էլեկտրատաքացուցիչի միջոցով օդի լրացուցիչ տաքացում, ինչպես նա</w:t>
      </w:r>
      <w:r w:rsidR="009338B9">
        <w:rPr>
          <w:rFonts w:ascii="Sylfaen" w:hAnsi="Sylfaen"/>
          <w:sz w:val="24"/>
          <w:szCs w:val="24"/>
        </w:rPr>
        <w:t>եւ</w:t>
      </w:r>
      <w:r w:rsidR="009338B9" w:rsidRPr="00CF39EE">
        <w:rPr>
          <w:rFonts w:ascii="Sylfaen" w:hAnsi="Sylfaen"/>
          <w:sz w:val="24"/>
          <w:szCs w:val="24"/>
        </w:rPr>
        <w:t xml:space="preserve"> օդորակիչներ, որոնք կոնդենսատորի վրա կարող են գոլորշիացնել օդը (գոլորշիչի վրա խտացվող կամ դրսից մատուցվող), եթե, ընդ որում, դրանք կարող են աշխատել միայն օդի հետ առանց ջրի լրացուցիչ մատուցման.</w:t>
      </w:r>
    </w:p>
    <w:p w14:paraId="43BDF17D"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հզորության գործակից</w:t>
      </w:r>
      <w:r w:rsidR="009338B9" w:rsidRPr="00530191">
        <w:rPr>
          <w:rFonts w:ascii="Sylfaen" w:hAnsi="Sylfaen"/>
          <w:b/>
          <w:sz w:val="24"/>
          <w:szCs w:val="24"/>
        </w:rPr>
        <w:t>՝</w:t>
      </w:r>
      <w:r w:rsidR="009338B9" w:rsidRPr="00CF39EE">
        <w:rPr>
          <w:rFonts w:ascii="Sylfaen" w:hAnsi="Sylfaen"/>
          <w:sz w:val="24"/>
          <w:szCs w:val="24"/>
        </w:rPr>
        <w:t xml:space="preserve"> օդորակիչի բոլոր շահագործվող հանգույցների </w:t>
      </w:r>
      <w:r w:rsidR="009338B9">
        <w:rPr>
          <w:rFonts w:ascii="Sylfaen" w:hAnsi="Sylfaen"/>
          <w:sz w:val="24"/>
          <w:szCs w:val="24"/>
        </w:rPr>
        <w:t>եւ</w:t>
      </w:r>
      <w:r w:rsidR="009338B9" w:rsidRPr="00CF39EE">
        <w:rPr>
          <w:rFonts w:ascii="Sylfaen" w:hAnsi="Sylfaen"/>
          <w:sz w:val="24"/>
          <w:szCs w:val="24"/>
        </w:rPr>
        <w:t xml:space="preserve"> ներքին բլոկի սարքվածքների համար ստանդարտ անվանական պայմաններում հովացման </w:t>
      </w:r>
      <w:r w:rsidR="009338B9">
        <w:rPr>
          <w:rFonts w:ascii="Sylfaen" w:hAnsi="Sylfaen"/>
          <w:sz w:val="24"/>
          <w:szCs w:val="24"/>
        </w:rPr>
        <w:t>եւ</w:t>
      </w:r>
      <w:r w:rsidR="009338B9" w:rsidRPr="00CF39EE">
        <w:rPr>
          <w:rFonts w:ascii="Sylfaen" w:hAnsi="Sylfaen"/>
          <w:sz w:val="24"/>
          <w:szCs w:val="24"/>
        </w:rPr>
        <w:t xml:space="preserve"> (կամ) տաքացման ժամանակ արտադրողի կողմից հայտարարված ընդհանուր հզորության հարաբերությունն օդորակիչի բոլոր հանգույցների </w:t>
      </w:r>
      <w:r w:rsidR="009338B9">
        <w:rPr>
          <w:rFonts w:ascii="Sylfaen" w:hAnsi="Sylfaen"/>
          <w:sz w:val="24"/>
          <w:szCs w:val="24"/>
        </w:rPr>
        <w:t>եւ</w:t>
      </w:r>
      <w:r w:rsidR="009338B9" w:rsidRPr="00CF39EE">
        <w:rPr>
          <w:rFonts w:ascii="Sylfaen" w:hAnsi="Sylfaen"/>
          <w:sz w:val="24"/>
          <w:szCs w:val="24"/>
        </w:rPr>
        <w:t xml:space="preserve"> արտաքին բլոկի սարքվածքների համար նույն հայտարարված հզորության նկատմամբ.</w:t>
      </w:r>
    </w:p>
    <w:p w14:paraId="68E6270B"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pacing w:val="-6"/>
          <w:sz w:val="24"/>
          <w:szCs w:val="24"/>
        </w:rPr>
        <w:t>ար</w:t>
      </w:r>
      <w:r w:rsidR="00530191" w:rsidRPr="00530191">
        <w:rPr>
          <w:rFonts w:ascii="Sylfaen" w:hAnsi="Sylfaen"/>
          <w:b/>
          <w:spacing w:val="-6"/>
          <w:sz w:val="24"/>
          <w:szCs w:val="24"/>
        </w:rPr>
        <w:t>դյունավետության կորստի գործակից</w:t>
      </w:r>
      <w:r w:rsidRPr="00530191">
        <w:rPr>
          <w:rFonts w:ascii="Sylfaen" w:hAnsi="Sylfaen"/>
          <w:b/>
          <w:spacing w:val="-6"/>
          <w:sz w:val="24"/>
          <w:szCs w:val="24"/>
        </w:rPr>
        <w:t>՝</w:t>
      </w:r>
      <w:r w:rsidRPr="00530191">
        <w:rPr>
          <w:rFonts w:ascii="Sylfaen" w:hAnsi="Sylfaen"/>
          <w:spacing w:val="-6"/>
          <w:sz w:val="24"/>
          <w:szCs w:val="24"/>
        </w:rPr>
        <w:t xml:space="preserve"> աշխատանքի ցիկլային ռեժիմի պատճառով (ակտիվ ռեժիմում ճնշակի միացում (անջատում)) արդյունավետության կորստի մեծություն, որը որոշվում է հովացման ռեժիմի (C</w:t>
      </w:r>
      <w:r w:rsidRPr="00530191">
        <w:rPr>
          <w:rStyle w:val="Bodytext29pt"/>
          <w:rFonts w:ascii="Sylfaen" w:hAnsi="Sylfaen"/>
          <w:spacing w:val="-6"/>
          <w:sz w:val="24"/>
          <w:szCs w:val="24"/>
          <w:vertAlign w:val="subscript"/>
        </w:rPr>
        <w:t>dc</w:t>
      </w:r>
      <w:r w:rsidRPr="00530191">
        <w:rPr>
          <w:rFonts w:ascii="Sylfaen" w:hAnsi="Sylfaen"/>
          <w:spacing w:val="-6"/>
          <w:sz w:val="24"/>
          <w:szCs w:val="24"/>
        </w:rPr>
        <w:t>) եւ (կամ) տաքացման ռեժիմի</w:t>
      </w:r>
      <w:r w:rsidRPr="00CF39EE">
        <w:rPr>
          <w:rFonts w:ascii="Sylfaen" w:hAnsi="Sylfaen"/>
          <w:sz w:val="24"/>
          <w:szCs w:val="24"/>
        </w:rPr>
        <w:t xml:space="preserve"> (C</w:t>
      </w:r>
      <w:r w:rsidRPr="00CF39EE">
        <w:rPr>
          <w:rStyle w:val="Bodytext29pt"/>
          <w:rFonts w:ascii="Sylfaen" w:hAnsi="Sylfaen"/>
          <w:sz w:val="24"/>
          <w:szCs w:val="24"/>
          <w:vertAlign w:val="subscript"/>
        </w:rPr>
        <w:t>dh</w:t>
      </w:r>
      <w:r w:rsidRPr="00CF39EE">
        <w:rPr>
          <w:rFonts w:ascii="Sylfaen" w:hAnsi="Sylfaen"/>
          <w:sz w:val="24"/>
          <w:szCs w:val="24"/>
        </w:rPr>
        <w:t>) համար կամ սկզբնադիր ընդունվում է 0,25-ին հավասար.</w:t>
      </w:r>
    </w:p>
    <w:p w14:paraId="6074BAA5"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մասնակի բեռնվածքի գործակից (pl(T</w:t>
      </w:r>
      <w:r w:rsidRPr="00530191">
        <w:rPr>
          <w:rFonts w:ascii="Sylfaen" w:hAnsi="Sylfaen"/>
          <w:b/>
          <w:sz w:val="24"/>
          <w:szCs w:val="24"/>
          <w:vertAlign w:val="subscript"/>
        </w:rPr>
        <w:t>j</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արտաքին օդի ջերմաստիճանի (հանած 16° C) հարաբերությունն հովացման կամ տաքացման ռեժիմների համար չափանմուշային հաշվարկային ջերմաստիճանի (հանած 16° C) նկատմամբ.</w:t>
      </w:r>
    </w:p>
    <w:p w14:paraId="79292A20" w14:textId="77777777" w:rsidR="009338B9" w:rsidRPr="00530191" w:rsidRDefault="00530191" w:rsidP="009338B9">
      <w:pPr>
        <w:pStyle w:val="Bodytext20"/>
        <w:spacing w:after="160" w:line="360" w:lineRule="auto"/>
        <w:ind w:firstLine="567"/>
        <w:jc w:val="both"/>
        <w:rPr>
          <w:rFonts w:ascii="Sylfaen" w:hAnsi="Sylfaen"/>
          <w:spacing w:val="-6"/>
          <w:sz w:val="24"/>
          <w:szCs w:val="24"/>
        </w:rPr>
      </w:pPr>
      <w:r w:rsidRPr="00530191">
        <w:rPr>
          <w:rFonts w:ascii="Sylfaen" w:hAnsi="Sylfaen"/>
          <w:b/>
          <w:spacing w:val="-6"/>
          <w:sz w:val="24"/>
          <w:szCs w:val="24"/>
        </w:rPr>
        <w:t>օդի առավելագույն հոսք (F)</w:t>
      </w:r>
      <w:r w:rsidR="009338B9" w:rsidRPr="00530191">
        <w:rPr>
          <w:rFonts w:ascii="Sylfaen" w:hAnsi="Sylfaen"/>
          <w:b/>
          <w:spacing w:val="-6"/>
          <w:sz w:val="24"/>
          <w:szCs w:val="24"/>
        </w:rPr>
        <w:t>՝</w:t>
      </w:r>
      <w:r w:rsidR="009338B9" w:rsidRPr="00530191">
        <w:rPr>
          <w:rFonts w:ascii="Sylfaen" w:hAnsi="Sylfaen"/>
          <w:spacing w:val="-6"/>
          <w:sz w:val="24"/>
          <w:szCs w:val="24"/>
        </w:rPr>
        <w:t xml:space="preserve"> պտտելու (թեքելու) մեխանիզմի (առկայության դեպքում) անջատված լինելու դեպքում հոսքի ելքի կողմից չափված՝ առավելագույն հզորությունը սահմանելիս մ</w:t>
      </w:r>
      <w:r w:rsidR="009338B9" w:rsidRPr="00530191">
        <w:rPr>
          <w:rFonts w:ascii="Sylfaen" w:hAnsi="Sylfaen"/>
          <w:spacing w:val="-6"/>
          <w:sz w:val="24"/>
          <w:szCs w:val="24"/>
          <w:vertAlign w:val="superscript"/>
        </w:rPr>
        <w:t>3</w:t>
      </w:r>
      <w:r w:rsidR="009338B9" w:rsidRPr="00530191">
        <w:rPr>
          <w:rFonts w:ascii="Sylfaen" w:hAnsi="Sylfaen"/>
          <w:spacing w:val="-6"/>
          <w:sz w:val="24"/>
          <w:szCs w:val="24"/>
        </w:rPr>
        <w:t>/ր-ում օդափոխիչով ստեղծվող օդի հոսք.</w:t>
      </w:r>
    </w:p>
    <w:p w14:paraId="3B41F3D4"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պտտելու (թեքելու) մեխանիզմ</w:t>
      </w:r>
      <w:r w:rsidR="009338B9" w:rsidRPr="00530191">
        <w:rPr>
          <w:rFonts w:ascii="Sylfaen" w:hAnsi="Sylfaen"/>
          <w:b/>
          <w:sz w:val="24"/>
          <w:szCs w:val="24"/>
        </w:rPr>
        <w:t>՝</w:t>
      </w:r>
      <w:r w:rsidR="009338B9" w:rsidRPr="00CF39EE">
        <w:rPr>
          <w:rFonts w:ascii="Sylfaen" w:hAnsi="Sylfaen"/>
          <w:sz w:val="24"/>
          <w:szCs w:val="24"/>
        </w:rPr>
        <w:t xml:space="preserve"> օդափոխիչի աշխատանքի ժամանակ օդափոխիչով օդի հոսքի ուղղությունն ինքնաբերաբար փոփոխելու համար սարքվածք.</w:t>
      </w:r>
    </w:p>
    <w:p w14:paraId="6C33DC90"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lastRenderedPageBreak/>
        <w:t>աշխատանքի ցիկլային (</w:t>
      </w:r>
      <w:r w:rsidR="00530191" w:rsidRPr="00530191">
        <w:rPr>
          <w:rFonts w:ascii="Sylfaen" w:hAnsi="Sylfaen"/>
          <w:b/>
          <w:sz w:val="24"/>
          <w:szCs w:val="24"/>
        </w:rPr>
        <w:t>ընդհատուն) ռեժիմում հզորություն</w:t>
      </w:r>
      <w:r w:rsidRPr="00530191">
        <w:rPr>
          <w:rFonts w:ascii="Sylfaen" w:hAnsi="Sylfaen"/>
          <w:b/>
          <w:sz w:val="24"/>
          <w:szCs w:val="24"/>
        </w:rPr>
        <w:t>՝</w:t>
      </w:r>
      <w:r w:rsidRPr="00CF39EE">
        <w:rPr>
          <w:rFonts w:ascii="Sylfaen" w:hAnsi="Sylfaen"/>
          <w:sz w:val="24"/>
          <w:szCs w:val="24"/>
        </w:rPr>
        <w:t xml:space="preserve"> ժամանակի մեջ հովացման (P</w:t>
      </w:r>
      <w:r w:rsidRPr="00CF39EE">
        <w:rPr>
          <w:rFonts w:ascii="Sylfaen" w:hAnsi="Sylfaen"/>
          <w:sz w:val="24"/>
          <w:szCs w:val="24"/>
          <w:vertAlign w:val="subscript"/>
        </w:rPr>
        <w:t>cycC</w:t>
      </w:r>
      <w:r w:rsidRPr="00CF39EE">
        <w:rPr>
          <w:rFonts w:ascii="Sylfaen" w:hAnsi="Sylfaen"/>
          <w:sz w:val="24"/>
          <w:szCs w:val="24"/>
        </w:rPr>
        <w:t>) կամ տաքացման (Р</w:t>
      </w:r>
      <w:r w:rsidRPr="00CF39EE">
        <w:rPr>
          <w:rFonts w:ascii="Sylfaen" w:hAnsi="Sylfaen"/>
          <w:sz w:val="24"/>
          <w:szCs w:val="24"/>
          <w:vertAlign w:val="subscript"/>
        </w:rPr>
        <w:t>сусH</w:t>
      </w:r>
      <w:r w:rsidRPr="00CF39EE">
        <w:rPr>
          <w:rFonts w:ascii="Sylfaen" w:hAnsi="Sylfaen"/>
          <w:sz w:val="24"/>
          <w:szCs w:val="24"/>
        </w:rPr>
        <w:t xml:space="preserve">) ռեժիմում օդորակիչի փորձարկման ցիկլային միջակայքում (ճնշակի միացման </w:t>
      </w:r>
      <w:r>
        <w:rPr>
          <w:rFonts w:ascii="Sylfaen" w:hAnsi="Sylfaen"/>
          <w:sz w:val="24"/>
          <w:szCs w:val="24"/>
        </w:rPr>
        <w:t>եւ</w:t>
      </w:r>
      <w:r w:rsidRPr="00CF39EE">
        <w:rPr>
          <w:rFonts w:ascii="Sylfaen" w:hAnsi="Sylfaen"/>
          <w:sz w:val="24"/>
          <w:szCs w:val="24"/>
        </w:rPr>
        <w:t xml:space="preserve"> անջատման պատճառով ցիկլային բեռնվածքի ժամանակ) հաշվարկված՝ հայտարարված հզորության միջին արժեք.</w:t>
      </w:r>
    </w:p>
    <w:p w14:paraId="1CA16445" w14:textId="77777777" w:rsidR="009338B9" w:rsidRPr="00CF39EE" w:rsidRDefault="009338B9"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տաքացման ռեժիմում (</w:t>
      </w:r>
      <w:smartTag w:uri="urn:schemas-microsoft-com:office:smarttags" w:element="stockticker">
        <w:r w:rsidRPr="00530191">
          <w:rPr>
            <w:rFonts w:ascii="Sylfaen" w:hAnsi="Sylfaen"/>
            <w:b/>
            <w:sz w:val="24"/>
            <w:szCs w:val="24"/>
          </w:rPr>
          <w:t>P</w:t>
        </w:r>
        <w:r w:rsidRPr="00530191">
          <w:rPr>
            <w:rStyle w:val="Bodytext295pt"/>
            <w:rFonts w:ascii="Sylfaen" w:hAnsi="Sylfaen"/>
            <w:b/>
            <w:sz w:val="24"/>
            <w:szCs w:val="24"/>
            <w:vertAlign w:val="subscript"/>
          </w:rPr>
          <w:t>cop</w:t>
        </w:r>
      </w:smartTag>
      <w:r w:rsidRPr="00530191">
        <w:rPr>
          <w:rFonts w:ascii="Sylfaen" w:hAnsi="Sylfaen"/>
          <w:b/>
          <w:sz w:val="24"/>
          <w:szCs w:val="24"/>
        </w:rPr>
        <w:t>) անվանական մուտքային հզո</w:t>
      </w:r>
      <w:r w:rsidR="00530191" w:rsidRPr="00530191">
        <w:rPr>
          <w:rFonts w:ascii="Sylfaen" w:hAnsi="Sylfaen"/>
          <w:b/>
          <w:sz w:val="24"/>
          <w:szCs w:val="24"/>
        </w:rPr>
        <w:t>րություն</w:t>
      </w:r>
      <w:r w:rsidRPr="00530191">
        <w:rPr>
          <w:rFonts w:ascii="Sylfaen" w:hAnsi="Sylfaen"/>
          <w:b/>
          <w:sz w:val="24"/>
          <w:szCs w:val="24"/>
        </w:rPr>
        <w:t xml:space="preserve">՝ </w:t>
      </w:r>
      <w:r w:rsidRPr="00CF39EE">
        <w:rPr>
          <w:rFonts w:ascii="Sylfaen" w:hAnsi="Sylfaen"/>
          <w:sz w:val="24"/>
          <w:szCs w:val="24"/>
        </w:rPr>
        <w:t>տաքացման ռեժիմում օդորակիչի մուտքային սպառվող էլեկտրական հզորություն (կՎտ-ով) ստանդարտ անվանական պայմաններում.</w:t>
      </w:r>
    </w:p>
    <w:p w14:paraId="76906A87" w14:textId="77777777" w:rsidR="009338B9" w:rsidRPr="00CF39EE" w:rsidRDefault="009338B9"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հովացման ռեժիմում (P</w:t>
      </w:r>
      <w:r w:rsidRPr="00530191">
        <w:rPr>
          <w:rStyle w:val="Bodytext295pt"/>
          <w:rFonts w:ascii="Sylfaen" w:hAnsi="Sylfaen"/>
          <w:b/>
          <w:sz w:val="24"/>
          <w:szCs w:val="24"/>
          <w:vertAlign w:val="subscript"/>
        </w:rPr>
        <w:t>eer</w:t>
      </w:r>
      <w:r w:rsidRPr="00530191">
        <w:rPr>
          <w:rFonts w:ascii="Sylfaen" w:hAnsi="Sylfaen"/>
          <w:b/>
          <w:sz w:val="24"/>
          <w:szCs w:val="24"/>
        </w:rPr>
        <w:t xml:space="preserve">) </w:t>
      </w:r>
      <w:r w:rsidR="00530191" w:rsidRPr="00530191">
        <w:rPr>
          <w:rFonts w:ascii="Sylfaen" w:hAnsi="Sylfaen"/>
          <w:b/>
          <w:sz w:val="24"/>
          <w:szCs w:val="24"/>
        </w:rPr>
        <w:t>մուտքային անվանական հզորություն</w:t>
      </w:r>
      <w:r w:rsidRPr="00530191">
        <w:rPr>
          <w:rFonts w:ascii="Sylfaen" w:hAnsi="Sylfaen"/>
          <w:b/>
          <w:sz w:val="24"/>
          <w:szCs w:val="24"/>
        </w:rPr>
        <w:t>՝</w:t>
      </w:r>
      <w:r w:rsidRPr="00CF39EE">
        <w:rPr>
          <w:rFonts w:ascii="Sylfaen" w:hAnsi="Sylfaen"/>
          <w:sz w:val="24"/>
          <w:szCs w:val="24"/>
        </w:rPr>
        <w:t xml:space="preserve"> հովացման ռեժիմում ստանդարտ անվանական պայմաններում օդորակիչի մուտքային սպառվող էլեկտրական հզորություն (կՎտ-ով).</w:t>
      </w:r>
    </w:p>
    <w:p w14:paraId="1D53B77A" w14:textId="77777777" w:rsidR="009338B9" w:rsidRPr="00CF39EE" w:rsidRDefault="009338B9"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անվանական հզորություն (P</w:t>
      </w:r>
      <w:r w:rsidRPr="00530191">
        <w:rPr>
          <w:rFonts w:ascii="Sylfaen" w:hAnsi="Sylfaen"/>
          <w:b/>
          <w:sz w:val="24"/>
          <w:szCs w:val="24"/>
          <w:vertAlign w:val="subscript"/>
        </w:rPr>
        <w:t>rated</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հովացման </w:t>
      </w:r>
      <w:r>
        <w:rPr>
          <w:rFonts w:ascii="Sylfaen" w:hAnsi="Sylfaen"/>
          <w:sz w:val="24"/>
          <w:szCs w:val="24"/>
        </w:rPr>
        <w:t>եւ</w:t>
      </w:r>
      <w:r w:rsidRPr="00CF39EE">
        <w:rPr>
          <w:rFonts w:ascii="Sylfaen" w:hAnsi="Sylfaen"/>
          <w:sz w:val="24"/>
          <w:szCs w:val="24"/>
        </w:rPr>
        <w:t xml:space="preserve"> (կամ) տաքացման ռեժիմում գոլորշասեղմումային ցիկլի աշխատանքն ապահովելու համար ստանդարտ անվանական պայմաններում օդորակիչով սպառվող հզորություն.</w:t>
      </w:r>
    </w:p>
    <w:p w14:paraId="2FB295AB" w14:textId="77777777" w:rsidR="009338B9" w:rsidRPr="00CF39EE" w:rsidRDefault="009338B9"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հովացման ռեժիմում անվանական էներգետիկ արդյունավետություն (EER</w:t>
      </w:r>
      <w:r w:rsidRPr="00530191">
        <w:rPr>
          <w:rFonts w:ascii="Sylfaen" w:hAnsi="Sylfaen"/>
          <w:b/>
          <w:sz w:val="24"/>
          <w:szCs w:val="24"/>
          <w:vertAlign w:val="subscript"/>
        </w:rPr>
        <w:t>rated</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օդորակիչի հովացման հայտարարված հզորության (կՎտ-ով) հարաբերությունը ստանդարտ անվանական պայմաններում հովացման ռեժիմում սպառվող անվանական հզորության (կՎտ-ով) նկատմամբ.</w:t>
      </w:r>
    </w:p>
    <w:p w14:paraId="71248C7F" w14:textId="77777777" w:rsidR="009338B9" w:rsidRPr="00CF39EE" w:rsidRDefault="009338B9"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տաքացման ռեժիմում անվանական էներգետիկ արդյունավետություն (COP</w:t>
      </w:r>
      <w:r w:rsidRPr="00530191">
        <w:rPr>
          <w:rStyle w:val="Bodytext29pt"/>
          <w:rFonts w:ascii="Sylfaen" w:hAnsi="Sylfaen"/>
          <w:b/>
          <w:sz w:val="24"/>
          <w:szCs w:val="24"/>
          <w:vertAlign w:val="subscript"/>
        </w:rPr>
        <w:t>rated</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օդորակիչի տաքացման հայտարարված հզորության (կՎտ-ով) հարաբերությունը ստանդարտ անվանական պայմաններում տաքացման ռեժիմում սպառվող անվանական հզորության (կՎտ-ով) նկատմամբ.</w:t>
      </w:r>
    </w:p>
    <w:p w14:paraId="222EDA00" w14:textId="77777777" w:rsidR="009338B9" w:rsidRPr="00CF39EE" w:rsidRDefault="00530191"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օդի անվանական հոսք</w:t>
      </w:r>
      <w:r w:rsidR="009338B9" w:rsidRPr="00530191">
        <w:rPr>
          <w:rFonts w:ascii="Sylfaen" w:hAnsi="Sylfaen"/>
          <w:b/>
          <w:sz w:val="24"/>
          <w:szCs w:val="24"/>
        </w:rPr>
        <w:t>՝</w:t>
      </w:r>
      <w:r w:rsidR="009338B9" w:rsidRPr="00CF39EE">
        <w:rPr>
          <w:rFonts w:ascii="Sylfaen" w:hAnsi="Sylfaen"/>
          <w:sz w:val="24"/>
          <w:szCs w:val="24"/>
        </w:rPr>
        <w:t xml:space="preserve"> հովացման ռեժիմում (կամ տաքացման ռեժիմում, եթե օդորակիչը հովացման ֆունկցիա չունի) ստանդարտ անվանական պայմաններում օդորակիչի ներքին կամ արտաքին (առկայության դեպքում) բլոկից ելքում չափված օդի հոսք (մ</w:t>
      </w:r>
      <w:r w:rsidR="009338B9" w:rsidRPr="00CF39EE">
        <w:rPr>
          <w:rFonts w:ascii="Sylfaen" w:hAnsi="Sylfaen"/>
          <w:sz w:val="24"/>
          <w:szCs w:val="24"/>
          <w:vertAlign w:val="superscript"/>
        </w:rPr>
        <w:t>3</w:t>
      </w:r>
      <w:r w:rsidR="009338B9" w:rsidRPr="00CF39EE">
        <w:rPr>
          <w:rFonts w:ascii="Sylfaen" w:hAnsi="Sylfaen"/>
          <w:sz w:val="24"/>
          <w:szCs w:val="24"/>
        </w:rPr>
        <w:t>/ժ).</w:t>
      </w:r>
    </w:p>
    <w:p w14:paraId="7A6E0132" w14:textId="77777777" w:rsidR="009338B9" w:rsidRPr="00CF39EE" w:rsidRDefault="00530191" w:rsidP="00530191">
      <w:pPr>
        <w:pStyle w:val="Bodytext20"/>
        <w:spacing w:after="160" w:line="348" w:lineRule="auto"/>
        <w:ind w:firstLine="567"/>
        <w:jc w:val="both"/>
        <w:rPr>
          <w:rFonts w:ascii="Sylfaen" w:hAnsi="Sylfaen"/>
          <w:sz w:val="24"/>
          <w:szCs w:val="24"/>
        </w:rPr>
      </w:pPr>
      <w:r w:rsidRPr="00530191">
        <w:rPr>
          <w:rFonts w:ascii="Sylfaen" w:hAnsi="Sylfaen"/>
          <w:b/>
          <w:sz w:val="24"/>
          <w:szCs w:val="24"/>
        </w:rPr>
        <w:t>միուղի օդորակիչ</w:t>
      </w:r>
      <w:r w:rsidR="009338B9" w:rsidRPr="00530191">
        <w:rPr>
          <w:rFonts w:ascii="Sylfaen" w:hAnsi="Sylfaen"/>
          <w:b/>
          <w:sz w:val="24"/>
          <w:szCs w:val="24"/>
        </w:rPr>
        <w:t>՝</w:t>
      </w:r>
      <w:r w:rsidR="009338B9" w:rsidRPr="00CF39EE">
        <w:rPr>
          <w:rFonts w:ascii="Sylfaen" w:hAnsi="Sylfaen"/>
          <w:sz w:val="24"/>
          <w:szCs w:val="24"/>
        </w:rPr>
        <w:t xml:space="preserve"> օդորակիչ, որում հովացման կամ տաքացման ժամանակ կոնդենսատորը կամ գոլորշիչը շրջափչող օդը մատուցվում է այն տարածքից, որտեղ գտնվում է օդորակիչը, </w:t>
      </w:r>
      <w:r w:rsidR="009338B9">
        <w:rPr>
          <w:rFonts w:ascii="Sylfaen" w:hAnsi="Sylfaen"/>
          <w:sz w:val="24"/>
          <w:szCs w:val="24"/>
        </w:rPr>
        <w:t>եւ</w:t>
      </w:r>
      <w:r w:rsidR="009338B9" w:rsidRPr="00CF39EE">
        <w:rPr>
          <w:rFonts w:ascii="Sylfaen" w:hAnsi="Sylfaen"/>
          <w:sz w:val="24"/>
          <w:szCs w:val="24"/>
        </w:rPr>
        <w:t xml:space="preserve"> այդ տարածքի սահմաններից դուրս է բերվում.</w:t>
      </w:r>
    </w:p>
    <w:p w14:paraId="6930DB24"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lastRenderedPageBreak/>
        <w:t>գլոբալ տաքացման ներուժ (GWP)</w:t>
      </w:r>
      <w:r w:rsidR="009338B9" w:rsidRPr="00530191">
        <w:rPr>
          <w:rFonts w:ascii="Sylfaen" w:hAnsi="Sylfaen"/>
          <w:b/>
          <w:sz w:val="24"/>
          <w:szCs w:val="24"/>
        </w:rPr>
        <w:t>՝</w:t>
      </w:r>
      <w:r w:rsidR="009338B9" w:rsidRPr="00CF39EE">
        <w:rPr>
          <w:rFonts w:ascii="Sylfaen" w:hAnsi="Sylfaen"/>
          <w:sz w:val="24"/>
          <w:szCs w:val="24"/>
        </w:rPr>
        <w:t xml:space="preserve"> ՄԱԿ-ի 1992 թվականի մայիսի 9-ի «Կլիմայի փոփոխության մասին» շրջանակային կոնվենցիայի՝ 1997 թվականի դեկտեմբերի 11-ի Կիոտոյի արձանագրությանը </w:t>
      </w:r>
      <w:r w:rsidR="009338B9">
        <w:rPr>
          <w:rFonts w:ascii="Sylfaen" w:hAnsi="Sylfaen"/>
          <w:sz w:val="24"/>
          <w:szCs w:val="24"/>
        </w:rPr>
        <w:t>եւ</w:t>
      </w:r>
      <w:r w:rsidR="009338B9" w:rsidRPr="00CF39EE">
        <w:rPr>
          <w:rFonts w:ascii="Sylfaen" w:hAnsi="Sylfaen"/>
          <w:sz w:val="24"/>
          <w:szCs w:val="24"/>
        </w:rPr>
        <w:t xml:space="preserve"> Շրջակա միջավայրի վերաբերյալ ՄԱԿ-ի ծրագրի (UNEP) կատարման շրջանակներում Կլիմայի փոփոխության հարցերով փորձագիտական միջկառավարական խմբի (</w:t>
      </w:r>
      <w:r w:rsidRPr="00530191">
        <w:rPr>
          <w:rFonts w:ascii="Sylfaen" w:hAnsi="Sylfaen"/>
          <w:sz w:val="24"/>
          <w:szCs w:val="24"/>
        </w:rPr>
        <w:t>I</w:t>
      </w:r>
      <w:r w:rsidR="009338B9" w:rsidRPr="00CF39EE">
        <w:rPr>
          <w:rFonts w:ascii="Sylfaen" w:hAnsi="Sylfaen"/>
          <w:sz w:val="24"/>
          <w:szCs w:val="24"/>
        </w:rPr>
        <w:t>PCC) պաշտոնական հրապարակումներին (հաշվետվություններին) համապատասխան ներմուծված՝ 100 տարվա ընթացքում մեկ կիլոգրամ նյութի՝ ջերմոցային էֆեկտին (գլոբալ տաքացմանը) նպաստելու մասով ազդեցության մակարդակը սահմանող գործակից, որը թվով հավասար է 100 տարվա ընթացքում նույնպիսի ջերմոցային էֆեկտ ստեղծող՝ կգ-ով ածխաթթու գազի համարժեք զանգվածին (GWPco</w:t>
      </w:r>
      <w:r w:rsidR="009338B9" w:rsidRPr="00CF39EE">
        <w:rPr>
          <w:rFonts w:ascii="Sylfaen" w:hAnsi="Sylfaen"/>
          <w:sz w:val="24"/>
          <w:szCs w:val="24"/>
          <w:vertAlign w:val="subscript"/>
        </w:rPr>
        <w:t>2</w:t>
      </w:r>
      <w:r w:rsidR="009338B9" w:rsidRPr="00CF39EE">
        <w:rPr>
          <w:rFonts w:ascii="Sylfaen" w:hAnsi="Sylfaen"/>
          <w:sz w:val="24"/>
          <w:szCs w:val="24"/>
        </w:rPr>
        <w:t xml:space="preserve"> = 1).</w:t>
      </w:r>
    </w:p>
    <w:p w14:paraId="1253D736" w14:textId="77777777" w:rsidR="009338B9" w:rsidRPr="00530191" w:rsidRDefault="009338B9" w:rsidP="009338B9">
      <w:pPr>
        <w:pStyle w:val="Bodytext20"/>
        <w:spacing w:after="160" w:line="360" w:lineRule="auto"/>
        <w:ind w:firstLine="567"/>
        <w:jc w:val="both"/>
        <w:rPr>
          <w:rFonts w:ascii="Sylfaen" w:hAnsi="Sylfaen"/>
          <w:spacing w:val="-6"/>
          <w:sz w:val="24"/>
          <w:szCs w:val="24"/>
        </w:rPr>
      </w:pPr>
      <w:r w:rsidRPr="00530191">
        <w:rPr>
          <w:rFonts w:ascii="Sylfaen" w:hAnsi="Sylfaen"/>
          <w:b/>
          <w:spacing w:val="-6"/>
          <w:sz w:val="24"/>
          <w:szCs w:val="24"/>
        </w:rPr>
        <w:t>անջատման ռեժիմում սպառվող հզորություն (P</w:t>
      </w:r>
      <w:r w:rsidRPr="00530191">
        <w:rPr>
          <w:rStyle w:val="Bodytext295pt"/>
          <w:rFonts w:ascii="Sylfaen" w:hAnsi="Sylfaen"/>
          <w:b/>
          <w:spacing w:val="-6"/>
          <w:sz w:val="24"/>
          <w:szCs w:val="24"/>
          <w:vertAlign w:val="subscript"/>
        </w:rPr>
        <w:t>off</w:t>
      </w:r>
      <w:r w:rsidR="00530191" w:rsidRPr="00530191">
        <w:rPr>
          <w:rFonts w:ascii="Sylfaen" w:hAnsi="Sylfaen"/>
          <w:b/>
          <w:spacing w:val="-6"/>
          <w:sz w:val="24"/>
          <w:szCs w:val="24"/>
        </w:rPr>
        <w:t>)</w:t>
      </w:r>
      <w:r w:rsidRPr="00530191">
        <w:rPr>
          <w:rFonts w:ascii="Sylfaen" w:hAnsi="Sylfaen"/>
          <w:b/>
          <w:spacing w:val="-6"/>
          <w:sz w:val="24"/>
          <w:szCs w:val="24"/>
        </w:rPr>
        <w:t>՝</w:t>
      </w:r>
      <w:r w:rsidRPr="00530191">
        <w:rPr>
          <w:rFonts w:ascii="Sylfaen" w:hAnsi="Sylfaen"/>
          <w:spacing w:val="-6"/>
          <w:sz w:val="24"/>
          <w:szCs w:val="24"/>
        </w:rPr>
        <w:t xml:space="preserve"> էլեկտրական էներգասպառող սարքվածքով անջատման ռեժիմում սպառվող հզորություն (կՎտ-ով).</w:t>
      </w:r>
    </w:p>
    <w:p w14:paraId="3573F202" w14:textId="77777777" w:rsidR="009338B9" w:rsidRPr="00530191" w:rsidRDefault="009338B9" w:rsidP="009338B9">
      <w:pPr>
        <w:pStyle w:val="Bodytext20"/>
        <w:spacing w:after="160" w:line="360" w:lineRule="auto"/>
        <w:ind w:firstLine="567"/>
        <w:jc w:val="both"/>
        <w:rPr>
          <w:rFonts w:ascii="Sylfaen" w:hAnsi="Sylfaen"/>
          <w:spacing w:val="-6"/>
          <w:sz w:val="24"/>
          <w:szCs w:val="24"/>
        </w:rPr>
      </w:pPr>
      <w:r w:rsidRPr="00530191">
        <w:rPr>
          <w:rFonts w:ascii="Sylfaen" w:hAnsi="Sylfaen"/>
          <w:b/>
          <w:spacing w:val="-6"/>
          <w:sz w:val="24"/>
          <w:szCs w:val="24"/>
        </w:rPr>
        <w:t>սպասման ռեժիմում սպառվող հզորություն (</w:t>
      </w:r>
      <w:smartTag w:uri="urn:schemas-microsoft-com:office:smarttags" w:element="stockticker">
        <w:r w:rsidRPr="00530191">
          <w:rPr>
            <w:rFonts w:ascii="Sylfaen" w:hAnsi="Sylfaen"/>
            <w:b/>
            <w:spacing w:val="-6"/>
            <w:sz w:val="24"/>
            <w:szCs w:val="24"/>
          </w:rPr>
          <w:t>P</w:t>
        </w:r>
        <w:r w:rsidRPr="00530191">
          <w:rPr>
            <w:rFonts w:ascii="Sylfaen" w:hAnsi="Sylfaen"/>
            <w:b/>
            <w:spacing w:val="-6"/>
            <w:sz w:val="24"/>
            <w:szCs w:val="24"/>
            <w:vertAlign w:val="subscript"/>
          </w:rPr>
          <w:t>SB</w:t>
        </w:r>
      </w:smartTag>
      <w:r w:rsidR="00530191" w:rsidRPr="00530191">
        <w:rPr>
          <w:rFonts w:ascii="Sylfaen" w:hAnsi="Sylfaen"/>
          <w:b/>
          <w:spacing w:val="-6"/>
          <w:sz w:val="24"/>
          <w:szCs w:val="24"/>
        </w:rPr>
        <w:t>)</w:t>
      </w:r>
      <w:r w:rsidRPr="00530191">
        <w:rPr>
          <w:rFonts w:ascii="Sylfaen" w:hAnsi="Sylfaen"/>
          <w:b/>
          <w:spacing w:val="-6"/>
          <w:sz w:val="24"/>
          <w:szCs w:val="24"/>
        </w:rPr>
        <w:t>՝</w:t>
      </w:r>
      <w:r w:rsidRPr="00530191">
        <w:rPr>
          <w:rFonts w:ascii="Sylfaen" w:hAnsi="Sylfaen"/>
          <w:spacing w:val="-6"/>
          <w:sz w:val="24"/>
          <w:szCs w:val="24"/>
        </w:rPr>
        <w:t xml:space="preserve"> էլեկտրական էներգասպառող սարքվածքով սպասման ռեժիմում սպառվող հզորություն (կՎտ-ով).</w:t>
      </w:r>
    </w:p>
    <w:p w14:paraId="3C1803D4"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հենատուփային տաքացուցիչով աշխատանքի ռեժիմում (P</w:t>
      </w:r>
      <w:r w:rsidRPr="00530191">
        <w:rPr>
          <w:rFonts w:ascii="Sylfaen" w:hAnsi="Sylfaen"/>
          <w:b/>
          <w:sz w:val="24"/>
          <w:szCs w:val="24"/>
          <w:vertAlign w:val="subscript"/>
        </w:rPr>
        <w:t>ск</w:t>
      </w:r>
      <w:r w:rsidR="00530191" w:rsidRPr="00530191">
        <w:rPr>
          <w:rFonts w:ascii="Sylfaen" w:hAnsi="Sylfaen"/>
          <w:b/>
          <w:sz w:val="24"/>
          <w:szCs w:val="24"/>
        </w:rPr>
        <w:t>) սպառվող հզորություն</w:t>
      </w:r>
      <w:r w:rsidRPr="00530191">
        <w:rPr>
          <w:rFonts w:ascii="Sylfaen" w:hAnsi="Sylfaen"/>
          <w:b/>
          <w:sz w:val="24"/>
          <w:szCs w:val="24"/>
        </w:rPr>
        <w:t>՝</w:t>
      </w:r>
      <w:r w:rsidRPr="00CF39EE">
        <w:rPr>
          <w:rFonts w:ascii="Sylfaen" w:hAnsi="Sylfaen"/>
          <w:sz w:val="24"/>
          <w:szCs w:val="24"/>
        </w:rPr>
        <w:t xml:space="preserve"> հենատուփային տաքացուցիչով աշխատանքի ռեժիմում օդորակիչով սպառվող հզորություն (կՎտ-ով).</w:t>
      </w:r>
    </w:p>
    <w:p w14:paraId="0057B256"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անջատված ջերմակարգավորիչով ռեժիմում (P</w:t>
      </w:r>
      <w:r w:rsidRPr="00530191">
        <w:rPr>
          <w:rFonts w:ascii="Sylfaen" w:hAnsi="Sylfaen"/>
          <w:b/>
          <w:sz w:val="24"/>
          <w:szCs w:val="24"/>
          <w:vertAlign w:val="subscript"/>
        </w:rPr>
        <w:t>TO</w:t>
      </w:r>
      <w:r w:rsidR="00530191" w:rsidRPr="00530191">
        <w:rPr>
          <w:rFonts w:ascii="Sylfaen" w:hAnsi="Sylfaen"/>
          <w:b/>
          <w:sz w:val="24"/>
          <w:szCs w:val="24"/>
        </w:rPr>
        <w:t>) սպառվող հզորություն</w:t>
      </w:r>
      <w:r w:rsidRPr="00530191">
        <w:rPr>
          <w:rFonts w:ascii="Sylfaen" w:hAnsi="Sylfaen"/>
          <w:b/>
          <w:sz w:val="24"/>
          <w:szCs w:val="24"/>
        </w:rPr>
        <w:t>՝</w:t>
      </w:r>
      <w:r w:rsidRPr="00CF39EE">
        <w:rPr>
          <w:rFonts w:ascii="Sylfaen" w:hAnsi="Sylfaen"/>
          <w:sz w:val="24"/>
          <w:szCs w:val="24"/>
        </w:rPr>
        <w:t xml:space="preserve"> անջատված ջերմակարգավորիչով աշխատանքի ռեժիմում օդորակիչով սպառվող հզորություն (կՎտ-ով).</w:t>
      </w:r>
    </w:p>
    <w:p w14:paraId="3F614A4F"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աշխատանքային ջերմաստիճանի սահմանային արժեք (T</w:t>
      </w:r>
      <w:r w:rsidRPr="00530191">
        <w:rPr>
          <w:rFonts w:ascii="Sylfaen" w:hAnsi="Sylfaen"/>
          <w:b/>
          <w:sz w:val="24"/>
          <w:szCs w:val="24"/>
          <w:vertAlign w:val="subscript"/>
        </w:rPr>
        <w:t>ol</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արտադրողի կողմից նշված՝ արտաքին օդի նվազագույն արժեք (°C-ով), որի դեպքում օդորակիչը ունակ է աշխատելու տաքացման ռեժիմում (տվյալ ջերմաստիճանից ցածր լինելու դեպքում տաքացման հայտարարված հզորությունը հավասար է զրոյի).</w:t>
      </w:r>
    </w:p>
    <w:p w14:paraId="126C93F7"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նախագծային (ան</w:t>
      </w:r>
      <w:r w:rsidR="00530191" w:rsidRPr="00530191">
        <w:rPr>
          <w:rFonts w:ascii="Sylfaen" w:hAnsi="Sylfaen"/>
          <w:b/>
          <w:sz w:val="24"/>
          <w:szCs w:val="24"/>
        </w:rPr>
        <w:t>վանական) հզորություն (բեռնվածք)</w:t>
      </w:r>
      <w:r w:rsidRPr="00530191">
        <w:rPr>
          <w:rFonts w:ascii="Sylfaen" w:hAnsi="Sylfaen"/>
          <w:b/>
          <w:sz w:val="24"/>
          <w:szCs w:val="24"/>
        </w:rPr>
        <w:t>՝</w:t>
      </w:r>
      <w:r w:rsidRPr="00CF39EE">
        <w:rPr>
          <w:rFonts w:ascii="Sylfaen" w:hAnsi="Sylfaen"/>
          <w:sz w:val="24"/>
          <w:szCs w:val="24"/>
        </w:rPr>
        <w:t xml:space="preserve"> P</w:t>
      </w:r>
      <w:r w:rsidRPr="00CF39EE">
        <w:rPr>
          <w:rFonts w:ascii="Sylfaen" w:hAnsi="Sylfaen"/>
          <w:sz w:val="24"/>
          <w:szCs w:val="24"/>
          <w:vertAlign w:val="subscript"/>
        </w:rPr>
        <w:t>designC</w:t>
      </w:r>
      <w:r w:rsidRPr="00CF39EE">
        <w:rPr>
          <w:rFonts w:ascii="Sylfaen" w:hAnsi="Sylfaen"/>
          <w:sz w:val="24"/>
          <w:szCs w:val="24"/>
        </w:rPr>
        <w:t xml:space="preserve"> հովացման (T</w:t>
      </w:r>
      <w:r w:rsidRPr="00CF39EE">
        <w:rPr>
          <w:rFonts w:ascii="Sylfaen" w:hAnsi="Sylfaen"/>
          <w:sz w:val="24"/>
          <w:szCs w:val="24"/>
          <w:vertAlign w:val="subscript"/>
        </w:rPr>
        <w:t>j</w:t>
      </w:r>
      <w:r w:rsidRPr="00CF39EE">
        <w:rPr>
          <w:rFonts w:ascii="Sylfaen" w:hAnsi="Sylfaen"/>
          <w:sz w:val="24"/>
          <w:szCs w:val="24"/>
        </w:rPr>
        <w:t xml:space="preserve"> = T</w:t>
      </w:r>
      <w:r w:rsidRPr="00CF39EE">
        <w:rPr>
          <w:rFonts w:ascii="Sylfaen" w:hAnsi="Sylfaen"/>
          <w:sz w:val="24"/>
          <w:szCs w:val="24"/>
          <w:vertAlign w:val="subscript"/>
        </w:rPr>
        <w:t>designC</w:t>
      </w:r>
      <w:r w:rsidRPr="00CF39EE">
        <w:rPr>
          <w:rFonts w:ascii="Sylfaen" w:hAnsi="Sylfaen"/>
          <w:sz w:val="24"/>
          <w:szCs w:val="24"/>
        </w:rPr>
        <w:t xml:space="preserve">-ի դեպքում հավասար է հովացման ռեժիմում հզորությանը) </w:t>
      </w:r>
      <w:r>
        <w:rPr>
          <w:rFonts w:ascii="Sylfaen" w:hAnsi="Sylfaen"/>
          <w:sz w:val="24"/>
          <w:szCs w:val="24"/>
        </w:rPr>
        <w:t>եւ</w:t>
      </w:r>
      <w:r w:rsidRPr="00CF39EE">
        <w:rPr>
          <w:rFonts w:ascii="Sylfaen" w:hAnsi="Sylfaen"/>
          <w:sz w:val="24"/>
          <w:szCs w:val="24"/>
        </w:rPr>
        <w:t xml:space="preserve"> (կամ) P</w:t>
      </w:r>
      <w:r w:rsidRPr="00CF39EE">
        <w:rPr>
          <w:rFonts w:ascii="Sylfaen" w:hAnsi="Sylfaen"/>
          <w:sz w:val="24"/>
          <w:szCs w:val="24"/>
          <w:vertAlign w:val="subscript"/>
        </w:rPr>
        <w:t>designH</w:t>
      </w:r>
      <w:r w:rsidRPr="00CF39EE">
        <w:rPr>
          <w:rFonts w:ascii="Sylfaen" w:hAnsi="Sylfaen"/>
          <w:sz w:val="24"/>
          <w:szCs w:val="24"/>
        </w:rPr>
        <w:t xml:space="preserve"> տաքացման ռեժիմում (T</w:t>
      </w:r>
      <w:r w:rsidRPr="00CF39EE">
        <w:rPr>
          <w:rFonts w:ascii="Sylfaen" w:hAnsi="Sylfaen"/>
          <w:sz w:val="24"/>
          <w:szCs w:val="24"/>
          <w:vertAlign w:val="subscript"/>
        </w:rPr>
        <w:t>j</w:t>
      </w:r>
      <w:r w:rsidRPr="00CF39EE">
        <w:rPr>
          <w:rFonts w:ascii="Sylfaen" w:hAnsi="Sylfaen"/>
          <w:sz w:val="24"/>
          <w:szCs w:val="24"/>
        </w:rPr>
        <w:t xml:space="preserve"> = T</w:t>
      </w:r>
      <w:r w:rsidRPr="00CF39EE">
        <w:rPr>
          <w:rFonts w:ascii="Sylfaen" w:hAnsi="Sylfaen"/>
          <w:sz w:val="24"/>
          <w:szCs w:val="24"/>
          <w:vertAlign w:val="subscript"/>
        </w:rPr>
        <w:t>designH</w:t>
      </w:r>
      <w:r w:rsidRPr="00CF39EE">
        <w:rPr>
          <w:rFonts w:ascii="Sylfaen" w:hAnsi="Sylfaen"/>
          <w:sz w:val="24"/>
          <w:szCs w:val="24"/>
        </w:rPr>
        <w:t xml:space="preserve">-ի դեպքում հավասար է տաքացման ռեժիմում </w:t>
      </w:r>
      <w:r w:rsidRPr="00CF39EE">
        <w:rPr>
          <w:rFonts w:ascii="Sylfaen" w:hAnsi="Sylfaen"/>
          <w:sz w:val="24"/>
          <w:szCs w:val="24"/>
        </w:rPr>
        <w:lastRenderedPageBreak/>
        <w:t>մասնակի բեռնվածքին) չափանմուշային հաշվարկային ջերմաստիճանի դեպքում արտադրողի կողմից նշված հզորություն (բեռնվածք) (կՎտ-ով).</w:t>
      </w:r>
    </w:p>
    <w:p w14:paraId="6A7535BB"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դարձափոխային օդորակիչ</w:t>
      </w:r>
      <w:r w:rsidR="009338B9" w:rsidRPr="00530191">
        <w:rPr>
          <w:rFonts w:ascii="Sylfaen" w:hAnsi="Sylfaen"/>
          <w:b/>
          <w:sz w:val="24"/>
          <w:szCs w:val="24"/>
        </w:rPr>
        <w:t>՝</w:t>
      </w:r>
      <w:r w:rsidR="009338B9" w:rsidRPr="00CF39EE">
        <w:rPr>
          <w:rFonts w:ascii="Sylfaen" w:hAnsi="Sylfaen"/>
          <w:sz w:val="24"/>
          <w:szCs w:val="24"/>
        </w:rPr>
        <w:t xml:space="preserve"> օդի հովացման </w:t>
      </w:r>
      <w:r w:rsidR="009338B9">
        <w:rPr>
          <w:rFonts w:ascii="Sylfaen" w:hAnsi="Sylfaen"/>
          <w:sz w:val="24"/>
          <w:szCs w:val="24"/>
        </w:rPr>
        <w:t>եւ</w:t>
      </w:r>
      <w:r w:rsidR="009338B9" w:rsidRPr="00CF39EE">
        <w:rPr>
          <w:rFonts w:ascii="Sylfaen" w:hAnsi="Sylfaen"/>
          <w:sz w:val="24"/>
          <w:szCs w:val="24"/>
        </w:rPr>
        <w:t xml:space="preserve"> տաքացման համար նախատեսված օդորակիչ.</w:t>
      </w:r>
    </w:p>
    <w:p w14:paraId="2D9B4052"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հզորության կարգավորում</w:t>
      </w:r>
      <w:r w:rsidR="009338B9" w:rsidRPr="00530191">
        <w:rPr>
          <w:rFonts w:ascii="Sylfaen" w:hAnsi="Sylfaen"/>
          <w:b/>
          <w:sz w:val="24"/>
          <w:szCs w:val="24"/>
        </w:rPr>
        <w:t>՝</w:t>
      </w:r>
      <w:r w:rsidR="009338B9" w:rsidRPr="00CF39EE">
        <w:rPr>
          <w:rFonts w:ascii="Sylfaen" w:hAnsi="Sylfaen"/>
          <w:sz w:val="24"/>
          <w:szCs w:val="24"/>
        </w:rPr>
        <w:t xml:space="preserve"> սարքի՝ օդային հոսքի մեծությունը փոխելու միջոցով</w:t>
      </w:r>
      <w:r w:rsidR="009338B9">
        <w:rPr>
          <w:rFonts w:ascii="Sylfaen" w:hAnsi="Sylfaen"/>
          <w:sz w:val="24"/>
          <w:szCs w:val="24"/>
        </w:rPr>
        <w:t xml:space="preserve"> </w:t>
      </w:r>
      <w:r w:rsidR="009338B9" w:rsidRPr="00CF39EE">
        <w:rPr>
          <w:rFonts w:ascii="Sylfaen" w:hAnsi="Sylfaen"/>
          <w:sz w:val="24"/>
          <w:szCs w:val="24"/>
        </w:rPr>
        <w:t>իր հզորությունը փոխելու ունակություն (սարքերը նշվում են որպես «ս</w:t>
      </w:r>
      <w:r w:rsidR="009338B9">
        <w:rPr>
          <w:rFonts w:ascii="Sylfaen" w:hAnsi="Sylfaen"/>
          <w:sz w:val="24"/>
          <w:szCs w:val="24"/>
        </w:rPr>
        <w:t>եւ</w:t>
      </w:r>
      <w:r w:rsidR="009338B9" w:rsidRPr="00CF39EE">
        <w:rPr>
          <w:rFonts w:ascii="Sylfaen" w:hAnsi="Sylfaen"/>
          <w:sz w:val="24"/>
          <w:szCs w:val="24"/>
        </w:rPr>
        <w:t xml:space="preserve">եռուն կարգաբերված», եթե հոսքը չի կարգավորվում, «աստիճանավոր կարգավորվող», եթե հնարավոր է հզորության երկու կարգաբերում, </w:t>
      </w:r>
      <w:r w:rsidR="009338B9">
        <w:rPr>
          <w:rFonts w:ascii="Sylfaen" w:hAnsi="Sylfaen"/>
          <w:sz w:val="24"/>
          <w:szCs w:val="24"/>
        </w:rPr>
        <w:t>եւ</w:t>
      </w:r>
      <w:r w:rsidR="009338B9" w:rsidRPr="00CF39EE">
        <w:rPr>
          <w:rFonts w:ascii="Sylfaen" w:hAnsi="Sylfaen"/>
          <w:sz w:val="24"/>
          <w:szCs w:val="24"/>
        </w:rPr>
        <w:t xml:space="preserve"> «կարգավորվող», եթե օդի հոսքը տատանվում է երեք </w:t>
      </w:r>
      <w:r w:rsidR="009338B9">
        <w:rPr>
          <w:rFonts w:ascii="Sylfaen" w:hAnsi="Sylfaen"/>
          <w:sz w:val="24"/>
          <w:szCs w:val="24"/>
        </w:rPr>
        <w:t>եւ</w:t>
      </w:r>
      <w:r w:rsidR="009338B9" w:rsidRPr="00CF39EE">
        <w:rPr>
          <w:rFonts w:ascii="Sylfaen" w:hAnsi="Sylfaen"/>
          <w:sz w:val="24"/>
          <w:szCs w:val="24"/>
        </w:rPr>
        <w:t xml:space="preserve"> ավելի աստիճանների շրջանակներում).</w:t>
      </w:r>
    </w:p>
    <w:p w14:paraId="37FF4728"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pacing w:val="-4"/>
          <w:sz w:val="24"/>
          <w:szCs w:val="24"/>
        </w:rPr>
        <w:t>անջատման ռեժիմ</w:t>
      </w:r>
      <w:r w:rsidR="009338B9" w:rsidRPr="00530191">
        <w:rPr>
          <w:rFonts w:ascii="Sylfaen" w:hAnsi="Sylfaen"/>
          <w:b/>
          <w:spacing w:val="-4"/>
          <w:sz w:val="24"/>
          <w:szCs w:val="24"/>
        </w:rPr>
        <w:t>՝</w:t>
      </w:r>
      <w:r w:rsidR="009338B9" w:rsidRPr="00530191">
        <w:rPr>
          <w:rFonts w:ascii="Sylfaen" w:hAnsi="Sylfaen"/>
          <w:spacing w:val="-4"/>
          <w:sz w:val="24"/>
          <w:szCs w:val="24"/>
        </w:rPr>
        <w:t xml:space="preserve"> վիճակ, որի ժամանակ էլեկտրասարքավորումը միացված է սնուցման աղբյուրին</w:t>
      </w:r>
      <w:r w:rsidR="009338B9" w:rsidRPr="00CF39EE">
        <w:rPr>
          <w:rFonts w:ascii="Sylfaen" w:hAnsi="Sylfaen"/>
          <w:sz w:val="24"/>
          <w:szCs w:val="24"/>
        </w:rPr>
        <w:t xml:space="preserve">, սակայն չի գտնվում ակտիվ (աշխատանքի) ռեժիմում կամ սպասման ռեժիմում, սակայն կարող է կատարել միայն էլեկտրամագնիսական համատեղելիության </w:t>
      </w:r>
      <w:r w:rsidR="009338B9">
        <w:rPr>
          <w:rFonts w:ascii="Sylfaen" w:hAnsi="Sylfaen"/>
          <w:sz w:val="24"/>
          <w:szCs w:val="24"/>
        </w:rPr>
        <w:t>եւ</w:t>
      </w:r>
      <w:r w:rsidR="009338B9" w:rsidRPr="00CF39EE">
        <w:rPr>
          <w:rFonts w:ascii="Sylfaen" w:hAnsi="Sylfaen"/>
          <w:sz w:val="24"/>
          <w:szCs w:val="24"/>
        </w:rPr>
        <w:t xml:space="preserve"> (կամ) անջատման ռեժիմի ցուցանշման ապահովման ֆունկցիաներ.</w:t>
      </w:r>
    </w:p>
    <w:p w14:paraId="57599A4E"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սպասման ռեժիմ</w:t>
      </w:r>
      <w:r w:rsidR="009338B9" w:rsidRPr="00530191">
        <w:rPr>
          <w:rFonts w:ascii="Sylfaen" w:hAnsi="Sylfaen"/>
          <w:b/>
          <w:sz w:val="24"/>
          <w:szCs w:val="24"/>
        </w:rPr>
        <w:t>՝</w:t>
      </w:r>
      <w:r w:rsidR="009338B9" w:rsidRPr="00CF39EE">
        <w:rPr>
          <w:rFonts w:ascii="Sylfaen" w:hAnsi="Sylfaen"/>
          <w:sz w:val="24"/>
          <w:szCs w:val="24"/>
        </w:rPr>
        <w:t xml:space="preserve"> վիճակ, որի դեպքում էլեկտրասարքավորումը միացված է սնուցման աղբյուրին </w:t>
      </w:r>
      <w:r w:rsidR="009338B9">
        <w:rPr>
          <w:rFonts w:ascii="Sylfaen" w:hAnsi="Sylfaen"/>
          <w:sz w:val="24"/>
          <w:szCs w:val="24"/>
        </w:rPr>
        <w:t>եւ</w:t>
      </w:r>
      <w:r w:rsidR="009338B9" w:rsidRPr="00CF39EE">
        <w:rPr>
          <w:rFonts w:ascii="Sylfaen" w:hAnsi="Sylfaen"/>
          <w:sz w:val="24"/>
          <w:szCs w:val="24"/>
        </w:rPr>
        <w:t xml:space="preserve"> անսահմանափակ ժամանակ կատարում է հետ</w:t>
      </w:r>
      <w:r w:rsidR="009338B9">
        <w:rPr>
          <w:rFonts w:ascii="Sylfaen" w:hAnsi="Sylfaen"/>
          <w:sz w:val="24"/>
          <w:szCs w:val="24"/>
        </w:rPr>
        <w:t>եւ</w:t>
      </w:r>
      <w:r w:rsidR="009338B9" w:rsidRPr="00CF39EE">
        <w:rPr>
          <w:rFonts w:ascii="Sylfaen" w:hAnsi="Sylfaen"/>
          <w:sz w:val="24"/>
          <w:szCs w:val="24"/>
        </w:rPr>
        <w:t>յալ ֆունկցիաներից մեկը կամ երկուսը ՝</w:t>
      </w:r>
    </w:p>
    <w:p w14:paraId="238174D6"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վերաակտիվացման ֆունկցիա կամ վերաակտիվացման ունակության (պատրաստության) ցուցանշմամբ վերաակտիվացման ֆունկցիա.</w:t>
      </w:r>
    </w:p>
    <w:p w14:paraId="386BE8B2"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տեղեկացման կամ վիճակի արտապատկերման ֆունկցիա.</w:t>
      </w:r>
    </w:p>
    <w:p w14:paraId="1ECABBEC"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անջատված ջե</w:t>
      </w:r>
      <w:r w:rsidR="00530191" w:rsidRPr="00530191">
        <w:rPr>
          <w:rFonts w:ascii="Sylfaen" w:hAnsi="Sylfaen"/>
          <w:b/>
          <w:sz w:val="24"/>
          <w:szCs w:val="24"/>
        </w:rPr>
        <w:t>րմակարգավորիչով աշխատանքի ռեժիմ</w:t>
      </w:r>
      <w:r w:rsidRPr="00530191">
        <w:rPr>
          <w:rFonts w:ascii="Sylfaen" w:hAnsi="Sylfaen"/>
          <w:b/>
          <w:sz w:val="24"/>
          <w:szCs w:val="24"/>
        </w:rPr>
        <w:t>՝</w:t>
      </w:r>
      <w:r w:rsidRPr="00CF39EE">
        <w:rPr>
          <w:rFonts w:ascii="Sylfaen" w:hAnsi="Sylfaen"/>
          <w:sz w:val="24"/>
          <w:szCs w:val="24"/>
        </w:rPr>
        <w:t xml:space="preserve"> լավորակվող տարածքում՝ առանց օդի ջերմաստիճանի հետ հետադարձ կապի (կախված արտաքին օդի ջերմաստիճանից) հովացման կամ տաքացման ռեժիմով աշխատող ճնշակով օդորակիչի աշխատանքի ռեժիմ.</w:t>
      </w:r>
    </w:p>
    <w:p w14:paraId="62981C9B"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հենատուփայ</w:t>
      </w:r>
      <w:r w:rsidR="00530191" w:rsidRPr="00530191">
        <w:rPr>
          <w:rFonts w:ascii="Sylfaen" w:hAnsi="Sylfaen"/>
          <w:b/>
          <w:sz w:val="24"/>
          <w:szCs w:val="24"/>
        </w:rPr>
        <w:t>ին տաքացուցիչով աշխատանքի ռեժիմ</w:t>
      </w:r>
      <w:r w:rsidRPr="00530191">
        <w:rPr>
          <w:rFonts w:ascii="Sylfaen" w:hAnsi="Sylfaen"/>
          <w:b/>
          <w:sz w:val="24"/>
          <w:szCs w:val="24"/>
        </w:rPr>
        <w:t xml:space="preserve">՝ </w:t>
      </w:r>
      <w:r w:rsidRPr="00CF39EE">
        <w:rPr>
          <w:rFonts w:ascii="Sylfaen" w:hAnsi="Sylfaen"/>
          <w:sz w:val="24"/>
          <w:szCs w:val="24"/>
        </w:rPr>
        <w:t xml:space="preserve">ջեռուցման սեզոնին օդորակիչի շահագործման ռեժիմ, որի դեպքում էլեկտրական տաքացուցիչն </w:t>
      </w:r>
      <w:r w:rsidRPr="00CF39EE">
        <w:rPr>
          <w:rFonts w:ascii="Sylfaen" w:hAnsi="Sylfaen"/>
          <w:sz w:val="24"/>
          <w:szCs w:val="24"/>
        </w:rPr>
        <w:lastRenderedPageBreak/>
        <w:t xml:space="preserve">ակտիվացված է, որը ճնշակի հենատուփում դրա միացման ժամանակ քսուքի պնդացման </w:t>
      </w:r>
      <w:r>
        <w:rPr>
          <w:rFonts w:ascii="Sylfaen" w:hAnsi="Sylfaen"/>
          <w:sz w:val="24"/>
          <w:szCs w:val="24"/>
        </w:rPr>
        <w:t>եւ</w:t>
      </w:r>
      <w:r w:rsidRPr="00CF39EE">
        <w:rPr>
          <w:rFonts w:ascii="Sylfaen" w:hAnsi="Sylfaen"/>
          <w:sz w:val="24"/>
          <w:szCs w:val="24"/>
        </w:rPr>
        <w:t xml:space="preserve"> սառնազդակի եռման պատճառով կոտրվածքներից խուսափելու նպատակով կանխում է հեղուկ սառնազդակի ներթափանցումը ճնշակ.</w:t>
      </w:r>
    </w:p>
    <w:p w14:paraId="008E5847"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լրացուցիչ տաքացման համար ռեզերվային էլեկտրական հզորություն [elbu(T</w:t>
      </w:r>
      <w:r w:rsidRPr="00CF39EE">
        <w:rPr>
          <w:rFonts w:ascii="Sylfaen" w:hAnsi="Sylfaen"/>
          <w:sz w:val="24"/>
          <w:szCs w:val="24"/>
          <w:vertAlign w:val="subscript"/>
        </w:rPr>
        <w:t>j</w:t>
      </w:r>
      <w:r w:rsidR="00530191">
        <w:rPr>
          <w:rFonts w:ascii="Sylfaen" w:hAnsi="Sylfaen"/>
          <w:sz w:val="24"/>
          <w:szCs w:val="24"/>
        </w:rPr>
        <w:t>)]</w:t>
      </w:r>
      <w:r w:rsidRPr="00CF39EE">
        <w:rPr>
          <w:rFonts w:ascii="Sylfaen" w:hAnsi="Sylfaen"/>
          <w:sz w:val="24"/>
          <w:szCs w:val="24"/>
        </w:rPr>
        <w:t xml:space="preserve">՝ </w:t>
      </w:r>
      <w:r w:rsidR="00530191" w:rsidRPr="00530191">
        <w:rPr>
          <w:rFonts w:ascii="Sylfaen" w:hAnsi="Sylfaen"/>
          <w:sz w:val="24"/>
          <w:szCs w:val="24"/>
        </w:rPr>
        <w:t>C</w:t>
      </w:r>
      <w:r w:rsidRPr="00CF39EE">
        <w:rPr>
          <w:rFonts w:ascii="Sylfaen" w:hAnsi="Sylfaen"/>
          <w:sz w:val="24"/>
          <w:szCs w:val="24"/>
        </w:rPr>
        <w:t>OP = 1 տաքացման ռեժիմում էներգետիկ արդյունավետությամբ փաստացի կամ ենթադրվող էլեկտրական համարժեք տաքացման սարքի՝ տաքացման ժամանակ սպառվող հզորություն (կՎտ-ով), որն ավելացվում է տաքացման ռեժիմում P</w:t>
      </w:r>
      <w:r w:rsidRPr="00CF39EE">
        <w:rPr>
          <w:rFonts w:ascii="Sylfaen" w:hAnsi="Sylfaen"/>
          <w:sz w:val="24"/>
          <w:szCs w:val="24"/>
          <w:vertAlign w:val="subscript"/>
        </w:rPr>
        <w:t>dh</w:t>
      </w:r>
      <w:r w:rsidRPr="00CF39EE">
        <w:rPr>
          <w:rFonts w:ascii="Sylfaen" w:hAnsi="Sylfaen"/>
          <w:sz w:val="24"/>
          <w:szCs w:val="24"/>
        </w:rPr>
        <w:t>(T</w:t>
      </w:r>
      <w:r w:rsidRPr="00CF39EE">
        <w:rPr>
          <w:rFonts w:ascii="Sylfaen" w:hAnsi="Sylfaen"/>
          <w:sz w:val="24"/>
          <w:szCs w:val="24"/>
          <w:vertAlign w:val="subscript"/>
        </w:rPr>
        <w:t>j</w:t>
      </w:r>
      <w:r w:rsidRPr="00CF39EE">
        <w:rPr>
          <w:rFonts w:ascii="Sylfaen" w:hAnsi="Sylfaen"/>
          <w:sz w:val="24"/>
          <w:szCs w:val="24"/>
        </w:rPr>
        <w:t>) անվանական սպառվող հզորությանը՝ տաքացման համար P</w:t>
      </w:r>
      <w:r w:rsidRPr="00CF39EE">
        <w:rPr>
          <w:rFonts w:ascii="Sylfaen" w:hAnsi="Sylfaen"/>
          <w:sz w:val="24"/>
          <w:szCs w:val="24"/>
          <w:vertAlign w:val="subscript"/>
        </w:rPr>
        <w:t>h</w:t>
      </w:r>
      <w:r w:rsidRPr="00CF39EE">
        <w:rPr>
          <w:rFonts w:ascii="Sylfaen" w:hAnsi="Sylfaen"/>
          <w:sz w:val="24"/>
          <w:szCs w:val="24"/>
        </w:rPr>
        <w:t>(T</w:t>
      </w:r>
      <w:r w:rsidRPr="00CF39EE">
        <w:rPr>
          <w:rStyle w:val="Bodytext29pt"/>
          <w:rFonts w:ascii="Sylfaen" w:hAnsi="Sylfaen"/>
          <w:sz w:val="24"/>
          <w:szCs w:val="24"/>
        </w:rPr>
        <w:t>j</w:t>
      </w:r>
      <w:r w:rsidRPr="00CF39EE">
        <w:rPr>
          <w:rFonts w:ascii="Sylfaen" w:hAnsi="Sylfaen"/>
          <w:sz w:val="24"/>
          <w:szCs w:val="24"/>
        </w:rPr>
        <w:t>) մասնակի բեռնվածքին հասնելու համար, եթե P</w:t>
      </w:r>
      <w:r w:rsidRPr="00CF39EE">
        <w:rPr>
          <w:rStyle w:val="Bodytext29pt"/>
          <w:rFonts w:ascii="Sylfaen" w:hAnsi="Sylfaen"/>
          <w:sz w:val="24"/>
          <w:szCs w:val="24"/>
          <w:vertAlign w:val="subscript"/>
        </w:rPr>
        <w:t>dh</w:t>
      </w:r>
      <w:r w:rsidRPr="00CF39EE">
        <w:rPr>
          <w:rFonts w:ascii="Sylfaen" w:hAnsi="Sylfaen"/>
          <w:sz w:val="24"/>
          <w:szCs w:val="24"/>
        </w:rPr>
        <w:t>(T</w:t>
      </w:r>
      <w:r w:rsidRPr="00CF39EE">
        <w:rPr>
          <w:rStyle w:val="Bodytext29pt"/>
          <w:rFonts w:ascii="Sylfaen" w:hAnsi="Sylfaen"/>
          <w:sz w:val="24"/>
          <w:szCs w:val="24"/>
        </w:rPr>
        <w:t>j</w:t>
      </w:r>
      <w:r w:rsidRPr="00CF39EE">
        <w:rPr>
          <w:rFonts w:ascii="Sylfaen" w:hAnsi="Sylfaen"/>
          <w:sz w:val="24"/>
          <w:szCs w:val="24"/>
        </w:rPr>
        <w:t>)-ն պակաս է, քան P</w:t>
      </w:r>
      <w:r w:rsidRPr="00CF39EE">
        <w:rPr>
          <w:rStyle w:val="Bodytext29pt"/>
          <w:rFonts w:ascii="Sylfaen" w:hAnsi="Sylfaen"/>
          <w:sz w:val="24"/>
          <w:szCs w:val="24"/>
          <w:vertAlign w:val="subscript"/>
        </w:rPr>
        <w:t>h</w:t>
      </w:r>
      <w:r w:rsidRPr="00CF39EE">
        <w:rPr>
          <w:rFonts w:ascii="Sylfaen" w:hAnsi="Sylfaen"/>
          <w:sz w:val="24"/>
          <w:szCs w:val="24"/>
        </w:rPr>
        <w:t>(T</w:t>
      </w:r>
      <w:r w:rsidRPr="00CF39EE">
        <w:rPr>
          <w:rStyle w:val="Bodytext29pt"/>
          <w:rFonts w:ascii="Sylfaen" w:hAnsi="Sylfaen"/>
          <w:sz w:val="24"/>
          <w:szCs w:val="24"/>
        </w:rPr>
        <w:t>j</w:t>
      </w:r>
      <w:r w:rsidRPr="00CF39EE">
        <w:rPr>
          <w:rFonts w:ascii="Sylfaen" w:hAnsi="Sylfaen"/>
          <w:sz w:val="24"/>
          <w:szCs w:val="24"/>
        </w:rPr>
        <w:t>)-ն T</w:t>
      </w:r>
      <w:r w:rsidRPr="00CF39EE">
        <w:rPr>
          <w:rFonts w:ascii="Sylfaen" w:hAnsi="Sylfaen"/>
          <w:sz w:val="24"/>
          <w:szCs w:val="24"/>
          <w:vertAlign w:val="subscript"/>
        </w:rPr>
        <w:t>j-</w:t>
      </w:r>
      <w:r w:rsidRPr="00CF39EE">
        <w:rPr>
          <w:rFonts w:ascii="Sylfaen" w:hAnsi="Sylfaen"/>
          <w:sz w:val="24"/>
          <w:szCs w:val="24"/>
        </w:rPr>
        <w:t xml:space="preserve"> ն` արտաքին օդի որոշակի ջերմաստիճանի պայմաններում.</w:t>
      </w:r>
    </w:p>
    <w:p w14:paraId="6FDD59D5"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տաքացման ակտիվ ռեժիմում սեզոնային էներգաարդյունավետություն (SCOP</w:t>
      </w:r>
      <w:r w:rsidRPr="00530191">
        <w:rPr>
          <w:rStyle w:val="Bodytext29pt"/>
          <w:rFonts w:ascii="Sylfaen" w:hAnsi="Sylfaen"/>
          <w:b/>
          <w:sz w:val="24"/>
          <w:szCs w:val="24"/>
          <w:vertAlign w:val="subscript"/>
        </w:rPr>
        <w:t>on</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ջեռուցման որոշակի սեզոնին տաքացման ակտիվ ռեժիմում օդորակիչի էներգետիկ արդյունավետության միջին արժեք, որը հաշվարկվում է մասնակի բեռնվածքից, լրացուցիչ տաքացման համար ռեզերվային էլեկտրական տաքացուցիչի (եթե պահանջվում է) հզորությունից </w:t>
      </w:r>
      <w:r>
        <w:rPr>
          <w:rFonts w:ascii="Sylfaen" w:hAnsi="Sylfaen"/>
          <w:sz w:val="24"/>
          <w:szCs w:val="24"/>
        </w:rPr>
        <w:t>եւ</w:t>
      </w:r>
      <w:r w:rsidRPr="00CF39EE">
        <w:rPr>
          <w:rFonts w:ascii="Sylfaen" w:hAnsi="Sylfaen"/>
          <w:sz w:val="24"/>
          <w:szCs w:val="24"/>
        </w:rPr>
        <w:t xml:space="preserve"> ջերմաստիճանաժամանակային բոլոր միջակայքերում էներգետիկ արդյունավետությունից COP</w:t>
      </w:r>
      <w:r w:rsidRPr="00CF39EE">
        <w:rPr>
          <w:rFonts w:ascii="Sylfaen" w:hAnsi="Sylfaen"/>
          <w:sz w:val="24"/>
          <w:szCs w:val="24"/>
          <w:vertAlign w:val="subscript"/>
        </w:rPr>
        <w:t>bin</w:t>
      </w:r>
      <w:r w:rsidRPr="00CF39EE">
        <w:rPr>
          <w:rFonts w:ascii="Sylfaen" w:hAnsi="Sylfaen"/>
          <w:sz w:val="24"/>
          <w:szCs w:val="24"/>
        </w:rPr>
        <w:t>(T</w:t>
      </w:r>
      <w:r w:rsidRPr="00CF39EE">
        <w:rPr>
          <w:rFonts w:ascii="Sylfaen" w:hAnsi="Sylfaen"/>
          <w:sz w:val="24"/>
          <w:szCs w:val="24"/>
          <w:vertAlign w:val="subscript"/>
        </w:rPr>
        <w:t>j</w:t>
      </w:r>
      <w:r w:rsidRPr="00CF39EE">
        <w:rPr>
          <w:rFonts w:ascii="Sylfaen" w:hAnsi="Sylfaen"/>
          <w:sz w:val="24"/>
          <w:szCs w:val="24"/>
        </w:rPr>
        <w:t>)՝ հարաբերակցված այդ ջերմաստիճանաժամանակային միջակայքերի (բիների) տ</w:t>
      </w:r>
      <w:r>
        <w:rPr>
          <w:rFonts w:ascii="Sylfaen" w:hAnsi="Sylfaen"/>
          <w:sz w:val="24"/>
          <w:szCs w:val="24"/>
        </w:rPr>
        <w:t>եւ</w:t>
      </w:r>
      <w:r w:rsidRPr="00CF39EE">
        <w:rPr>
          <w:rFonts w:ascii="Sylfaen" w:hAnsi="Sylfaen"/>
          <w:sz w:val="24"/>
          <w:szCs w:val="24"/>
        </w:rPr>
        <w:t>ողության հետ.</w:t>
      </w:r>
    </w:p>
    <w:p w14:paraId="19CC2982"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հովացման ակտիվ ռեժիմում սեզոնային էներգետիկ արդյունավետություն (SEER</w:t>
      </w:r>
      <w:r w:rsidRPr="00530191">
        <w:rPr>
          <w:rFonts w:ascii="Sylfaen" w:hAnsi="Sylfaen"/>
          <w:b/>
          <w:sz w:val="24"/>
          <w:szCs w:val="24"/>
          <w:vertAlign w:val="subscript"/>
        </w:rPr>
        <w:t>on</w:t>
      </w:r>
      <w:r w:rsidR="00530191" w:rsidRPr="00530191">
        <w:rPr>
          <w:rFonts w:ascii="Sylfaen" w:hAnsi="Sylfaen"/>
          <w:b/>
          <w:sz w:val="24"/>
          <w:szCs w:val="24"/>
        </w:rPr>
        <w:t>)</w:t>
      </w:r>
      <w:r w:rsidRPr="00530191">
        <w:rPr>
          <w:rFonts w:ascii="Sylfaen" w:hAnsi="Sylfaen"/>
          <w:b/>
          <w:sz w:val="24"/>
          <w:szCs w:val="24"/>
        </w:rPr>
        <w:t>՝</w:t>
      </w:r>
      <w:r w:rsidRPr="00CF39EE">
        <w:rPr>
          <w:rFonts w:ascii="Sylfaen" w:hAnsi="Sylfaen"/>
          <w:sz w:val="24"/>
          <w:szCs w:val="24"/>
        </w:rPr>
        <w:t xml:space="preserve"> հովացման ակտիվ ռեժիմում օդորակիչի էներգետիկ արդյունավետության միջին արժեք, որը հաշվարկվում է ջերմաստիճանաժամանակային բոլոր միջակայքերում մասնակի բեռնվածքից </w:t>
      </w:r>
      <w:r>
        <w:rPr>
          <w:rFonts w:ascii="Sylfaen" w:hAnsi="Sylfaen"/>
          <w:sz w:val="24"/>
          <w:szCs w:val="24"/>
        </w:rPr>
        <w:t>եւ</w:t>
      </w:r>
      <w:r w:rsidRPr="00CF39EE">
        <w:rPr>
          <w:rFonts w:ascii="Sylfaen" w:hAnsi="Sylfaen"/>
          <w:sz w:val="24"/>
          <w:szCs w:val="24"/>
        </w:rPr>
        <w:t xml:space="preserve"> էներգետիկ արդյունավետությունից (EER</w:t>
      </w:r>
      <w:r w:rsidRPr="00CF39EE">
        <w:rPr>
          <w:rStyle w:val="Bodytext29pt"/>
          <w:rFonts w:ascii="Sylfaen" w:hAnsi="Sylfaen"/>
          <w:sz w:val="24"/>
          <w:szCs w:val="24"/>
          <w:vertAlign w:val="subscript"/>
        </w:rPr>
        <w:t>bin</w:t>
      </w:r>
      <w:r w:rsidRPr="00CF39EE">
        <w:rPr>
          <w:rFonts w:ascii="Sylfaen" w:hAnsi="Sylfaen"/>
          <w:sz w:val="24"/>
          <w:szCs w:val="24"/>
        </w:rPr>
        <w:t>(T</w:t>
      </w:r>
      <w:r w:rsidRPr="00CF39EE">
        <w:rPr>
          <w:rStyle w:val="Bodytext29pt"/>
          <w:rFonts w:ascii="Sylfaen" w:hAnsi="Sylfaen"/>
          <w:sz w:val="24"/>
          <w:szCs w:val="24"/>
          <w:vertAlign w:val="subscript"/>
        </w:rPr>
        <w:t>j</w:t>
      </w:r>
      <w:r w:rsidRPr="00CF39EE">
        <w:rPr>
          <w:rFonts w:ascii="Sylfaen" w:hAnsi="Sylfaen"/>
          <w:sz w:val="24"/>
          <w:szCs w:val="24"/>
        </w:rPr>
        <w:t>))՝ հարաբերակցված այդ ջերմաստիճանաժամանակային միջակայքերի (բիների) տ</w:t>
      </w:r>
      <w:r>
        <w:rPr>
          <w:rFonts w:ascii="Sylfaen" w:hAnsi="Sylfaen"/>
          <w:sz w:val="24"/>
          <w:szCs w:val="24"/>
        </w:rPr>
        <w:t>եւ</w:t>
      </w:r>
      <w:r w:rsidRPr="00CF39EE">
        <w:rPr>
          <w:rFonts w:ascii="Sylfaen" w:hAnsi="Sylfaen"/>
          <w:sz w:val="24"/>
          <w:szCs w:val="24"/>
        </w:rPr>
        <w:t>ողության հետ.</w:t>
      </w:r>
    </w:p>
    <w:p w14:paraId="4861193F"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հովացման ռեժիմում սեզոնային էներ</w:t>
      </w:r>
      <w:r w:rsidR="00530191" w:rsidRPr="00530191">
        <w:rPr>
          <w:rFonts w:ascii="Sylfaen" w:hAnsi="Sylfaen"/>
          <w:b/>
          <w:sz w:val="24"/>
          <w:szCs w:val="24"/>
        </w:rPr>
        <w:t>գետիկ արդյունավետություն (SEER)</w:t>
      </w:r>
      <w:r w:rsidRPr="00530191">
        <w:rPr>
          <w:rFonts w:ascii="Sylfaen" w:hAnsi="Sylfaen"/>
          <w:b/>
          <w:sz w:val="24"/>
          <w:szCs w:val="24"/>
        </w:rPr>
        <w:t>՝</w:t>
      </w:r>
      <w:r w:rsidRPr="00CF39EE">
        <w:rPr>
          <w:rFonts w:ascii="Sylfaen" w:hAnsi="Sylfaen"/>
          <w:sz w:val="24"/>
          <w:szCs w:val="24"/>
        </w:rPr>
        <w:t xml:space="preserve"> հովացման ամբողջ սեզոնի ընթացքում օդորակիչի օգտակար գործողության գործակցի ներկայացուցչական միջին արժեք, որը հավասար է հովացման ռեժիմում էներգիայի տարեկան չափանմուշային սպառման հարաբերությանը </w:t>
      </w:r>
      <w:r w:rsidRPr="00CF39EE">
        <w:rPr>
          <w:rFonts w:ascii="Sylfaen" w:hAnsi="Sylfaen"/>
          <w:sz w:val="24"/>
          <w:szCs w:val="24"/>
        </w:rPr>
        <w:lastRenderedPageBreak/>
        <w:t>հովացման ռեժիմում էլեկտրաէներգիայի տարեկան չափված սպառման նկատմամբ.</w:t>
      </w:r>
    </w:p>
    <w:p w14:paraId="5012687E" w14:textId="77777777" w:rsidR="009338B9" w:rsidRPr="00CF39EE" w:rsidRDefault="009338B9"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տաքացման ռեժիմում սեզոնային էներգաա</w:t>
      </w:r>
      <w:r w:rsidR="00530191" w:rsidRPr="00530191">
        <w:rPr>
          <w:rFonts w:ascii="Sylfaen" w:hAnsi="Sylfaen"/>
          <w:b/>
          <w:sz w:val="24"/>
          <w:szCs w:val="24"/>
        </w:rPr>
        <w:t>րդյունավետություն (SCOP)</w:t>
      </w:r>
      <w:r w:rsidRPr="00530191">
        <w:rPr>
          <w:rFonts w:ascii="Sylfaen" w:hAnsi="Sylfaen"/>
          <w:b/>
          <w:sz w:val="24"/>
          <w:szCs w:val="24"/>
        </w:rPr>
        <w:t>՝</w:t>
      </w:r>
      <w:r w:rsidRPr="00CF39EE">
        <w:rPr>
          <w:rFonts w:ascii="Sylfaen" w:hAnsi="Sylfaen"/>
          <w:sz w:val="24"/>
          <w:szCs w:val="24"/>
        </w:rPr>
        <w:t xml:space="preserve"> համապատասխան ջեռուցման սեզոնի համար օդորակիչի օգտակար գործողության գործակցի ներկայացուցչական միջին արժեք, որը հավասար է տաքացման համար էներգիայի տարեկան չափանմուշային սպառման հարաբերությանը տաքացման համար էլեկտրաէներգիայի տարեկան սպառման նկատմամբ.</w:t>
      </w:r>
    </w:p>
    <w:p w14:paraId="6D3F851C" w14:textId="77777777" w:rsidR="009338B9" w:rsidRPr="00CF39EE" w:rsidRDefault="00530191" w:rsidP="009338B9">
      <w:pPr>
        <w:pStyle w:val="Bodytext20"/>
        <w:spacing w:after="160" w:line="360" w:lineRule="auto"/>
        <w:ind w:firstLine="567"/>
        <w:jc w:val="both"/>
        <w:rPr>
          <w:rFonts w:ascii="Sylfaen" w:hAnsi="Sylfaen"/>
          <w:sz w:val="24"/>
          <w:szCs w:val="24"/>
        </w:rPr>
      </w:pPr>
      <w:r w:rsidRPr="00530191">
        <w:rPr>
          <w:rFonts w:ascii="Sylfaen" w:hAnsi="Sylfaen"/>
          <w:b/>
          <w:sz w:val="24"/>
          <w:szCs w:val="24"/>
        </w:rPr>
        <w:t>սեզոններ</w:t>
      </w:r>
      <w:r w:rsidR="009338B9" w:rsidRPr="00530191">
        <w:rPr>
          <w:rFonts w:ascii="Sylfaen" w:hAnsi="Sylfaen"/>
          <w:b/>
          <w:sz w:val="24"/>
          <w:szCs w:val="24"/>
        </w:rPr>
        <w:t>՝</w:t>
      </w:r>
      <w:r w:rsidR="009338B9" w:rsidRPr="00CF39EE">
        <w:rPr>
          <w:rFonts w:ascii="Sylfaen" w:hAnsi="Sylfaen"/>
          <w:sz w:val="24"/>
          <w:szCs w:val="24"/>
        </w:rPr>
        <w:t xml:space="preserve"> տարվա չորս ժամանակաշրջաններին համապատասխանող</w:t>
      </w:r>
      <w:r w:rsidR="009338B9">
        <w:rPr>
          <w:rFonts w:ascii="Sylfaen" w:hAnsi="Sylfaen"/>
          <w:sz w:val="24"/>
          <w:szCs w:val="24"/>
        </w:rPr>
        <w:t xml:space="preserve"> </w:t>
      </w:r>
      <w:r w:rsidR="009338B9" w:rsidRPr="00CF39EE">
        <w:rPr>
          <w:rFonts w:ascii="Sylfaen" w:hAnsi="Sylfaen"/>
          <w:sz w:val="24"/>
          <w:szCs w:val="24"/>
        </w:rPr>
        <w:t xml:space="preserve">շահագործման պայմանների 4 հավաքակազմ (հովացման սեզոն </w:t>
      </w:r>
      <w:r w:rsidR="009338B9">
        <w:rPr>
          <w:rFonts w:ascii="Sylfaen" w:hAnsi="Sylfaen"/>
          <w:sz w:val="24"/>
          <w:szCs w:val="24"/>
        </w:rPr>
        <w:t>եւ</w:t>
      </w:r>
      <w:r w:rsidR="009338B9" w:rsidRPr="00CF39EE">
        <w:rPr>
          <w:rFonts w:ascii="Sylfaen" w:hAnsi="Sylfaen"/>
          <w:sz w:val="24"/>
          <w:szCs w:val="24"/>
        </w:rPr>
        <w:t xml:space="preserve"> 3 ջեռուցման սեզոն՝ միջին, ավելի ցուրտ </w:t>
      </w:r>
      <w:r w:rsidR="009338B9">
        <w:rPr>
          <w:rFonts w:ascii="Sylfaen" w:hAnsi="Sylfaen"/>
          <w:sz w:val="24"/>
          <w:szCs w:val="24"/>
        </w:rPr>
        <w:t>եւ</w:t>
      </w:r>
      <w:r w:rsidR="009338B9" w:rsidRPr="00CF39EE">
        <w:rPr>
          <w:rFonts w:ascii="Sylfaen" w:hAnsi="Sylfaen"/>
          <w:sz w:val="24"/>
          <w:szCs w:val="24"/>
        </w:rPr>
        <w:t xml:space="preserve"> ավելի տաք), որոնցից յուրաքանչյուրի համար ընդունվում է h</w:t>
      </w:r>
      <w:r w:rsidR="009338B9" w:rsidRPr="00CF39EE">
        <w:rPr>
          <w:rFonts w:ascii="Sylfaen" w:hAnsi="Sylfaen"/>
          <w:sz w:val="24"/>
          <w:szCs w:val="24"/>
          <w:vertAlign w:val="subscript"/>
        </w:rPr>
        <w:t>j</w:t>
      </w:r>
      <w:r w:rsidR="009338B9" w:rsidRPr="00CF39EE">
        <w:rPr>
          <w:rFonts w:ascii="Sylfaen" w:hAnsi="Sylfaen"/>
          <w:sz w:val="24"/>
          <w:szCs w:val="24"/>
        </w:rPr>
        <w:t xml:space="preserve"> ժամերով չափվող ջերմաստիճանաժամանակային միջակայքերի (բիների) բաժանում, երբ գերակշռում է T</w:t>
      </w:r>
      <w:r w:rsidR="009338B9" w:rsidRPr="00CF39EE">
        <w:rPr>
          <w:rFonts w:ascii="Sylfaen" w:hAnsi="Sylfaen"/>
          <w:sz w:val="24"/>
          <w:szCs w:val="24"/>
          <w:vertAlign w:val="subscript"/>
        </w:rPr>
        <w:t>j</w:t>
      </w:r>
      <w:r w:rsidR="009338B9" w:rsidRPr="00CF39EE">
        <w:rPr>
          <w:rFonts w:ascii="Sylfaen" w:hAnsi="Sylfaen"/>
          <w:sz w:val="24"/>
          <w:szCs w:val="24"/>
        </w:rPr>
        <w:t xml:space="preserve"> ջերմաստիճանը.</w:t>
      </w:r>
    </w:p>
    <w:p w14:paraId="38E26D1F" w14:textId="77777777" w:rsidR="009338B9" w:rsidRPr="00CF39EE" w:rsidRDefault="00F90B4C"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ստանդարտ անվանական պայմաններ</w:t>
      </w:r>
      <w:r w:rsidR="009338B9" w:rsidRPr="00F90B4C">
        <w:rPr>
          <w:rFonts w:ascii="Sylfaen" w:hAnsi="Sylfaen"/>
          <w:b/>
          <w:sz w:val="24"/>
          <w:szCs w:val="24"/>
        </w:rPr>
        <w:t>՝</w:t>
      </w:r>
      <w:r w:rsidRPr="00F90B4C">
        <w:rPr>
          <w:rFonts w:ascii="Sylfaen" w:hAnsi="Sylfaen"/>
          <w:sz w:val="24"/>
          <w:szCs w:val="24"/>
        </w:rPr>
        <w:t xml:space="preserve"> </w:t>
      </w:r>
      <w:r w:rsidR="009338B9" w:rsidRPr="00CF39EE">
        <w:rPr>
          <w:rFonts w:ascii="Sylfaen" w:hAnsi="Sylfaen"/>
          <w:sz w:val="24"/>
          <w:szCs w:val="24"/>
        </w:rPr>
        <w:t>տարածքում T</w:t>
      </w:r>
      <w:r w:rsidR="009338B9" w:rsidRPr="00CF39EE">
        <w:rPr>
          <w:rFonts w:ascii="Sylfaen" w:hAnsi="Sylfaen"/>
          <w:sz w:val="24"/>
          <w:szCs w:val="24"/>
          <w:vertAlign w:val="subscript"/>
        </w:rPr>
        <w:t>in</w:t>
      </w:r>
      <w:r w:rsidR="009338B9" w:rsidRPr="00CF39EE">
        <w:rPr>
          <w:rFonts w:ascii="Sylfaen" w:hAnsi="Sylfaen"/>
          <w:sz w:val="24"/>
          <w:szCs w:val="24"/>
        </w:rPr>
        <w:t xml:space="preserve"> </w:t>
      </w:r>
      <w:r w:rsidR="009338B9">
        <w:rPr>
          <w:rFonts w:ascii="Sylfaen" w:hAnsi="Sylfaen"/>
          <w:sz w:val="24"/>
          <w:szCs w:val="24"/>
        </w:rPr>
        <w:t>եւ</w:t>
      </w:r>
      <w:r w:rsidR="009338B9" w:rsidRPr="00CF39EE">
        <w:rPr>
          <w:rFonts w:ascii="Sylfaen" w:hAnsi="Sylfaen"/>
          <w:sz w:val="24"/>
          <w:szCs w:val="24"/>
        </w:rPr>
        <w:t xml:space="preserve"> արտաքին օդի T</w:t>
      </w:r>
      <w:r w:rsidR="009338B9" w:rsidRPr="00CF39EE">
        <w:rPr>
          <w:rFonts w:ascii="Sylfaen" w:hAnsi="Sylfaen"/>
          <w:sz w:val="24"/>
          <w:szCs w:val="24"/>
          <w:vertAlign w:val="subscript"/>
        </w:rPr>
        <w:t>j</w:t>
      </w:r>
      <w:r w:rsidR="009338B9" w:rsidRPr="00CF39EE">
        <w:rPr>
          <w:rFonts w:ascii="Sylfaen" w:hAnsi="Sylfaen"/>
          <w:sz w:val="24"/>
          <w:szCs w:val="24"/>
        </w:rPr>
        <w:t xml:space="preserve"> ջերմաստիճանների համակցություն, որոնք սահմանում են շահագործման պայմաններ ձայնային հզորության մակարդակը, անվանական հզորությունը, օդի անվանական հոսքը, EER</w:t>
      </w:r>
      <w:r w:rsidR="009338B9" w:rsidRPr="00CF39EE">
        <w:rPr>
          <w:rFonts w:ascii="Sylfaen" w:hAnsi="Sylfaen"/>
          <w:sz w:val="24"/>
          <w:szCs w:val="24"/>
          <w:vertAlign w:val="subscript"/>
        </w:rPr>
        <w:t>rated</w:t>
      </w:r>
      <w:r w:rsidR="009338B9" w:rsidRPr="00CF39EE" w:rsidDel="005077C9">
        <w:rPr>
          <w:rFonts w:ascii="Sylfaen" w:hAnsi="Sylfaen"/>
          <w:sz w:val="24"/>
          <w:szCs w:val="24"/>
        </w:rPr>
        <w:t xml:space="preserve"> </w:t>
      </w:r>
      <w:r w:rsidR="009338B9" w:rsidRPr="00CF39EE">
        <w:rPr>
          <w:rFonts w:ascii="Sylfaen" w:hAnsi="Sylfaen"/>
          <w:sz w:val="24"/>
          <w:szCs w:val="24"/>
        </w:rPr>
        <w:t xml:space="preserve">հովացման ռեժիմում անվանական էներգետիկ արդյունավետությունը </w:t>
      </w:r>
      <w:r w:rsidR="009338B9">
        <w:rPr>
          <w:rFonts w:ascii="Sylfaen" w:hAnsi="Sylfaen"/>
          <w:sz w:val="24"/>
          <w:szCs w:val="24"/>
        </w:rPr>
        <w:t>եւ</w:t>
      </w:r>
      <w:r w:rsidR="009338B9" w:rsidRPr="00CF39EE">
        <w:rPr>
          <w:rFonts w:ascii="Sylfaen" w:hAnsi="Sylfaen"/>
          <w:sz w:val="24"/>
          <w:szCs w:val="24"/>
        </w:rPr>
        <w:t xml:space="preserve"> (կամ) COP</w:t>
      </w:r>
      <w:r w:rsidR="009338B9" w:rsidRPr="00CF39EE">
        <w:rPr>
          <w:rFonts w:ascii="Sylfaen" w:hAnsi="Sylfaen"/>
          <w:sz w:val="24"/>
          <w:szCs w:val="24"/>
          <w:vertAlign w:val="subscript"/>
        </w:rPr>
        <w:t>rated</w:t>
      </w:r>
      <w:r w:rsidR="009338B9" w:rsidRPr="00CF39EE">
        <w:rPr>
          <w:rFonts w:ascii="Sylfaen" w:hAnsi="Sylfaen"/>
          <w:sz w:val="24"/>
          <w:szCs w:val="24"/>
        </w:rPr>
        <w:t xml:space="preserve"> տաքացման ռեժիմում անվանական էներգետիկ արդյունավետությունը որոշելու համար.</w:t>
      </w:r>
    </w:p>
    <w:p w14:paraId="6181121B"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օդի ջերմաստիճանը տարածքում (T</w:t>
      </w:r>
      <w:r w:rsidRPr="00F90B4C">
        <w:rPr>
          <w:rFonts w:ascii="Sylfaen" w:hAnsi="Sylfaen"/>
          <w:b/>
          <w:sz w:val="24"/>
          <w:szCs w:val="24"/>
          <w:vertAlign w:val="subscript"/>
        </w:rPr>
        <w:t>in</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օդի ջերմաստիճան տարածքում °С-ով ըստ չոր ջերմաչափի՝ նշելով (անհրաժեշտության դեպքում) հարաբերական խոնավության մասին տեղեկատվությունը՝ ըստ խոնավ ջերմաչափի համապատասխան ջերմաստիճանը փակագծերում նշելու միջոցով.</w:t>
      </w:r>
    </w:p>
    <w:p w14:paraId="2FA07977"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կրկնակի (ռեզերվային) տաքացման ջերմաստիճան (Т</w:t>
      </w:r>
      <w:r w:rsidRPr="00F90B4C">
        <w:rPr>
          <w:rFonts w:ascii="Sylfaen" w:hAnsi="Sylfaen"/>
          <w:b/>
          <w:sz w:val="24"/>
          <w:szCs w:val="24"/>
          <w:vertAlign w:val="subscript"/>
        </w:rPr>
        <w:t>biv</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արտադրողի կողմից նշված՝ օդորակիչի T</w:t>
      </w:r>
      <w:r w:rsidRPr="00CF39EE">
        <w:rPr>
          <w:rFonts w:ascii="Sylfaen" w:hAnsi="Sylfaen"/>
          <w:sz w:val="24"/>
          <w:szCs w:val="24"/>
          <w:vertAlign w:val="subscript"/>
        </w:rPr>
        <w:t>j</w:t>
      </w:r>
      <w:r w:rsidRPr="00CF39EE">
        <w:rPr>
          <w:rFonts w:ascii="Sylfaen" w:hAnsi="Sylfaen"/>
          <w:sz w:val="24"/>
          <w:szCs w:val="24"/>
        </w:rPr>
        <w:t xml:space="preserve"> տաքացման ռեժիմում արտաքին օդի ջերմաստիճան °С-ով, որի դեպքում հայտարարված հզորությունը համապատասխանում է մասնակի բեռնվածքին, իսկ ավելի ցածր ջերմաստիճանի դեպքում լրացուցիչ պետք է միացվի ռեզերվային էլեկտրական տաքացուցիչը.</w:t>
      </w:r>
    </w:p>
    <w:p w14:paraId="3A609409"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lastRenderedPageBreak/>
        <w:t>արտաքին օդի ջերմաստիճան (T</w:t>
      </w:r>
      <w:r w:rsidRPr="00F90B4C">
        <w:rPr>
          <w:rFonts w:ascii="Sylfaen" w:hAnsi="Sylfaen"/>
          <w:b/>
          <w:sz w:val="24"/>
          <w:szCs w:val="24"/>
          <w:vertAlign w:val="subscript"/>
        </w:rPr>
        <w:t>j</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արտաքին օդի ջերմաստիճան °С-ով ըստ չոր ջերմաչափի՝ նշելով (անհրաժեշտության դեպքում) հարաբերական խոնավության մասին տեղեկատվությունը՝ ըստ խոնավ ջերմաչափի համապատասխան ջերմաստիճանը փակագծերում նշելու միջոցով.</w:t>
      </w:r>
    </w:p>
    <w:p w14:paraId="261BF3E3"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ջերմաստիճանաժամանակային միջակայք j (j ցուցիչով</w:t>
      </w:r>
      <w:r w:rsidR="00F90B4C" w:rsidRPr="00F90B4C">
        <w:rPr>
          <w:rFonts w:ascii="Sylfaen" w:hAnsi="Sylfaen"/>
          <w:b/>
          <w:sz w:val="24"/>
          <w:szCs w:val="24"/>
        </w:rPr>
        <w:t xml:space="preserve"> բին)</w:t>
      </w:r>
      <w:r w:rsidRPr="00F90B4C">
        <w:rPr>
          <w:rFonts w:ascii="Sylfaen" w:hAnsi="Sylfaen"/>
          <w:b/>
          <w:sz w:val="24"/>
          <w:szCs w:val="24"/>
        </w:rPr>
        <w:t>՝</w:t>
      </w:r>
      <w:r w:rsidRPr="00CF39EE">
        <w:rPr>
          <w:rFonts w:ascii="Sylfaen" w:hAnsi="Sylfaen"/>
          <w:sz w:val="24"/>
          <w:szCs w:val="24"/>
        </w:rPr>
        <w:t xml:space="preserve"> T</w:t>
      </w:r>
      <w:r w:rsidRPr="00CF39EE">
        <w:rPr>
          <w:rFonts w:ascii="Sylfaen" w:hAnsi="Sylfaen"/>
          <w:sz w:val="24"/>
          <w:szCs w:val="24"/>
          <w:vertAlign w:val="subscript"/>
        </w:rPr>
        <w:t>j</w:t>
      </w:r>
      <w:r w:rsidRPr="00CF39EE">
        <w:rPr>
          <w:rFonts w:ascii="Sylfaen" w:hAnsi="Sylfaen"/>
          <w:sz w:val="24"/>
          <w:szCs w:val="24"/>
        </w:rPr>
        <w:t xml:space="preserve"> արտաքին օդի ջերմաստիճանի </w:t>
      </w:r>
      <w:r>
        <w:rPr>
          <w:rFonts w:ascii="Sylfaen" w:hAnsi="Sylfaen"/>
          <w:sz w:val="24"/>
          <w:szCs w:val="24"/>
        </w:rPr>
        <w:t>եւ</w:t>
      </w:r>
      <w:r w:rsidRPr="00CF39EE">
        <w:rPr>
          <w:rFonts w:ascii="Sylfaen" w:hAnsi="Sylfaen"/>
          <w:sz w:val="24"/>
          <w:szCs w:val="24"/>
        </w:rPr>
        <w:t xml:space="preserve"> դրա գերակշռության տ</w:t>
      </w:r>
      <w:r>
        <w:rPr>
          <w:rFonts w:ascii="Sylfaen" w:hAnsi="Sylfaen"/>
          <w:sz w:val="24"/>
          <w:szCs w:val="24"/>
        </w:rPr>
        <w:t>եւ</w:t>
      </w:r>
      <w:r w:rsidRPr="00CF39EE">
        <w:rPr>
          <w:rFonts w:ascii="Sylfaen" w:hAnsi="Sylfaen"/>
          <w:sz w:val="24"/>
          <w:szCs w:val="24"/>
        </w:rPr>
        <w:t>ողության զուգորդությունը h</w:t>
      </w:r>
      <w:r w:rsidRPr="00CF39EE">
        <w:rPr>
          <w:rFonts w:ascii="Sylfaen" w:hAnsi="Sylfaen"/>
          <w:sz w:val="24"/>
          <w:szCs w:val="24"/>
          <w:vertAlign w:val="subscript"/>
        </w:rPr>
        <w:t>j</w:t>
      </w:r>
      <w:r w:rsidRPr="00CF39EE">
        <w:rPr>
          <w:rFonts w:ascii="Sylfaen" w:hAnsi="Sylfaen"/>
          <w:sz w:val="24"/>
          <w:szCs w:val="24"/>
        </w:rPr>
        <w:t xml:space="preserve"> ժամերով.</w:t>
      </w:r>
    </w:p>
    <w:p w14:paraId="19682468"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օդորակի</w:t>
      </w:r>
      <w:r w:rsidR="00F90B4C" w:rsidRPr="00F90B4C">
        <w:rPr>
          <w:rFonts w:ascii="Sylfaen" w:hAnsi="Sylfaen"/>
          <w:b/>
          <w:sz w:val="24"/>
          <w:szCs w:val="24"/>
        </w:rPr>
        <w:t>չի ձայնային հզորության մակարդակ</w:t>
      </w:r>
      <w:r w:rsidRPr="00F90B4C">
        <w:rPr>
          <w:rFonts w:ascii="Sylfaen" w:hAnsi="Sylfaen"/>
          <w:b/>
          <w:sz w:val="24"/>
          <w:szCs w:val="24"/>
        </w:rPr>
        <w:t>՝</w:t>
      </w:r>
      <w:r w:rsidRPr="00CF39EE">
        <w:rPr>
          <w:rFonts w:ascii="Sylfaen" w:hAnsi="Sylfaen"/>
          <w:sz w:val="24"/>
          <w:szCs w:val="24"/>
        </w:rPr>
        <w:t xml:space="preserve"> ձայնային հզորության մակարդակ, որը ճշգրտված է ըստ դԲ(Ա)-ով Ա բնութագրի, որը չափվում է տարածքում կամ տարածքից դուրս՝ հովացման (կամ տաքացման, եթե օդորակիչը չունի հովացման ֆունկցիա) ռեժիմում օդորակիչի աշխատանքի ստանդարտ անվանական պայմաններում.</w:t>
      </w:r>
    </w:p>
    <w:p w14:paraId="4B49748F"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օդափոխիչի ձայնային հզորության մակարդակ (L</w:t>
      </w:r>
      <w:r w:rsidRPr="00F90B4C">
        <w:rPr>
          <w:rFonts w:ascii="Sylfaen" w:hAnsi="Sylfaen"/>
          <w:b/>
          <w:sz w:val="24"/>
          <w:szCs w:val="24"/>
          <w:vertAlign w:val="subscript"/>
        </w:rPr>
        <w:t>WA</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ձայնային հզորության մակարդակ, որը ճշգրտված է ըստ դԲ(Ա)-ով Ա բնութագրի, որը չափվում է դուրս բերվող հոսքի ուղղության կողմից օդի առավելագույն անվանական հոսքի դեպքում.</w:t>
      </w:r>
    </w:p>
    <w:p w14:paraId="5C09766D"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տեղեկացման կա</w:t>
      </w:r>
      <w:r w:rsidR="00F90B4C" w:rsidRPr="00F90B4C">
        <w:rPr>
          <w:rFonts w:ascii="Sylfaen" w:hAnsi="Sylfaen"/>
          <w:b/>
          <w:sz w:val="24"/>
          <w:szCs w:val="24"/>
        </w:rPr>
        <w:t>մ վիճակի արտապատկերման ֆունկցիա</w:t>
      </w:r>
      <w:r w:rsidRPr="00F90B4C">
        <w:rPr>
          <w:rFonts w:ascii="Sylfaen" w:hAnsi="Sylfaen"/>
          <w:b/>
          <w:sz w:val="24"/>
          <w:szCs w:val="24"/>
        </w:rPr>
        <w:t>՝</w:t>
      </w:r>
      <w:r w:rsidRPr="00CF39EE">
        <w:rPr>
          <w:rFonts w:ascii="Sylfaen" w:hAnsi="Sylfaen"/>
          <w:sz w:val="24"/>
          <w:szCs w:val="24"/>
        </w:rPr>
        <w:t xml:space="preserve"> ֆունկցիա, որն ապահովում է տեղեկատվության տրամադրումը կամ ցուցասարքի վրա սարքավորումների վիճակի արտապատկերումը՝ ներառյալ ժամանակի ցուցանշումը.</w:t>
      </w:r>
    </w:p>
    <w:p w14:paraId="721123B0" w14:textId="77777777" w:rsidR="009338B9" w:rsidRPr="00CF39EE" w:rsidRDefault="00F90B4C"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վերաակտիվացման ֆունկցիա</w:t>
      </w:r>
      <w:r w:rsidR="009338B9" w:rsidRPr="00F90B4C">
        <w:rPr>
          <w:rFonts w:ascii="Sylfaen" w:hAnsi="Sylfaen"/>
          <w:b/>
          <w:sz w:val="24"/>
          <w:szCs w:val="24"/>
        </w:rPr>
        <w:t>՝</w:t>
      </w:r>
      <w:r w:rsidR="009338B9" w:rsidRPr="00CF39EE">
        <w:rPr>
          <w:rFonts w:ascii="Sylfaen" w:hAnsi="Sylfaen"/>
          <w:sz w:val="24"/>
          <w:szCs w:val="24"/>
        </w:rPr>
        <w:t xml:space="preserve"> ֆունկցիա, որը հեռահար կառավարման սարքվածքների, ներքին տվիչների կամ պահաժամի կարգավորիչների (թայմերների) միջոցով ապահովում է սպասման ռեժիմից աշխատանքի ռեժիմի անցնելու ունակությունը, երբ տեղի է ունենում սարքավորումների հիմնական կամ հիմնական </w:t>
      </w:r>
      <w:r w:rsidR="009338B9">
        <w:rPr>
          <w:rFonts w:ascii="Sylfaen" w:hAnsi="Sylfaen"/>
          <w:sz w:val="24"/>
          <w:szCs w:val="24"/>
        </w:rPr>
        <w:t>եւ</w:t>
      </w:r>
      <w:r w:rsidR="009338B9" w:rsidRPr="00CF39EE">
        <w:rPr>
          <w:rFonts w:ascii="Sylfaen" w:hAnsi="Sylfaen"/>
          <w:sz w:val="24"/>
          <w:szCs w:val="24"/>
        </w:rPr>
        <w:t xml:space="preserve"> լրացուցիչ ֆունկցիաների կատարման ակտիվացում.</w:t>
      </w:r>
    </w:p>
    <w:p w14:paraId="16930CF4" w14:textId="77777777" w:rsidR="009338B9" w:rsidRPr="00CF39EE" w:rsidRDefault="00F90B4C"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մասնակի բեռնվածք</w:t>
      </w:r>
      <w:r w:rsidR="009338B9" w:rsidRPr="00F90B4C">
        <w:rPr>
          <w:rFonts w:ascii="Sylfaen" w:hAnsi="Sylfaen"/>
          <w:b/>
          <w:sz w:val="24"/>
          <w:szCs w:val="24"/>
        </w:rPr>
        <w:t>՝</w:t>
      </w:r>
      <w:r w:rsidR="009338B9" w:rsidRPr="00CF39EE">
        <w:rPr>
          <w:rFonts w:ascii="Sylfaen" w:hAnsi="Sylfaen"/>
          <w:sz w:val="24"/>
          <w:szCs w:val="24"/>
        </w:rPr>
        <w:t xml:space="preserve"> նախագծային (անվանական) հզորության </w:t>
      </w:r>
      <w:r w:rsidR="009338B9">
        <w:rPr>
          <w:rFonts w:ascii="Sylfaen" w:hAnsi="Sylfaen"/>
          <w:sz w:val="24"/>
          <w:szCs w:val="24"/>
        </w:rPr>
        <w:t>եւ</w:t>
      </w:r>
      <w:r w:rsidR="009338B9" w:rsidRPr="00CF39EE">
        <w:rPr>
          <w:rFonts w:ascii="Sylfaen" w:hAnsi="Sylfaen"/>
          <w:sz w:val="24"/>
          <w:szCs w:val="24"/>
        </w:rPr>
        <w:t xml:space="preserve"> մասնակի pl(T</w:t>
      </w:r>
      <w:r w:rsidR="009338B9" w:rsidRPr="00CF39EE">
        <w:rPr>
          <w:rFonts w:ascii="Sylfaen" w:hAnsi="Sylfaen"/>
          <w:sz w:val="24"/>
          <w:szCs w:val="24"/>
          <w:vertAlign w:val="subscript"/>
        </w:rPr>
        <w:t>j</w:t>
      </w:r>
      <w:r w:rsidR="009338B9" w:rsidRPr="00CF39EE">
        <w:rPr>
          <w:rFonts w:ascii="Sylfaen" w:hAnsi="Sylfaen"/>
          <w:sz w:val="24"/>
          <w:szCs w:val="24"/>
        </w:rPr>
        <w:t>) բեռնվածքի գործակցի արտադրյալին հավասար՝ T</w:t>
      </w:r>
      <w:r w:rsidR="009338B9" w:rsidRPr="00CF39EE">
        <w:rPr>
          <w:rFonts w:ascii="Sylfaen" w:hAnsi="Sylfaen"/>
          <w:sz w:val="24"/>
          <w:szCs w:val="24"/>
          <w:vertAlign w:val="subscript"/>
        </w:rPr>
        <w:t>j</w:t>
      </w:r>
      <w:r w:rsidR="009338B9" w:rsidRPr="00CF39EE">
        <w:rPr>
          <w:rFonts w:ascii="Sylfaen" w:hAnsi="Sylfaen"/>
          <w:sz w:val="24"/>
          <w:szCs w:val="24"/>
        </w:rPr>
        <w:t xml:space="preserve"> արտաքին օդի որոշակի </w:t>
      </w:r>
      <w:r w:rsidR="009338B9" w:rsidRPr="00CF39EE">
        <w:rPr>
          <w:rFonts w:ascii="Sylfaen" w:hAnsi="Sylfaen"/>
          <w:sz w:val="24"/>
          <w:szCs w:val="24"/>
        </w:rPr>
        <w:lastRenderedPageBreak/>
        <w:t>ջերմաստիճանում P</w:t>
      </w:r>
      <w:r w:rsidR="009338B9" w:rsidRPr="00CF39EE">
        <w:rPr>
          <w:rFonts w:ascii="Sylfaen" w:hAnsi="Sylfaen"/>
          <w:sz w:val="24"/>
          <w:szCs w:val="24"/>
          <w:vertAlign w:val="subscript"/>
        </w:rPr>
        <w:t>C</w:t>
      </w:r>
      <w:r w:rsidR="009338B9" w:rsidRPr="00CF39EE">
        <w:rPr>
          <w:rFonts w:ascii="Sylfaen" w:hAnsi="Sylfaen"/>
          <w:sz w:val="24"/>
          <w:szCs w:val="24"/>
        </w:rPr>
        <w:t>(T</w:t>
      </w:r>
      <w:r w:rsidR="009338B9" w:rsidRPr="00CF39EE">
        <w:rPr>
          <w:rFonts w:ascii="Sylfaen" w:hAnsi="Sylfaen"/>
          <w:sz w:val="24"/>
          <w:szCs w:val="24"/>
          <w:vertAlign w:val="subscript"/>
        </w:rPr>
        <w:t>j</w:t>
      </w:r>
      <w:r w:rsidR="009338B9" w:rsidRPr="00CF39EE">
        <w:rPr>
          <w:rFonts w:ascii="Sylfaen" w:hAnsi="Sylfaen"/>
          <w:sz w:val="24"/>
          <w:szCs w:val="24"/>
        </w:rPr>
        <w:t>) հովացման կամ P</w:t>
      </w:r>
      <w:r w:rsidR="009338B9" w:rsidRPr="00CF39EE">
        <w:rPr>
          <w:rFonts w:ascii="Sylfaen" w:hAnsi="Sylfaen"/>
          <w:sz w:val="24"/>
          <w:szCs w:val="24"/>
          <w:vertAlign w:val="subscript"/>
        </w:rPr>
        <w:t>h</w:t>
      </w:r>
      <w:r w:rsidR="009338B9" w:rsidRPr="00CF39EE">
        <w:rPr>
          <w:rFonts w:ascii="Sylfaen" w:hAnsi="Sylfaen"/>
          <w:sz w:val="24"/>
          <w:szCs w:val="24"/>
        </w:rPr>
        <w:t>(T</w:t>
      </w:r>
      <w:r w:rsidR="009338B9" w:rsidRPr="00CF39EE">
        <w:rPr>
          <w:rFonts w:ascii="Sylfaen" w:hAnsi="Sylfaen"/>
          <w:sz w:val="24"/>
          <w:szCs w:val="24"/>
          <w:vertAlign w:val="subscript"/>
        </w:rPr>
        <w:t>j</w:t>
      </w:r>
      <w:r w:rsidR="009338B9" w:rsidRPr="00CF39EE">
        <w:rPr>
          <w:rFonts w:ascii="Sylfaen" w:hAnsi="Sylfaen"/>
          <w:sz w:val="24"/>
          <w:szCs w:val="24"/>
        </w:rPr>
        <w:t>) տաքացման ռեժիմում հզորություն (կՎտ-ով).</w:t>
      </w:r>
    </w:p>
    <w:p w14:paraId="2264A36A"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ակտիվ ռեժիմում տաքացման համարժեք ժամանակահատված (H</w:t>
      </w:r>
      <w:r w:rsidRPr="00F90B4C">
        <w:rPr>
          <w:rFonts w:ascii="Sylfaen" w:hAnsi="Sylfaen"/>
          <w:b/>
          <w:sz w:val="24"/>
          <w:szCs w:val="24"/>
          <w:vertAlign w:val="subscript"/>
        </w:rPr>
        <w:t>HE</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տաքացման ռեժիմում էներգիայի տարեկան չափանմուշային սպառումն ապահովելու համար անհրաժեշտ՝ տաքացման ռեժիմում նախագծային (անվանական) հզորությամբ (բեռնվածքով) (P</w:t>
      </w:r>
      <w:r w:rsidRPr="00CF39EE">
        <w:rPr>
          <w:rFonts w:ascii="Sylfaen" w:hAnsi="Sylfaen"/>
          <w:sz w:val="24"/>
          <w:szCs w:val="24"/>
          <w:vertAlign w:val="subscript"/>
        </w:rPr>
        <w:t>designH</w:t>
      </w:r>
      <w:r w:rsidRPr="00CF39EE">
        <w:rPr>
          <w:rFonts w:ascii="Sylfaen" w:hAnsi="Sylfaen"/>
          <w:sz w:val="24"/>
          <w:szCs w:val="24"/>
        </w:rPr>
        <w:t>) օդորակիչի աշխատանքի տարեկան հաշվարկային (ենթադրվող) տ</w:t>
      </w:r>
      <w:r>
        <w:rPr>
          <w:rFonts w:ascii="Sylfaen" w:hAnsi="Sylfaen"/>
          <w:sz w:val="24"/>
          <w:szCs w:val="24"/>
        </w:rPr>
        <w:t>եւ</w:t>
      </w:r>
      <w:r w:rsidRPr="00CF39EE">
        <w:rPr>
          <w:rFonts w:ascii="Sylfaen" w:hAnsi="Sylfaen"/>
          <w:sz w:val="24"/>
          <w:szCs w:val="24"/>
        </w:rPr>
        <w:t>ողություն (ժ/տարի-ով).</w:t>
      </w:r>
    </w:p>
    <w:p w14:paraId="09DDEAE2"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ակտիվ ռեժիմում հովացման համարժեք ժամանակահատված (H</w:t>
      </w:r>
      <w:r w:rsidRPr="00F90B4C">
        <w:rPr>
          <w:rFonts w:ascii="Sylfaen" w:hAnsi="Sylfaen"/>
          <w:b/>
          <w:sz w:val="24"/>
          <w:szCs w:val="24"/>
          <w:vertAlign w:val="subscript"/>
        </w:rPr>
        <w:t>ce</w:t>
      </w:r>
      <w:r w:rsidR="00F90B4C" w:rsidRPr="00F90B4C">
        <w:rPr>
          <w:rFonts w:ascii="Sylfaen" w:hAnsi="Sylfaen"/>
          <w:b/>
          <w:sz w:val="24"/>
          <w:szCs w:val="24"/>
        </w:rPr>
        <w:t>)</w:t>
      </w:r>
      <w:r w:rsidRPr="00F90B4C">
        <w:rPr>
          <w:rFonts w:ascii="Sylfaen" w:hAnsi="Sylfaen"/>
          <w:b/>
          <w:sz w:val="24"/>
          <w:szCs w:val="24"/>
        </w:rPr>
        <w:t xml:space="preserve">՝ </w:t>
      </w:r>
      <w:r w:rsidRPr="00CF39EE">
        <w:rPr>
          <w:rFonts w:ascii="Sylfaen" w:hAnsi="Sylfaen"/>
          <w:sz w:val="24"/>
          <w:szCs w:val="24"/>
        </w:rPr>
        <w:t>հովացման ռեժիմում էներգիայի տարեկան չափանմուշային սպառումն ապահովելու համար</w:t>
      </w:r>
      <w:r w:rsidRPr="00CF39EE" w:rsidDel="005077C9">
        <w:rPr>
          <w:rFonts w:ascii="Sylfaen" w:hAnsi="Sylfaen"/>
          <w:sz w:val="24"/>
          <w:szCs w:val="24"/>
        </w:rPr>
        <w:t xml:space="preserve"> </w:t>
      </w:r>
      <w:r w:rsidRPr="00CF39EE">
        <w:rPr>
          <w:rFonts w:ascii="Sylfaen" w:hAnsi="Sylfaen"/>
          <w:sz w:val="24"/>
          <w:szCs w:val="24"/>
        </w:rPr>
        <w:t>անհրաժեշտ՝ հովացման ռեժիմում նախագծային (անվանական) հզորությամբ (բեռնվածքով) (P</w:t>
      </w:r>
      <w:r w:rsidRPr="00CF39EE">
        <w:rPr>
          <w:rFonts w:ascii="Sylfaen" w:hAnsi="Sylfaen"/>
          <w:sz w:val="24"/>
          <w:szCs w:val="24"/>
          <w:vertAlign w:val="subscript"/>
        </w:rPr>
        <w:t>designC</w:t>
      </w:r>
      <w:r w:rsidRPr="00CF39EE">
        <w:rPr>
          <w:rFonts w:ascii="Sylfaen" w:hAnsi="Sylfaen"/>
          <w:sz w:val="24"/>
          <w:szCs w:val="24"/>
        </w:rPr>
        <w:t>) օդորակիչի աշխատանքի տարեկան հաշվարկային (ենթադրվող) տ</w:t>
      </w:r>
      <w:r>
        <w:rPr>
          <w:rFonts w:ascii="Sylfaen" w:hAnsi="Sylfaen"/>
          <w:sz w:val="24"/>
          <w:szCs w:val="24"/>
        </w:rPr>
        <w:t>եւ</w:t>
      </w:r>
      <w:r w:rsidRPr="00CF39EE">
        <w:rPr>
          <w:rFonts w:ascii="Sylfaen" w:hAnsi="Sylfaen"/>
          <w:sz w:val="24"/>
          <w:szCs w:val="24"/>
        </w:rPr>
        <w:t>ողություն (ժ/տարի-ով).</w:t>
      </w:r>
    </w:p>
    <w:p w14:paraId="21889D9F" w14:textId="77777777" w:rsidR="009338B9" w:rsidRPr="00F90B4C" w:rsidRDefault="00F90B4C" w:rsidP="009338B9">
      <w:pPr>
        <w:pStyle w:val="Bodytext20"/>
        <w:spacing w:after="160" w:line="360" w:lineRule="auto"/>
        <w:ind w:firstLine="567"/>
        <w:jc w:val="both"/>
        <w:rPr>
          <w:rFonts w:ascii="Sylfaen" w:hAnsi="Sylfaen"/>
          <w:spacing w:val="-6"/>
          <w:sz w:val="24"/>
          <w:szCs w:val="24"/>
        </w:rPr>
      </w:pPr>
      <w:r w:rsidRPr="00F90B4C">
        <w:rPr>
          <w:rFonts w:ascii="Sylfaen" w:hAnsi="Sylfaen"/>
          <w:b/>
          <w:spacing w:val="-6"/>
          <w:sz w:val="24"/>
          <w:szCs w:val="24"/>
        </w:rPr>
        <w:t>շահագործման ցուցանիշ (SV)</w:t>
      </w:r>
      <w:r w:rsidR="009338B9" w:rsidRPr="00F90B4C">
        <w:rPr>
          <w:rFonts w:ascii="Sylfaen" w:hAnsi="Sylfaen"/>
          <w:b/>
          <w:spacing w:val="-6"/>
          <w:sz w:val="24"/>
          <w:szCs w:val="24"/>
        </w:rPr>
        <w:t>՝</w:t>
      </w:r>
      <w:r w:rsidR="009338B9" w:rsidRPr="00F90B4C">
        <w:rPr>
          <w:rFonts w:ascii="Sylfaen" w:hAnsi="Sylfaen"/>
          <w:spacing w:val="-6"/>
          <w:sz w:val="24"/>
          <w:szCs w:val="24"/>
        </w:rPr>
        <w:t xml:space="preserve"> մ</w:t>
      </w:r>
      <w:r w:rsidR="009338B9" w:rsidRPr="00F90B4C">
        <w:rPr>
          <w:rFonts w:ascii="Sylfaen" w:hAnsi="Sylfaen"/>
          <w:spacing w:val="-6"/>
          <w:sz w:val="24"/>
          <w:szCs w:val="24"/>
          <w:vertAlign w:val="superscript"/>
        </w:rPr>
        <w:t>3</w:t>
      </w:r>
      <w:r w:rsidR="009338B9" w:rsidRPr="00F90B4C">
        <w:rPr>
          <w:rFonts w:ascii="Sylfaen" w:hAnsi="Sylfaen"/>
          <w:spacing w:val="-6"/>
          <w:sz w:val="24"/>
          <w:szCs w:val="24"/>
        </w:rPr>
        <w:t>/ր-ով՝ օդի առավելագույն հոսքի եւ Վտ-ով՝ օդափոխիչի սպառվող հզորության հարաբերություն՝ արտահայտված (մ</w:t>
      </w:r>
      <w:r w:rsidR="009338B9" w:rsidRPr="00F90B4C">
        <w:rPr>
          <w:rFonts w:ascii="Sylfaen" w:hAnsi="Sylfaen"/>
          <w:spacing w:val="-6"/>
          <w:sz w:val="24"/>
          <w:szCs w:val="24"/>
          <w:vertAlign w:val="superscript"/>
        </w:rPr>
        <w:t>3</w:t>
      </w:r>
      <w:r w:rsidR="009338B9" w:rsidRPr="00F90B4C">
        <w:rPr>
          <w:rFonts w:ascii="Sylfaen" w:hAnsi="Sylfaen"/>
          <w:spacing w:val="-6"/>
          <w:sz w:val="24"/>
          <w:szCs w:val="24"/>
        </w:rPr>
        <w:t>/ր)/Վտ-ով.</w:t>
      </w:r>
    </w:p>
    <w:p w14:paraId="1113951C"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օդափոխիչի էներգասպառում (P</w:t>
      </w:r>
      <w:r w:rsidRPr="00F90B4C">
        <w:rPr>
          <w:rFonts w:ascii="Sylfaen" w:hAnsi="Sylfaen"/>
          <w:b/>
          <w:sz w:val="24"/>
          <w:szCs w:val="24"/>
          <w:vertAlign w:val="subscript"/>
        </w:rPr>
        <w:t>F</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պտտելու (թեքելու) միացված ֆունկցիայով (առկայության դեպքում) օդափոխիչով ստեղծվող օդի առավելագույն անվանական հոսքի դեպքում չափված՝ օդափոխիչով սպառվող հզորություն Վտ-ով.</w:t>
      </w:r>
    </w:p>
    <w:p w14:paraId="374C1D6D"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մի- եւ երկուղի սարքերի (համապատասխանաբար Q</w:t>
      </w:r>
      <w:r w:rsidRPr="00F90B4C">
        <w:rPr>
          <w:rFonts w:ascii="Sylfaen" w:hAnsi="Sylfaen"/>
          <w:b/>
          <w:sz w:val="24"/>
          <w:szCs w:val="24"/>
          <w:vertAlign w:val="subscript"/>
        </w:rPr>
        <w:t>sd</w:t>
      </w:r>
      <w:r w:rsidRPr="00F90B4C">
        <w:rPr>
          <w:rFonts w:ascii="Sylfaen" w:hAnsi="Sylfaen"/>
          <w:b/>
          <w:sz w:val="24"/>
          <w:szCs w:val="24"/>
        </w:rPr>
        <w:t xml:space="preserve"> եւ Q</w:t>
      </w:r>
      <w:r w:rsidRPr="00F90B4C">
        <w:rPr>
          <w:rFonts w:ascii="Sylfaen" w:hAnsi="Sylfaen"/>
          <w:b/>
          <w:sz w:val="24"/>
          <w:szCs w:val="24"/>
          <w:vertAlign w:val="subscript"/>
        </w:rPr>
        <w:t>dd</w:t>
      </w:r>
      <w:r w:rsidRPr="00F90B4C">
        <w:rPr>
          <w:rFonts w:ascii="Sylfaen" w:hAnsi="Sylfaen"/>
          <w:b/>
          <w:sz w:val="24"/>
          <w:szCs w:val="24"/>
        </w:rPr>
        <w:t xml:space="preserve">) </w:t>
      </w:r>
      <w:r w:rsidR="00F90B4C" w:rsidRPr="00F90B4C">
        <w:rPr>
          <w:rFonts w:ascii="Sylfaen" w:hAnsi="Sylfaen"/>
          <w:b/>
          <w:sz w:val="24"/>
          <w:szCs w:val="24"/>
        </w:rPr>
        <w:t>էներգասպառում</w:t>
      </w:r>
      <w:r w:rsidRPr="00F90B4C">
        <w:rPr>
          <w:rFonts w:ascii="Sylfaen" w:hAnsi="Sylfaen"/>
          <w:b/>
          <w:sz w:val="24"/>
          <w:szCs w:val="24"/>
        </w:rPr>
        <w:t>՝</w:t>
      </w:r>
      <w:r w:rsidRPr="00CF39EE">
        <w:rPr>
          <w:rFonts w:ascii="Sylfaen" w:hAnsi="Sylfaen"/>
          <w:sz w:val="24"/>
          <w:szCs w:val="24"/>
        </w:rPr>
        <w:t xml:space="preserve"> հովացման </w:t>
      </w:r>
      <w:r>
        <w:rPr>
          <w:rFonts w:ascii="Sylfaen" w:hAnsi="Sylfaen"/>
          <w:sz w:val="24"/>
          <w:szCs w:val="24"/>
        </w:rPr>
        <w:t>եւ</w:t>
      </w:r>
      <w:r w:rsidRPr="00CF39EE">
        <w:rPr>
          <w:rFonts w:ascii="Sylfaen" w:hAnsi="Sylfaen"/>
          <w:sz w:val="24"/>
          <w:szCs w:val="24"/>
        </w:rPr>
        <w:t xml:space="preserve"> (կամ) տաքացման ռեժիմում մի- </w:t>
      </w:r>
      <w:r>
        <w:rPr>
          <w:rFonts w:ascii="Sylfaen" w:hAnsi="Sylfaen"/>
          <w:sz w:val="24"/>
          <w:szCs w:val="24"/>
        </w:rPr>
        <w:t>եւ</w:t>
      </w:r>
      <w:r w:rsidRPr="00CF39EE">
        <w:rPr>
          <w:rFonts w:ascii="Sylfaen" w:hAnsi="Sylfaen"/>
          <w:sz w:val="24"/>
          <w:szCs w:val="24"/>
        </w:rPr>
        <w:t xml:space="preserve"> երկուղի օդորակիչների էներգասպառում՝ պայմանավորված ֆունկցիաների առկայությամբ (միուղի սարքերի համար կՎտժ/ժ-ով, երկուղիների համար՝ կՎտժ/տարի-ով).</w:t>
      </w:r>
    </w:p>
    <w:p w14:paraId="7E11B8A8"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տաքացման ռեժիմում էներգետիկ արդյունավետություն ջերմաստիճանաժամանակային միջակայքի համար [COP</w:t>
      </w:r>
      <w:r w:rsidRPr="00F90B4C">
        <w:rPr>
          <w:rFonts w:ascii="Sylfaen" w:hAnsi="Sylfaen"/>
          <w:b/>
          <w:sz w:val="24"/>
          <w:szCs w:val="24"/>
          <w:vertAlign w:val="subscript"/>
        </w:rPr>
        <w:t>bin</w:t>
      </w:r>
      <w:r w:rsidRPr="00F90B4C">
        <w:rPr>
          <w:rFonts w:ascii="Sylfaen" w:hAnsi="Sylfaen"/>
          <w:b/>
          <w:sz w:val="24"/>
          <w:szCs w:val="24"/>
        </w:rPr>
        <w:t>(T</w:t>
      </w:r>
      <w:r w:rsidRPr="00F90B4C">
        <w:rPr>
          <w:rFonts w:ascii="Sylfaen" w:hAnsi="Sylfaen"/>
          <w:b/>
          <w:sz w:val="24"/>
          <w:szCs w:val="24"/>
          <w:vertAlign w:val="subscript"/>
        </w:rPr>
        <w:t>j</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T</w:t>
      </w:r>
      <w:r w:rsidRPr="00CF39EE">
        <w:rPr>
          <w:rFonts w:ascii="Sylfaen" w:hAnsi="Sylfaen"/>
          <w:sz w:val="24"/>
          <w:szCs w:val="24"/>
          <w:vertAlign w:val="subscript"/>
        </w:rPr>
        <w:t>j</w:t>
      </w:r>
      <w:r w:rsidRPr="00CF39EE">
        <w:rPr>
          <w:rFonts w:ascii="Sylfaen" w:hAnsi="Sylfaen"/>
          <w:sz w:val="24"/>
          <w:szCs w:val="24"/>
        </w:rPr>
        <w:t xml:space="preserve"> արտաքին օդի ջերմաստիճանի պայմաններում j ջերմաստիճանաժամանակային միջակայքում (բինում) տաքացման ռեժիմում օդորակիչի տեսակարար էներգետիկ արդյունավետություն, որը հաշվարկվում է՝ հաշվի առնելով մասնակի բեռնվածքը, անվանական հզորությունը </w:t>
      </w:r>
      <w:r>
        <w:rPr>
          <w:rFonts w:ascii="Sylfaen" w:hAnsi="Sylfaen"/>
          <w:sz w:val="24"/>
          <w:szCs w:val="24"/>
        </w:rPr>
        <w:t>եւ</w:t>
      </w:r>
      <w:r w:rsidRPr="00CF39EE">
        <w:rPr>
          <w:rFonts w:ascii="Sylfaen" w:hAnsi="Sylfaen"/>
          <w:sz w:val="24"/>
          <w:szCs w:val="24"/>
        </w:rPr>
        <w:t xml:space="preserve"> առանձին j ջերմաստիճանաժամանակային </w:t>
      </w:r>
      <w:r w:rsidRPr="00CF39EE">
        <w:rPr>
          <w:rFonts w:ascii="Sylfaen" w:hAnsi="Sylfaen"/>
          <w:sz w:val="24"/>
          <w:szCs w:val="24"/>
        </w:rPr>
        <w:lastRenderedPageBreak/>
        <w:t>միջակայքերի (բիների) համար COP</w:t>
      </w:r>
      <w:r w:rsidRPr="00CF39EE">
        <w:rPr>
          <w:rFonts w:ascii="Sylfaen" w:hAnsi="Sylfaen"/>
          <w:sz w:val="24"/>
          <w:szCs w:val="24"/>
          <w:vertAlign w:val="subscript"/>
        </w:rPr>
        <w:t>d</w:t>
      </w:r>
      <w:r w:rsidRPr="00CF39EE">
        <w:rPr>
          <w:rFonts w:ascii="Sylfaen" w:hAnsi="Sylfaen"/>
          <w:sz w:val="24"/>
          <w:szCs w:val="24"/>
        </w:rPr>
        <w:t>(T</w:t>
      </w:r>
      <w:r w:rsidRPr="00CF39EE">
        <w:rPr>
          <w:rFonts w:ascii="Sylfaen" w:hAnsi="Sylfaen"/>
          <w:sz w:val="24"/>
          <w:szCs w:val="24"/>
          <w:vertAlign w:val="subscript"/>
        </w:rPr>
        <w:t>j</w:t>
      </w:r>
      <w:r w:rsidRPr="00CF39EE">
        <w:rPr>
          <w:rFonts w:ascii="Sylfaen" w:hAnsi="Sylfaen"/>
          <w:sz w:val="24"/>
          <w:szCs w:val="24"/>
        </w:rPr>
        <w:t xml:space="preserve">) տաքացման ռեժիմում անվանական էներգաարդյունավետությունը, այլ ջերմաստիճանաժամանակային միջակայքերի (բիների) համար արտարկման մեթոդով ստացվող հզորությունը </w:t>
      </w:r>
      <w:r>
        <w:rPr>
          <w:rFonts w:ascii="Sylfaen" w:hAnsi="Sylfaen"/>
          <w:sz w:val="24"/>
          <w:szCs w:val="24"/>
        </w:rPr>
        <w:t>եւ</w:t>
      </w:r>
      <w:r w:rsidRPr="00CF39EE">
        <w:rPr>
          <w:rFonts w:ascii="Sylfaen" w:hAnsi="Sylfaen"/>
          <w:sz w:val="24"/>
          <w:szCs w:val="24"/>
        </w:rPr>
        <w:t xml:space="preserve"> էներգետիկ արդյունավետությունը՝ անհրաժեշտության դեպքում կիրառելով էներգետիկ արդյունավետության կորստի գործակիցը.</w:t>
      </w:r>
    </w:p>
    <w:p w14:paraId="08E611FA"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հովացման ռեժիմում էներգետիկ արդյունավետություն ջերմաստիճանաժամանակային միջակայքի համար (EER</w:t>
      </w:r>
      <w:r w:rsidRPr="00F90B4C">
        <w:rPr>
          <w:rFonts w:ascii="Sylfaen" w:hAnsi="Sylfaen"/>
          <w:b/>
          <w:sz w:val="24"/>
          <w:szCs w:val="24"/>
          <w:vertAlign w:val="subscript"/>
        </w:rPr>
        <w:t>bin</w:t>
      </w:r>
      <w:r w:rsidRPr="00F90B4C">
        <w:rPr>
          <w:rFonts w:ascii="Sylfaen" w:hAnsi="Sylfaen"/>
          <w:b/>
          <w:sz w:val="24"/>
          <w:szCs w:val="24"/>
        </w:rPr>
        <w:t>(T</w:t>
      </w:r>
      <w:r w:rsidRPr="00F90B4C">
        <w:rPr>
          <w:rFonts w:ascii="Sylfaen" w:hAnsi="Sylfaen"/>
          <w:b/>
          <w:sz w:val="24"/>
          <w:szCs w:val="24"/>
          <w:vertAlign w:val="subscript"/>
        </w:rPr>
        <w:t>j</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T</w:t>
      </w:r>
      <w:r w:rsidRPr="00CF39EE">
        <w:rPr>
          <w:rFonts w:ascii="Sylfaen" w:hAnsi="Sylfaen"/>
          <w:sz w:val="24"/>
          <w:szCs w:val="24"/>
          <w:vertAlign w:val="subscript"/>
        </w:rPr>
        <w:t>j</w:t>
      </w:r>
      <w:r w:rsidRPr="00CF39EE">
        <w:rPr>
          <w:rFonts w:ascii="Sylfaen" w:hAnsi="Sylfaen"/>
          <w:sz w:val="24"/>
          <w:szCs w:val="24"/>
        </w:rPr>
        <w:t xml:space="preserve"> արտաքին օդի </w:t>
      </w:r>
      <w:r w:rsidRPr="00F90B4C">
        <w:rPr>
          <w:rFonts w:ascii="Sylfaen" w:hAnsi="Sylfaen"/>
          <w:spacing w:val="-6"/>
          <w:sz w:val="24"/>
          <w:szCs w:val="24"/>
        </w:rPr>
        <w:t>ջերմաստիճանի պայմաններում j ջերմաստիճանաժամանակային միջակայքում (բինում) հովացման ռեժիմում օդորակիչի տեսակարար էներգաարդյունավետություն, որը հաշվարկվում է՝ հաշվի առնելով մասնակի բեռնվածքը, անվանական հզորությունը եւ առանձին j ջերմաստիճանաժամանակային միջակայքերի (բիների) համար հովացման ռեժիմում անվանական էներգաարդյունավետությունը EER</w:t>
      </w:r>
      <w:r w:rsidRPr="00F90B4C">
        <w:rPr>
          <w:rFonts w:ascii="Sylfaen" w:hAnsi="Sylfaen"/>
          <w:spacing w:val="-6"/>
          <w:sz w:val="24"/>
          <w:szCs w:val="24"/>
          <w:vertAlign w:val="subscript"/>
        </w:rPr>
        <w:t>d</w:t>
      </w:r>
      <w:r w:rsidRPr="00F90B4C">
        <w:rPr>
          <w:rFonts w:ascii="Sylfaen" w:hAnsi="Sylfaen"/>
          <w:spacing w:val="-6"/>
          <w:sz w:val="24"/>
          <w:szCs w:val="24"/>
        </w:rPr>
        <w:t xml:space="preserve"> (T</w:t>
      </w:r>
      <w:r w:rsidRPr="00F90B4C">
        <w:rPr>
          <w:rFonts w:ascii="Sylfaen" w:hAnsi="Sylfaen"/>
          <w:spacing w:val="-6"/>
          <w:sz w:val="24"/>
          <w:szCs w:val="24"/>
          <w:vertAlign w:val="subscript"/>
        </w:rPr>
        <w:t>j</w:t>
      </w:r>
      <w:r w:rsidRPr="00F90B4C">
        <w:rPr>
          <w:rFonts w:ascii="Sylfaen" w:hAnsi="Sylfaen"/>
          <w:spacing w:val="-6"/>
          <w:sz w:val="24"/>
          <w:szCs w:val="24"/>
        </w:rPr>
        <w:t>) եւ այլ ջերմաստիճանաժամանակային միջակայքերի (բիների) համար արտարկման մեթոդով ստացվող հզորությունն</w:t>
      </w:r>
      <w:r w:rsidRPr="00CF39EE">
        <w:rPr>
          <w:rFonts w:ascii="Sylfaen" w:hAnsi="Sylfaen"/>
          <w:sz w:val="24"/>
          <w:szCs w:val="24"/>
        </w:rPr>
        <w:t xml:space="preserve"> ու էներգետիկ արդյունավետությունը՝ անհրաժեշտության դեպքում կիրառելով արդյունավետության կորստի գործակիցը.</w:t>
      </w:r>
    </w:p>
    <w:p w14:paraId="7D4C4A8E"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էներգետիկ արդյունավետություն տաքացման ցիկլային (ընդհատուն) ռեժիմում (COP</w:t>
      </w:r>
      <w:r w:rsidRPr="00F90B4C">
        <w:rPr>
          <w:rFonts w:ascii="Sylfaen" w:hAnsi="Sylfaen"/>
          <w:b/>
          <w:sz w:val="24"/>
          <w:szCs w:val="24"/>
          <w:vertAlign w:val="subscript"/>
        </w:rPr>
        <w:t>cyc</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տաքացման ռեժիմում փորձարկումների (չափումների) ցիկլային միջակայքում օդորակիչի միջին էներգաարդյունավետություն, որը հավասար է ցիկլային միջակայքում կՎտ/ժ-ով՝ սպառվող գումարային հզորության հարաբերությանը մի</w:t>
      </w:r>
      <w:r>
        <w:rPr>
          <w:rFonts w:ascii="Sylfaen" w:hAnsi="Sylfaen"/>
          <w:sz w:val="24"/>
          <w:szCs w:val="24"/>
        </w:rPr>
        <w:t>եւ</w:t>
      </w:r>
      <w:r w:rsidRPr="00CF39EE">
        <w:rPr>
          <w:rFonts w:ascii="Sylfaen" w:hAnsi="Sylfaen"/>
          <w:sz w:val="24"/>
          <w:szCs w:val="24"/>
        </w:rPr>
        <w:t>նույն միջակայքում սպառվող մուտքային էլեկտրական հզորության</w:t>
      </w:r>
      <w:r>
        <w:rPr>
          <w:rFonts w:ascii="Sylfaen" w:hAnsi="Sylfaen"/>
          <w:sz w:val="24"/>
          <w:szCs w:val="24"/>
        </w:rPr>
        <w:t xml:space="preserve"> </w:t>
      </w:r>
      <w:r w:rsidRPr="00CF39EE">
        <w:rPr>
          <w:rFonts w:ascii="Sylfaen" w:hAnsi="Sylfaen"/>
          <w:sz w:val="24"/>
          <w:szCs w:val="24"/>
        </w:rPr>
        <w:t>նկատմամբ.</w:t>
      </w:r>
    </w:p>
    <w:p w14:paraId="72D52644"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էներգետիկ արդյունավետություն հովացման ցիկլային (ընդհատուն) ռեժիմում (EER</w:t>
      </w:r>
      <w:r w:rsidRPr="00F90B4C">
        <w:rPr>
          <w:rFonts w:ascii="Sylfaen" w:hAnsi="Sylfaen"/>
          <w:b/>
          <w:sz w:val="24"/>
          <w:szCs w:val="24"/>
          <w:vertAlign w:val="subscript"/>
        </w:rPr>
        <w:t>cyc</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հովացման ռեժիմում փորձարկումների (չափումների) ցիկլային միջակայքում օդորակիչի միջին էներգաարդյունավետություն, որը հավասար է ցիկլային միջակայքում կՎտ/ժ-ով՝ սպառվող գումարային հզորության հարաբերությանը՝ մի</w:t>
      </w:r>
      <w:r>
        <w:rPr>
          <w:rFonts w:ascii="Sylfaen" w:hAnsi="Sylfaen"/>
          <w:sz w:val="24"/>
          <w:szCs w:val="24"/>
        </w:rPr>
        <w:t>եւ</w:t>
      </w:r>
      <w:r w:rsidRPr="00CF39EE">
        <w:rPr>
          <w:rFonts w:ascii="Sylfaen" w:hAnsi="Sylfaen"/>
          <w:sz w:val="24"/>
          <w:szCs w:val="24"/>
        </w:rPr>
        <w:t>նույն միջակայքում սպառվող մուտքային էլեկտրական հզորության նկատմամբ.</w:t>
      </w:r>
    </w:p>
    <w:p w14:paraId="7629E221"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lastRenderedPageBreak/>
        <w:t>տաքացման ռեժիմում էներգիայի տարեկան չափանմուշային սպառում (Q</w:t>
      </w:r>
      <w:r w:rsidRPr="00F90B4C">
        <w:rPr>
          <w:rFonts w:ascii="Sylfaen" w:hAnsi="Sylfaen"/>
          <w:b/>
          <w:sz w:val="24"/>
          <w:szCs w:val="24"/>
          <w:vertAlign w:val="subscript"/>
        </w:rPr>
        <w:t>H</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տաքացման ռեժիմում էներգիայի սպառում կՎտժ/տարի-ով, որն օգտագործվում է SCOP-ը հաշվարկելու համար </w:t>
      </w:r>
      <w:r>
        <w:rPr>
          <w:rFonts w:ascii="Sylfaen" w:hAnsi="Sylfaen"/>
          <w:sz w:val="24"/>
          <w:szCs w:val="24"/>
        </w:rPr>
        <w:t>եւ</w:t>
      </w:r>
      <w:r w:rsidRPr="00CF39EE">
        <w:rPr>
          <w:rFonts w:ascii="Sylfaen" w:hAnsi="Sylfaen"/>
          <w:sz w:val="24"/>
          <w:szCs w:val="24"/>
        </w:rPr>
        <w:t xml:space="preserve"> որն ստացվում է տաքացման ռեժիմում նախագծային (անվանական) հզորությունը (բեռնվածքը) (P</w:t>
      </w:r>
      <w:r w:rsidRPr="00CF39EE">
        <w:rPr>
          <w:rFonts w:ascii="Sylfaen" w:hAnsi="Sylfaen"/>
          <w:sz w:val="24"/>
          <w:szCs w:val="24"/>
          <w:vertAlign w:val="subscript"/>
        </w:rPr>
        <w:t>designH</w:t>
      </w:r>
      <w:r w:rsidRPr="00CF39EE">
        <w:rPr>
          <w:rFonts w:ascii="Sylfaen" w:hAnsi="Sylfaen"/>
          <w:sz w:val="24"/>
          <w:szCs w:val="24"/>
        </w:rPr>
        <w:t>)՝ որոշակի ջեռուցման սեզոնի ընթացքում տաքացման ակտիվ ռեժիմում օդորակիչի (H</w:t>
      </w:r>
      <w:r w:rsidRPr="00CF39EE">
        <w:rPr>
          <w:rFonts w:ascii="Sylfaen" w:hAnsi="Sylfaen"/>
          <w:sz w:val="24"/>
          <w:szCs w:val="24"/>
          <w:vertAlign w:val="subscript"/>
        </w:rPr>
        <w:t>HE</w:t>
      </w:r>
      <w:r w:rsidRPr="00CF39EE">
        <w:rPr>
          <w:rFonts w:ascii="Sylfaen" w:hAnsi="Sylfaen"/>
          <w:sz w:val="24"/>
          <w:szCs w:val="24"/>
        </w:rPr>
        <w:t>) աշխատանքի ժամերի քանակի վրա բազմապատկելու միջոցով.</w:t>
      </w:r>
    </w:p>
    <w:p w14:paraId="3FD50DB1"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հովացման ռեժիմում էներգիայի տարեկան չափանմուշային սպառում (Q</w:t>
      </w:r>
      <w:r w:rsidRPr="00F90B4C">
        <w:rPr>
          <w:rFonts w:ascii="Sylfaen" w:hAnsi="Sylfaen"/>
          <w:b/>
          <w:sz w:val="24"/>
          <w:szCs w:val="24"/>
          <w:vertAlign w:val="subscript"/>
        </w:rPr>
        <w:t>c</w:t>
      </w:r>
      <w:r w:rsidR="00F90B4C" w:rsidRPr="00F90B4C">
        <w:rPr>
          <w:rFonts w:ascii="Sylfaen" w:hAnsi="Sylfaen"/>
          <w:b/>
          <w:sz w:val="24"/>
          <w:szCs w:val="24"/>
        </w:rPr>
        <w:t>)</w:t>
      </w:r>
      <w:r w:rsidRPr="00F90B4C">
        <w:rPr>
          <w:rFonts w:ascii="Sylfaen" w:hAnsi="Sylfaen"/>
          <w:b/>
          <w:sz w:val="24"/>
          <w:szCs w:val="24"/>
        </w:rPr>
        <w:t>՝</w:t>
      </w:r>
      <w:r w:rsidRPr="00CF39EE">
        <w:rPr>
          <w:rFonts w:ascii="Sylfaen" w:hAnsi="Sylfaen"/>
          <w:sz w:val="24"/>
          <w:szCs w:val="24"/>
        </w:rPr>
        <w:t xml:space="preserve"> հովացման ռեժիմում էներգիայի սպառում (կՎտժ/տարի-ով), որն օգտագործվում է SEER-ը հաշվարկելու համար </w:t>
      </w:r>
      <w:r>
        <w:rPr>
          <w:rFonts w:ascii="Sylfaen" w:hAnsi="Sylfaen"/>
          <w:sz w:val="24"/>
          <w:szCs w:val="24"/>
        </w:rPr>
        <w:t>եւ</w:t>
      </w:r>
      <w:r w:rsidRPr="00CF39EE">
        <w:rPr>
          <w:rFonts w:ascii="Sylfaen" w:hAnsi="Sylfaen"/>
          <w:sz w:val="24"/>
          <w:szCs w:val="24"/>
        </w:rPr>
        <w:t xml:space="preserve"> որն ստացվում է հովացման ռեժիմում նախագծային (անվանական) հզորությունը (բեռնվածքը) (P</w:t>
      </w:r>
      <w:r w:rsidRPr="00CF39EE">
        <w:rPr>
          <w:rFonts w:ascii="Sylfaen" w:hAnsi="Sylfaen"/>
          <w:sz w:val="24"/>
          <w:szCs w:val="24"/>
          <w:vertAlign w:val="subscript"/>
        </w:rPr>
        <w:t>designC</w:t>
      </w:r>
      <w:r w:rsidRPr="00CF39EE">
        <w:rPr>
          <w:rFonts w:ascii="Sylfaen" w:hAnsi="Sylfaen"/>
          <w:sz w:val="24"/>
          <w:szCs w:val="24"/>
        </w:rPr>
        <w:t>) ակտիվ ռեժիմում հովացման համարժեք ժամանակահատվածի (H</w:t>
      </w:r>
      <w:r w:rsidRPr="00CF39EE">
        <w:rPr>
          <w:rFonts w:ascii="Sylfaen" w:hAnsi="Sylfaen"/>
          <w:sz w:val="24"/>
          <w:szCs w:val="24"/>
          <w:vertAlign w:val="subscript"/>
        </w:rPr>
        <w:t>ce</w:t>
      </w:r>
      <w:r w:rsidRPr="00CF39EE">
        <w:rPr>
          <w:rFonts w:ascii="Sylfaen" w:hAnsi="Sylfaen"/>
          <w:sz w:val="24"/>
          <w:szCs w:val="24"/>
        </w:rPr>
        <w:t>) ժամերի քանակի վրա բազմապատկելու միջոցով.</w:t>
      </w:r>
    </w:p>
    <w:p w14:paraId="6B7B02F5"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չափանմ</w:t>
      </w:r>
      <w:r w:rsidR="00F90B4C" w:rsidRPr="00F90B4C">
        <w:rPr>
          <w:rFonts w:ascii="Sylfaen" w:hAnsi="Sylfaen"/>
          <w:b/>
          <w:sz w:val="24"/>
          <w:szCs w:val="24"/>
        </w:rPr>
        <w:t>ուշային հաշվարկային ջերմաստիճան</w:t>
      </w:r>
      <w:r w:rsidRPr="00F90B4C">
        <w:rPr>
          <w:rFonts w:ascii="Sylfaen" w:hAnsi="Sylfaen"/>
          <w:b/>
          <w:sz w:val="24"/>
          <w:szCs w:val="24"/>
        </w:rPr>
        <w:t>՝</w:t>
      </w:r>
      <w:r w:rsidRPr="00CF39EE">
        <w:rPr>
          <w:rFonts w:ascii="Sylfaen" w:hAnsi="Sylfaen"/>
          <w:sz w:val="24"/>
          <w:szCs w:val="24"/>
        </w:rPr>
        <w:t xml:space="preserve"> հովացման ռեժիմում (T</w:t>
      </w:r>
      <w:r w:rsidRPr="00CF39EE">
        <w:rPr>
          <w:rFonts w:ascii="Sylfaen" w:hAnsi="Sylfaen"/>
          <w:sz w:val="24"/>
          <w:szCs w:val="24"/>
          <w:vertAlign w:val="subscript"/>
        </w:rPr>
        <w:t>designC</w:t>
      </w:r>
      <w:r w:rsidRPr="00CF39EE">
        <w:rPr>
          <w:rFonts w:ascii="Sylfaen" w:hAnsi="Sylfaen"/>
          <w:sz w:val="24"/>
          <w:szCs w:val="24"/>
        </w:rPr>
        <w:t>) կամ տաքացման ռեժիմում (T</w:t>
      </w:r>
      <w:r w:rsidRPr="00CF39EE">
        <w:rPr>
          <w:rFonts w:ascii="Sylfaen" w:hAnsi="Sylfaen"/>
          <w:sz w:val="24"/>
          <w:szCs w:val="24"/>
          <w:vertAlign w:val="subscript"/>
        </w:rPr>
        <w:t>designH</w:t>
      </w:r>
      <w:r w:rsidRPr="00CF39EE">
        <w:rPr>
          <w:rFonts w:ascii="Sylfaen" w:hAnsi="Sylfaen"/>
          <w:sz w:val="24"/>
          <w:szCs w:val="24"/>
        </w:rPr>
        <w:t xml:space="preserve">) օդորակիչի աշխատանքի դեպքում արտաքին օդի ջերմաստիճան՝ °С-ով, որի դեպքում մասնակի բեռնվածքի գործակիցը հավասար է մեկի </w:t>
      </w:r>
      <w:r>
        <w:rPr>
          <w:rFonts w:ascii="Sylfaen" w:hAnsi="Sylfaen"/>
          <w:sz w:val="24"/>
          <w:szCs w:val="24"/>
        </w:rPr>
        <w:t>եւ</w:t>
      </w:r>
      <w:r w:rsidRPr="00CF39EE">
        <w:rPr>
          <w:rFonts w:ascii="Sylfaen" w:hAnsi="Sylfaen"/>
          <w:sz w:val="24"/>
          <w:szCs w:val="24"/>
        </w:rPr>
        <w:t xml:space="preserve"> որը կոնկրետ սեզոնի համար է ընտրվում՝ պայմանավորված նրանով, թե օդորակիչը աշխատում է հովացման թե տաքացման ռեժիմում.</w:t>
      </w:r>
    </w:p>
    <w:p w14:paraId="692D7207" w14:textId="77777777" w:rsidR="009338B9" w:rsidRPr="00CF39EE" w:rsidRDefault="009338B9" w:rsidP="009338B9">
      <w:pPr>
        <w:pStyle w:val="Bodytext20"/>
        <w:spacing w:after="160" w:line="360" w:lineRule="auto"/>
        <w:ind w:firstLine="567"/>
        <w:jc w:val="both"/>
        <w:rPr>
          <w:rFonts w:ascii="Sylfaen" w:hAnsi="Sylfaen"/>
          <w:sz w:val="24"/>
          <w:szCs w:val="24"/>
        </w:rPr>
      </w:pPr>
      <w:r w:rsidRPr="00F90B4C">
        <w:rPr>
          <w:rFonts w:ascii="Sylfaen" w:hAnsi="Sylfaen"/>
          <w:b/>
          <w:sz w:val="24"/>
          <w:szCs w:val="24"/>
        </w:rPr>
        <w:t>չափանմուշային հաշվարկայ</w:t>
      </w:r>
      <w:r w:rsidR="00F90B4C" w:rsidRPr="00F90B4C">
        <w:rPr>
          <w:rFonts w:ascii="Sylfaen" w:hAnsi="Sylfaen"/>
          <w:b/>
          <w:sz w:val="24"/>
          <w:szCs w:val="24"/>
        </w:rPr>
        <w:t>ին պայմաններ</w:t>
      </w:r>
      <w:r w:rsidRPr="00F90B4C">
        <w:rPr>
          <w:rFonts w:ascii="Sylfaen" w:hAnsi="Sylfaen"/>
          <w:b/>
          <w:sz w:val="24"/>
          <w:szCs w:val="24"/>
        </w:rPr>
        <w:t>՝</w:t>
      </w:r>
      <w:r w:rsidRPr="00CF39EE">
        <w:rPr>
          <w:rFonts w:ascii="Sylfaen" w:hAnsi="Sylfaen"/>
          <w:sz w:val="24"/>
          <w:szCs w:val="24"/>
        </w:rPr>
        <w:t xml:space="preserve"> չափանմուշային հաշվարկային ջերմաստիճանի, կրկնակի (ռեզերվային) տաքացման առավելագույն ջերմաստիճանի </w:t>
      </w:r>
      <w:r>
        <w:rPr>
          <w:rFonts w:ascii="Sylfaen" w:hAnsi="Sylfaen"/>
          <w:sz w:val="24"/>
          <w:szCs w:val="24"/>
        </w:rPr>
        <w:t>եւ</w:t>
      </w:r>
      <w:r w:rsidRPr="00CF39EE">
        <w:rPr>
          <w:rFonts w:ascii="Sylfaen" w:hAnsi="Sylfaen"/>
          <w:sz w:val="24"/>
          <w:szCs w:val="24"/>
        </w:rPr>
        <w:t xml:space="preserve"> աշխատանքային ջերմաստիճանի առավելագույն սահմանային արժեքի մասով պահանջների համակցություն:</w:t>
      </w:r>
    </w:p>
    <w:p w14:paraId="0F7C6EA8" w14:textId="77777777" w:rsidR="009338B9" w:rsidRPr="00CF39EE" w:rsidRDefault="009338B9" w:rsidP="009338B9">
      <w:pPr>
        <w:pStyle w:val="Bodytext20"/>
        <w:spacing w:after="160" w:line="360" w:lineRule="auto"/>
        <w:ind w:firstLine="567"/>
        <w:jc w:val="both"/>
        <w:rPr>
          <w:rFonts w:ascii="Sylfaen" w:hAnsi="Sylfaen"/>
          <w:sz w:val="24"/>
          <w:szCs w:val="24"/>
        </w:rPr>
      </w:pPr>
    </w:p>
    <w:p w14:paraId="33ADDD07" w14:textId="77777777" w:rsidR="009338B9" w:rsidRPr="00CF39EE" w:rsidRDefault="009338B9" w:rsidP="009338B9">
      <w:pPr>
        <w:pStyle w:val="Bodytext20"/>
        <w:spacing w:after="160" w:line="360" w:lineRule="auto"/>
        <w:rPr>
          <w:rFonts w:ascii="Sylfaen" w:hAnsi="Sylfaen"/>
          <w:sz w:val="24"/>
          <w:szCs w:val="24"/>
        </w:rPr>
      </w:pPr>
      <w:r w:rsidRPr="00CF39EE">
        <w:rPr>
          <w:rFonts w:ascii="Sylfaen" w:hAnsi="Sylfaen"/>
          <w:sz w:val="24"/>
          <w:szCs w:val="24"/>
        </w:rPr>
        <w:t xml:space="preserve">III. Օդորակիչների </w:t>
      </w:r>
      <w:r>
        <w:rPr>
          <w:rFonts w:ascii="Sylfaen" w:hAnsi="Sylfaen"/>
          <w:sz w:val="24"/>
          <w:szCs w:val="24"/>
        </w:rPr>
        <w:t>եւ</w:t>
      </w:r>
      <w:r w:rsidRPr="00CF39EE">
        <w:rPr>
          <w:rFonts w:ascii="Sylfaen" w:hAnsi="Sylfaen"/>
          <w:sz w:val="24"/>
          <w:szCs w:val="24"/>
        </w:rPr>
        <w:t xml:space="preserve"> օդափոխիչների էներգետիկ արդյունավետությանը ներկայացվող պահանջներն ու էներգետիկ արդյունավետության ցուցանիշների որոշման առանձնահատկությունները</w:t>
      </w:r>
    </w:p>
    <w:p w14:paraId="30051FA6" w14:textId="77777777" w:rsidR="009338B9" w:rsidRPr="00F90B4C" w:rsidRDefault="009338B9" w:rsidP="00F90B4C">
      <w:pPr>
        <w:pStyle w:val="Bodytext20"/>
        <w:tabs>
          <w:tab w:val="left" w:pos="1134"/>
        </w:tabs>
        <w:spacing w:after="160" w:line="360" w:lineRule="auto"/>
        <w:ind w:right="-8" w:firstLine="567"/>
        <w:jc w:val="both"/>
        <w:rPr>
          <w:rFonts w:ascii="Sylfaen" w:hAnsi="Sylfaen"/>
          <w:spacing w:val="-6"/>
          <w:sz w:val="24"/>
          <w:szCs w:val="24"/>
        </w:rPr>
      </w:pPr>
      <w:r w:rsidRPr="00CF39EE">
        <w:rPr>
          <w:rFonts w:ascii="Sylfaen" w:hAnsi="Sylfaen"/>
          <w:sz w:val="24"/>
          <w:szCs w:val="24"/>
        </w:rPr>
        <w:t>3.</w:t>
      </w:r>
      <w:r w:rsidR="00F90B4C" w:rsidRPr="00F90B4C">
        <w:rPr>
          <w:rFonts w:ascii="Sylfaen" w:hAnsi="Sylfaen"/>
          <w:sz w:val="24"/>
          <w:szCs w:val="24"/>
        </w:rPr>
        <w:tab/>
      </w:r>
      <w:r w:rsidRPr="00CF39EE">
        <w:rPr>
          <w:rFonts w:ascii="Sylfaen" w:hAnsi="Sylfaen"/>
          <w:sz w:val="24"/>
          <w:szCs w:val="24"/>
        </w:rPr>
        <w:t xml:space="preserve">Հովացման ռեժիմում սեզոնային էներգետիկ արդյունավետությունը (SEER), տաքացման ռեժիմում սեզոնային էներգետիկ արդյունավետությունը </w:t>
      </w:r>
      <w:r w:rsidRPr="00CF39EE">
        <w:rPr>
          <w:rFonts w:ascii="Sylfaen" w:hAnsi="Sylfaen"/>
          <w:sz w:val="24"/>
          <w:szCs w:val="24"/>
        </w:rPr>
        <w:lastRenderedPageBreak/>
        <w:t>(SCOP), հովացման ռեժիմում անվանական էներգետիկ արդյունավետությունը (EER</w:t>
      </w:r>
      <w:r w:rsidRPr="00CF39EE">
        <w:rPr>
          <w:rFonts w:ascii="Sylfaen" w:hAnsi="Sylfaen"/>
          <w:sz w:val="24"/>
          <w:szCs w:val="24"/>
          <w:vertAlign w:val="subscript"/>
        </w:rPr>
        <w:t>rated</w:t>
      </w:r>
      <w:r w:rsidRPr="00CF39EE">
        <w:rPr>
          <w:rFonts w:ascii="Sylfaen" w:hAnsi="Sylfaen"/>
          <w:sz w:val="24"/>
          <w:szCs w:val="24"/>
        </w:rPr>
        <w:t>), տաքացման ռեժիմում անվանական էներգետիկ արդյունավետությունը (COP</w:t>
      </w:r>
      <w:r w:rsidRPr="00CF39EE">
        <w:rPr>
          <w:rFonts w:ascii="Sylfaen" w:hAnsi="Sylfaen"/>
          <w:sz w:val="24"/>
          <w:szCs w:val="24"/>
          <w:vertAlign w:val="subscript"/>
        </w:rPr>
        <w:t>rated</w:t>
      </w:r>
      <w:r w:rsidRPr="00CF39EE">
        <w:rPr>
          <w:rFonts w:ascii="Sylfaen" w:hAnsi="Sylfaen"/>
          <w:sz w:val="24"/>
          <w:szCs w:val="24"/>
        </w:rPr>
        <w:t>), սպասման ռեժիմում սպառվող հզորությունը (</w:t>
      </w:r>
      <w:r w:rsidR="00F90B4C" w:rsidRPr="00F90B4C">
        <w:rPr>
          <w:rFonts w:ascii="Sylfaen" w:hAnsi="Sylfaen"/>
          <w:sz w:val="24"/>
          <w:szCs w:val="24"/>
        </w:rPr>
        <w:t>P</w:t>
      </w:r>
      <w:r w:rsidRPr="00CF39EE">
        <w:rPr>
          <w:rFonts w:ascii="Sylfaen" w:hAnsi="Sylfaen"/>
          <w:sz w:val="24"/>
          <w:szCs w:val="24"/>
          <w:vertAlign w:val="subscript"/>
        </w:rPr>
        <w:t>SB</w:t>
      </w:r>
      <w:r w:rsidRPr="00CF39EE">
        <w:rPr>
          <w:rFonts w:ascii="Sylfaen" w:hAnsi="Sylfaen"/>
          <w:sz w:val="24"/>
          <w:szCs w:val="24"/>
        </w:rPr>
        <w:t>), անջատման ռեժիմում սպառվող հզորությունը (P</w:t>
      </w:r>
      <w:r w:rsidRPr="00CF39EE">
        <w:rPr>
          <w:rFonts w:ascii="Sylfaen" w:hAnsi="Sylfaen"/>
          <w:sz w:val="24"/>
          <w:szCs w:val="24"/>
          <w:vertAlign w:val="subscript"/>
        </w:rPr>
        <w:t>OFF</w:t>
      </w:r>
      <w:r w:rsidRPr="00CF39EE">
        <w:rPr>
          <w:rFonts w:ascii="Sylfaen" w:hAnsi="Sylfaen"/>
          <w:sz w:val="24"/>
          <w:szCs w:val="24"/>
        </w:rPr>
        <w:t xml:space="preserve">) </w:t>
      </w:r>
      <w:r>
        <w:rPr>
          <w:rFonts w:ascii="Sylfaen" w:hAnsi="Sylfaen"/>
          <w:sz w:val="24"/>
          <w:szCs w:val="24"/>
        </w:rPr>
        <w:t>եւ</w:t>
      </w:r>
      <w:r w:rsidRPr="00CF39EE">
        <w:rPr>
          <w:rFonts w:ascii="Sylfaen" w:hAnsi="Sylfaen"/>
          <w:sz w:val="24"/>
          <w:szCs w:val="24"/>
        </w:rPr>
        <w:t xml:space="preserve"> օդորակիչների ու օդափոխիչների </w:t>
      </w:r>
      <w:r w:rsidRPr="00F90B4C">
        <w:rPr>
          <w:rFonts w:ascii="Sylfaen" w:hAnsi="Sylfaen"/>
          <w:spacing w:val="-6"/>
          <w:sz w:val="24"/>
          <w:szCs w:val="24"/>
        </w:rPr>
        <w:t>կառուցվածքային առանձնահատկությունները պետք է համապատասխանեն 1</w:t>
      </w:r>
      <w:r w:rsidR="00F90B4C" w:rsidRPr="00F90B4C">
        <w:rPr>
          <w:rFonts w:ascii="Sylfaen" w:hAnsi="Sylfaen"/>
          <w:spacing w:val="-6"/>
          <w:sz w:val="24"/>
          <w:szCs w:val="24"/>
        </w:rPr>
        <w:t>-</w:t>
      </w:r>
      <w:r w:rsidRPr="00F90B4C">
        <w:rPr>
          <w:rFonts w:ascii="Sylfaen" w:hAnsi="Sylfaen"/>
          <w:spacing w:val="-6"/>
          <w:sz w:val="24"/>
          <w:szCs w:val="24"/>
        </w:rPr>
        <w:t>3-րդ աղյուսակներում բերված պահանջներին:</w:t>
      </w:r>
    </w:p>
    <w:p w14:paraId="4F9BEF6E"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Օդորակիչների էներգետիկ արդյունավետության պարամետրերին </w:t>
      </w:r>
      <w:r w:rsidRPr="00F90B4C">
        <w:rPr>
          <w:rFonts w:ascii="Sylfaen" w:hAnsi="Sylfaen"/>
          <w:spacing w:val="-6"/>
          <w:sz w:val="24"/>
          <w:szCs w:val="24"/>
        </w:rPr>
        <w:t>ներկայացվող պահանջները, բացի մի- եւ երկուղի օդորակիչներից, սահմանվում են չափանմուշային</w:t>
      </w:r>
      <w:r w:rsidRPr="00CF39EE">
        <w:rPr>
          <w:rFonts w:ascii="Sylfaen" w:hAnsi="Sylfaen"/>
          <w:sz w:val="24"/>
          <w:szCs w:val="24"/>
        </w:rPr>
        <w:t xml:space="preserve"> հաշվարկային պայմանների համար՝ ջեռուցման միջին սեզոնի պայմանների օգտագործմամբ (անհրաժեշտության դեպքում):</w:t>
      </w:r>
    </w:p>
    <w:p w14:paraId="2C3D3DC8"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Մի- </w:t>
      </w:r>
      <w:r>
        <w:rPr>
          <w:rFonts w:ascii="Sylfaen" w:hAnsi="Sylfaen"/>
          <w:sz w:val="24"/>
          <w:szCs w:val="24"/>
        </w:rPr>
        <w:t>եւ</w:t>
      </w:r>
      <w:r w:rsidRPr="00CF39EE">
        <w:rPr>
          <w:rFonts w:ascii="Sylfaen" w:hAnsi="Sylfaen"/>
          <w:sz w:val="24"/>
          <w:szCs w:val="24"/>
        </w:rPr>
        <w:t xml:space="preserve"> երկուղի օդորակիչների էներգետիկ արդյունավետությանը ներկայացվող պահանջները սահմանվում են ստանդարտ անվանական պայմանների համար:</w:t>
      </w:r>
    </w:p>
    <w:p w14:paraId="4477EDEF" w14:textId="77777777" w:rsidR="009338B9" w:rsidRPr="00CF39EE" w:rsidRDefault="009338B9" w:rsidP="009338B9">
      <w:pPr>
        <w:pStyle w:val="Bodytext20"/>
        <w:spacing w:after="160" w:line="360" w:lineRule="auto"/>
        <w:ind w:right="-8" w:firstLine="567"/>
        <w:jc w:val="both"/>
        <w:rPr>
          <w:rFonts w:ascii="Sylfaen" w:hAnsi="Sylfaen"/>
          <w:sz w:val="24"/>
          <w:szCs w:val="24"/>
        </w:rPr>
      </w:pPr>
    </w:p>
    <w:p w14:paraId="47EFC037" w14:textId="77777777" w:rsidR="009338B9" w:rsidRPr="00CF39EE" w:rsidRDefault="009338B9" w:rsidP="009338B9">
      <w:pPr>
        <w:pStyle w:val="Tablecaption0"/>
        <w:spacing w:after="160" w:line="360" w:lineRule="auto"/>
        <w:rPr>
          <w:rFonts w:ascii="Sylfaen" w:hAnsi="Sylfaen"/>
          <w:sz w:val="24"/>
          <w:szCs w:val="24"/>
        </w:rPr>
      </w:pPr>
      <w:r w:rsidRPr="00CF39EE">
        <w:rPr>
          <w:rFonts w:ascii="Sylfaen" w:hAnsi="Sylfaen"/>
          <w:sz w:val="24"/>
          <w:szCs w:val="24"/>
        </w:rPr>
        <w:t>Աղյուսակ 1</w:t>
      </w:r>
    </w:p>
    <w:p w14:paraId="53ADE861" w14:textId="77777777" w:rsidR="009338B9" w:rsidRPr="00CF39EE" w:rsidRDefault="009338B9" w:rsidP="009338B9">
      <w:pPr>
        <w:pStyle w:val="Bodytext20"/>
        <w:spacing w:after="160" w:line="360" w:lineRule="auto"/>
        <w:ind w:right="-8"/>
        <w:rPr>
          <w:rFonts w:ascii="Sylfaen" w:hAnsi="Sylfaen"/>
          <w:sz w:val="24"/>
          <w:szCs w:val="24"/>
        </w:rPr>
      </w:pPr>
      <w:r w:rsidRPr="00CF39EE">
        <w:rPr>
          <w:rFonts w:ascii="Sylfaen" w:hAnsi="Sylfaen"/>
          <w:sz w:val="24"/>
          <w:szCs w:val="24"/>
        </w:rPr>
        <w:t>Օդորակիչների էներգետիկ արդյունավետության նվազագույն թույլատրելի մակարդակներին ներկայացվող պահանջները</w:t>
      </w:r>
    </w:p>
    <w:tbl>
      <w:tblPr>
        <w:tblOverlap w:val="never"/>
        <w:tblW w:w="9793" w:type="dxa"/>
        <w:jc w:val="center"/>
        <w:tblLayout w:type="fixed"/>
        <w:tblCellMar>
          <w:left w:w="10" w:type="dxa"/>
          <w:right w:w="10" w:type="dxa"/>
        </w:tblCellMar>
        <w:tblLook w:val="0000" w:firstRow="0" w:lastRow="0" w:firstColumn="0" w:lastColumn="0" w:noHBand="0" w:noVBand="0"/>
      </w:tblPr>
      <w:tblGrid>
        <w:gridCol w:w="932"/>
        <w:gridCol w:w="1766"/>
        <w:gridCol w:w="994"/>
        <w:gridCol w:w="1843"/>
        <w:gridCol w:w="1061"/>
        <w:gridCol w:w="1066"/>
        <w:gridCol w:w="1061"/>
        <w:gridCol w:w="1070"/>
      </w:tblGrid>
      <w:tr w:rsidR="009338B9" w:rsidRPr="00F90B4C" w14:paraId="502B9DE3" w14:textId="77777777" w:rsidTr="00F90B4C">
        <w:trPr>
          <w:jc w:val="center"/>
        </w:trPr>
        <w:tc>
          <w:tcPr>
            <w:tcW w:w="932" w:type="dxa"/>
            <w:vMerge w:val="restart"/>
            <w:tcBorders>
              <w:top w:val="single" w:sz="4" w:space="0" w:color="auto"/>
              <w:left w:val="single" w:sz="4" w:space="0" w:color="auto"/>
            </w:tcBorders>
            <w:shd w:val="clear" w:color="auto" w:fill="FFFFFF"/>
            <w:vAlign w:val="center"/>
          </w:tcPr>
          <w:p w14:paraId="51B8A861" w14:textId="77777777" w:rsidR="009338B9" w:rsidRPr="00F90B4C" w:rsidRDefault="009338B9" w:rsidP="00F90B4C">
            <w:pPr>
              <w:pStyle w:val="Bodytext20"/>
              <w:spacing w:after="120" w:line="240" w:lineRule="auto"/>
              <w:ind w:left="320"/>
              <w:rPr>
                <w:rFonts w:ascii="Sylfaen" w:hAnsi="Sylfaen"/>
                <w:sz w:val="20"/>
                <w:szCs w:val="20"/>
              </w:rPr>
            </w:pPr>
            <w:r w:rsidRPr="00F90B4C">
              <w:rPr>
                <w:rStyle w:val="Bodytext211pt"/>
                <w:rFonts w:ascii="Sylfaen" w:hAnsi="Sylfaen"/>
                <w:sz w:val="20"/>
                <w:szCs w:val="20"/>
              </w:rPr>
              <w:t>Р</w:t>
            </w:r>
            <w:r w:rsidRPr="00F90B4C">
              <w:rPr>
                <w:rStyle w:val="Bodytext211pt"/>
                <w:rFonts w:ascii="Sylfaen" w:hAnsi="Sylfaen"/>
                <w:sz w:val="20"/>
                <w:szCs w:val="20"/>
                <w:vertAlign w:val="subscript"/>
              </w:rPr>
              <w:t>rated</w:t>
            </w:r>
            <w:r w:rsidRPr="00F90B4C">
              <w:rPr>
                <w:rStyle w:val="Bodytext211pt"/>
                <w:rFonts w:ascii="Sylfaen" w:hAnsi="Sylfaen"/>
                <w:sz w:val="20"/>
                <w:szCs w:val="20"/>
              </w:rPr>
              <w:t>, կՎտ</w:t>
            </w:r>
          </w:p>
        </w:tc>
        <w:tc>
          <w:tcPr>
            <w:tcW w:w="1766" w:type="dxa"/>
            <w:vMerge w:val="restart"/>
            <w:tcBorders>
              <w:top w:val="single" w:sz="4" w:space="0" w:color="auto"/>
              <w:left w:val="single" w:sz="4" w:space="0" w:color="auto"/>
            </w:tcBorders>
            <w:shd w:val="clear" w:color="auto" w:fill="FFFFFF"/>
            <w:vAlign w:val="center"/>
          </w:tcPr>
          <w:p w14:paraId="3420749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Սառնազդակի GWP-ը</w:t>
            </w:r>
          </w:p>
        </w:tc>
        <w:tc>
          <w:tcPr>
            <w:tcW w:w="2837" w:type="dxa"/>
            <w:gridSpan w:val="2"/>
            <w:tcBorders>
              <w:top w:val="single" w:sz="4" w:space="0" w:color="auto"/>
              <w:left w:val="single" w:sz="4" w:space="0" w:color="auto"/>
            </w:tcBorders>
            <w:shd w:val="clear" w:color="auto" w:fill="FFFFFF"/>
            <w:vAlign w:val="center"/>
          </w:tcPr>
          <w:p w14:paraId="5C25BF8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օդորակիչներ, բացի մի- եւ երկուղիններից</w:t>
            </w:r>
          </w:p>
        </w:tc>
        <w:tc>
          <w:tcPr>
            <w:tcW w:w="2127" w:type="dxa"/>
            <w:gridSpan w:val="2"/>
            <w:tcBorders>
              <w:top w:val="single" w:sz="4" w:space="0" w:color="auto"/>
              <w:left w:val="single" w:sz="4" w:space="0" w:color="auto"/>
            </w:tcBorders>
            <w:shd w:val="clear" w:color="auto" w:fill="FFFFFF"/>
            <w:vAlign w:val="center"/>
          </w:tcPr>
          <w:p w14:paraId="2F30EBB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միուղի օդորակիչներ</w:t>
            </w:r>
          </w:p>
        </w:tc>
        <w:tc>
          <w:tcPr>
            <w:tcW w:w="2131" w:type="dxa"/>
            <w:gridSpan w:val="2"/>
            <w:tcBorders>
              <w:top w:val="single" w:sz="4" w:space="0" w:color="auto"/>
              <w:left w:val="single" w:sz="4" w:space="0" w:color="auto"/>
              <w:right w:val="single" w:sz="4" w:space="0" w:color="auto"/>
            </w:tcBorders>
            <w:shd w:val="clear" w:color="auto" w:fill="FFFFFF"/>
            <w:vAlign w:val="center"/>
          </w:tcPr>
          <w:p w14:paraId="02CEBCB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երկուղի օդորակիչներ</w:t>
            </w:r>
          </w:p>
        </w:tc>
      </w:tr>
      <w:tr w:rsidR="009338B9" w:rsidRPr="00F90B4C" w14:paraId="07E685B1" w14:textId="77777777" w:rsidTr="00F90B4C">
        <w:trPr>
          <w:jc w:val="center"/>
        </w:trPr>
        <w:tc>
          <w:tcPr>
            <w:tcW w:w="932" w:type="dxa"/>
            <w:vMerge/>
            <w:tcBorders>
              <w:left w:val="single" w:sz="4" w:space="0" w:color="auto"/>
            </w:tcBorders>
            <w:shd w:val="clear" w:color="auto" w:fill="FFFFFF"/>
            <w:vAlign w:val="center"/>
          </w:tcPr>
          <w:p w14:paraId="3454F7A4" w14:textId="77777777" w:rsidR="009338B9" w:rsidRPr="00F90B4C" w:rsidRDefault="009338B9" w:rsidP="00F90B4C">
            <w:pPr>
              <w:spacing w:after="120"/>
              <w:jc w:val="center"/>
              <w:rPr>
                <w:rFonts w:ascii="Sylfaen" w:hAnsi="Sylfaen"/>
                <w:sz w:val="20"/>
                <w:szCs w:val="20"/>
              </w:rPr>
            </w:pPr>
          </w:p>
        </w:tc>
        <w:tc>
          <w:tcPr>
            <w:tcW w:w="1766" w:type="dxa"/>
            <w:vMerge/>
            <w:tcBorders>
              <w:left w:val="single" w:sz="4" w:space="0" w:color="auto"/>
            </w:tcBorders>
            <w:shd w:val="clear" w:color="auto" w:fill="FFFFFF"/>
            <w:vAlign w:val="center"/>
          </w:tcPr>
          <w:p w14:paraId="3AAD27D2" w14:textId="77777777" w:rsidR="009338B9" w:rsidRPr="00F90B4C" w:rsidRDefault="009338B9" w:rsidP="00F90B4C">
            <w:pPr>
              <w:spacing w:after="120"/>
              <w:jc w:val="center"/>
              <w:rPr>
                <w:rFonts w:ascii="Sylfaen" w:hAnsi="Sylfaen"/>
                <w:sz w:val="20"/>
                <w:szCs w:val="20"/>
              </w:rPr>
            </w:pPr>
          </w:p>
        </w:tc>
        <w:tc>
          <w:tcPr>
            <w:tcW w:w="994" w:type="dxa"/>
            <w:tcBorders>
              <w:top w:val="single" w:sz="4" w:space="0" w:color="auto"/>
              <w:left w:val="single" w:sz="4" w:space="0" w:color="auto"/>
            </w:tcBorders>
            <w:shd w:val="clear" w:color="auto" w:fill="FFFFFF"/>
            <w:vAlign w:val="center"/>
          </w:tcPr>
          <w:p w14:paraId="1FDD6394"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SEER</w:t>
            </w:r>
          </w:p>
        </w:tc>
        <w:tc>
          <w:tcPr>
            <w:tcW w:w="1843" w:type="dxa"/>
            <w:tcBorders>
              <w:top w:val="single" w:sz="4" w:space="0" w:color="auto"/>
              <w:left w:val="single" w:sz="4" w:space="0" w:color="auto"/>
            </w:tcBorders>
            <w:shd w:val="clear" w:color="auto" w:fill="FFFFFF"/>
            <w:vAlign w:val="center"/>
          </w:tcPr>
          <w:p w14:paraId="0B41F8C4"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SCOP-ը միջին ջեռուցման սեզոնի համար</w:t>
            </w:r>
          </w:p>
        </w:tc>
        <w:tc>
          <w:tcPr>
            <w:tcW w:w="1061" w:type="dxa"/>
            <w:tcBorders>
              <w:top w:val="single" w:sz="4" w:space="0" w:color="auto"/>
              <w:left w:val="single" w:sz="4" w:space="0" w:color="auto"/>
            </w:tcBorders>
            <w:shd w:val="clear" w:color="auto" w:fill="FFFFFF"/>
            <w:vAlign w:val="center"/>
          </w:tcPr>
          <w:p w14:paraId="7CF11C11"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EER</w:t>
            </w:r>
            <w:r w:rsidRPr="00F90B4C">
              <w:rPr>
                <w:rStyle w:val="Bodytext211pt"/>
                <w:rFonts w:ascii="Sylfaen" w:hAnsi="Sylfaen"/>
                <w:sz w:val="20"/>
                <w:szCs w:val="20"/>
                <w:vertAlign w:val="subscript"/>
              </w:rPr>
              <w:t>rated</w:t>
            </w:r>
          </w:p>
        </w:tc>
        <w:tc>
          <w:tcPr>
            <w:tcW w:w="1066" w:type="dxa"/>
            <w:tcBorders>
              <w:top w:val="single" w:sz="4" w:space="0" w:color="auto"/>
              <w:left w:val="single" w:sz="4" w:space="0" w:color="auto"/>
            </w:tcBorders>
            <w:shd w:val="clear" w:color="auto" w:fill="FFFFFF"/>
            <w:vAlign w:val="center"/>
          </w:tcPr>
          <w:p w14:paraId="48CEA01A"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COP</w:t>
            </w:r>
            <w:r w:rsidRPr="00F90B4C">
              <w:rPr>
                <w:rStyle w:val="Bodytext211pt"/>
                <w:rFonts w:ascii="Sylfaen" w:hAnsi="Sylfaen"/>
                <w:sz w:val="20"/>
                <w:szCs w:val="20"/>
                <w:vertAlign w:val="subscript"/>
              </w:rPr>
              <w:t>rated</w:t>
            </w:r>
          </w:p>
        </w:tc>
        <w:tc>
          <w:tcPr>
            <w:tcW w:w="1061" w:type="dxa"/>
            <w:tcBorders>
              <w:top w:val="single" w:sz="4" w:space="0" w:color="auto"/>
              <w:left w:val="single" w:sz="4" w:space="0" w:color="auto"/>
            </w:tcBorders>
            <w:shd w:val="clear" w:color="auto" w:fill="FFFFFF"/>
            <w:vAlign w:val="center"/>
          </w:tcPr>
          <w:p w14:paraId="39E0DCE3"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EER</w:t>
            </w:r>
            <w:r w:rsidRPr="00F90B4C">
              <w:rPr>
                <w:rStyle w:val="Bodytext211pt"/>
                <w:rFonts w:ascii="Sylfaen" w:hAnsi="Sylfaen"/>
                <w:sz w:val="20"/>
                <w:szCs w:val="20"/>
                <w:vertAlign w:val="subscript"/>
              </w:rPr>
              <w:t>rated</w:t>
            </w:r>
          </w:p>
        </w:tc>
        <w:tc>
          <w:tcPr>
            <w:tcW w:w="1070" w:type="dxa"/>
            <w:tcBorders>
              <w:top w:val="single" w:sz="4" w:space="0" w:color="auto"/>
              <w:left w:val="single" w:sz="4" w:space="0" w:color="auto"/>
              <w:right w:val="single" w:sz="4" w:space="0" w:color="auto"/>
            </w:tcBorders>
            <w:shd w:val="clear" w:color="auto" w:fill="FFFFFF"/>
            <w:vAlign w:val="center"/>
          </w:tcPr>
          <w:p w14:paraId="0286C955"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COP</w:t>
            </w:r>
            <w:r w:rsidRPr="00F90B4C">
              <w:rPr>
                <w:rStyle w:val="Bodytext211pt"/>
                <w:rFonts w:ascii="Sylfaen" w:hAnsi="Sylfaen"/>
                <w:sz w:val="20"/>
                <w:szCs w:val="20"/>
                <w:vertAlign w:val="subscript"/>
              </w:rPr>
              <w:t>rated</w:t>
            </w:r>
          </w:p>
        </w:tc>
      </w:tr>
      <w:tr w:rsidR="009338B9" w:rsidRPr="00F90B4C" w14:paraId="7719E96E" w14:textId="77777777" w:rsidTr="00F90B4C">
        <w:trPr>
          <w:jc w:val="center"/>
        </w:trPr>
        <w:tc>
          <w:tcPr>
            <w:tcW w:w="932" w:type="dxa"/>
            <w:vMerge w:val="restart"/>
            <w:tcBorders>
              <w:top w:val="single" w:sz="4" w:space="0" w:color="auto"/>
              <w:left w:val="single" w:sz="4" w:space="0" w:color="auto"/>
            </w:tcBorders>
            <w:shd w:val="clear" w:color="auto" w:fill="FFFFFF"/>
            <w:vAlign w:val="center"/>
          </w:tcPr>
          <w:p w14:paraId="31A3998A" w14:textId="77777777" w:rsidR="009338B9" w:rsidRPr="00F90B4C" w:rsidRDefault="009338B9" w:rsidP="00F90B4C">
            <w:pPr>
              <w:pStyle w:val="Bodytext20"/>
              <w:spacing w:after="120" w:line="240" w:lineRule="auto"/>
              <w:ind w:left="19"/>
              <w:rPr>
                <w:rFonts w:ascii="Sylfaen" w:hAnsi="Sylfaen"/>
                <w:sz w:val="20"/>
                <w:szCs w:val="20"/>
              </w:rPr>
            </w:pPr>
            <w:r w:rsidRPr="00F90B4C">
              <w:rPr>
                <w:rStyle w:val="Bodytext211pt"/>
                <w:rFonts w:ascii="Sylfaen" w:hAnsi="Sylfaen"/>
                <w:sz w:val="20"/>
                <w:szCs w:val="20"/>
              </w:rPr>
              <w:t>6-ից պակաս</w:t>
            </w:r>
          </w:p>
        </w:tc>
        <w:tc>
          <w:tcPr>
            <w:tcW w:w="1766" w:type="dxa"/>
            <w:tcBorders>
              <w:top w:val="single" w:sz="4" w:space="0" w:color="auto"/>
              <w:left w:val="single" w:sz="4" w:space="0" w:color="auto"/>
            </w:tcBorders>
            <w:shd w:val="clear" w:color="auto" w:fill="FFFFFF"/>
            <w:vAlign w:val="center"/>
          </w:tcPr>
          <w:p w14:paraId="6C46237B" w14:textId="77777777" w:rsidR="009338B9" w:rsidRPr="00F90B4C" w:rsidRDefault="009338B9" w:rsidP="00F90B4C">
            <w:pPr>
              <w:pStyle w:val="Bodytext20"/>
              <w:spacing w:after="120" w:line="240" w:lineRule="auto"/>
              <w:ind w:left="-3"/>
              <w:rPr>
                <w:rFonts w:ascii="Sylfaen" w:hAnsi="Sylfaen"/>
                <w:sz w:val="20"/>
                <w:szCs w:val="20"/>
              </w:rPr>
            </w:pPr>
            <w:r w:rsidRPr="00F90B4C">
              <w:rPr>
                <w:rStyle w:val="Bodytext211pt"/>
                <w:rFonts w:ascii="Sylfaen" w:hAnsi="Sylfaen"/>
                <w:sz w:val="20"/>
                <w:szCs w:val="20"/>
              </w:rPr>
              <w:t>150-ից ավելի</w:t>
            </w:r>
          </w:p>
        </w:tc>
        <w:tc>
          <w:tcPr>
            <w:tcW w:w="994" w:type="dxa"/>
            <w:tcBorders>
              <w:top w:val="single" w:sz="4" w:space="0" w:color="auto"/>
              <w:left w:val="single" w:sz="4" w:space="0" w:color="auto"/>
            </w:tcBorders>
            <w:shd w:val="clear" w:color="auto" w:fill="FFFFFF"/>
            <w:vAlign w:val="center"/>
          </w:tcPr>
          <w:p w14:paraId="59CC06E7"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4,60</w:t>
            </w:r>
          </w:p>
        </w:tc>
        <w:tc>
          <w:tcPr>
            <w:tcW w:w="1843" w:type="dxa"/>
            <w:tcBorders>
              <w:top w:val="single" w:sz="4" w:space="0" w:color="auto"/>
              <w:left w:val="single" w:sz="4" w:space="0" w:color="auto"/>
            </w:tcBorders>
            <w:shd w:val="clear" w:color="auto" w:fill="FFFFFF"/>
            <w:vAlign w:val="center"/>
          </w:tcPr>
          <w:p w14:paraId="0331ACA8"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3,80</w:t>
            </w:r>
          </w:p>
        </w:tc>
        <w:tc>
          <w:tcPr>
            <w:tcW w:w="1061" w:type="dxa"/>
            <w:tcBorders>
              <w:top w:val="single" w:sz="4" w:space="0" w:color="auto"/>
              <w:left w:val="single" w:sz="4" w:space="0" w:color="auto"/>
            </w:tcBorders>
            <w:shd w:val="clear" w:color="auto" w:fill="FFFFFF"/>
            <w:vAlign w:val="center"/>
          </w:tcPr>
          <w:p w14:paraId="23B94941"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2,60</w:t>
            </w:r>
          </w:p>
        </w:tc>
        <w:tc>
          <w:tcPr>
            <w:tcW w:w="1066" w:type="dxa"/>
            <w:tcBorders>
              <w:top w:val="single" w:sz="4" w:space="0" w:color="auto"/>
              <w:left w:val="single" w:sz="4" w:space="0" w:color="auto"/>
            </w:tcBorders>
            <w:shd w:val="clear" w:color="auto" w:fill="FFFFFF"/>
            <w:vAlign w:val="center"/>
          </w:tcPr>
          <w:p w14:paraId="163BFA24"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2,04</w:t>
            </w:r>
          </w:p>
        </w:tc>
        <w:tc>
          <w:tcPr>
            <w:tcW w:w="1061" w:type="dxa"/>
            <w:tcBorders>
              <w:top w:val="single" w:sz="4" w:space="0" w:color="auto"/>
              <w:left w:val="single" w:sz="4" w:space="0" w:color="auto"/>
            </w:tcBorders>
            <w:shd w:val="clear" w:color="auto" w:fill="FFFFFF"/>
            <w:vAlign w:val="center"/>
          </w:tcPr>
          <w:p w14:paraId="15F7F20D"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2,60</w:t>
            </w:r>
          </w:p>
        </w:tc>
        <w:tc>
          <w:tcPr>
            <w:tcW w:w="1070" w:type="dxa"/>
            <w:tcBorders>
              <w:top w:val="single" w:sz="4" w:space="0" w:color="auto"/>
              <w:left w:val="single" w:sz="4" w:space="0" w:color="auto"/>
              <w:right w:val="single" w:sz="4" w:space="0" w:color="auto"/>
            </w:tcBorders>
            <w:shd w:val="clear" w:color="auto" w:fill="FFFFFF"/>
            <w:vAlign w:val="center"/>
          </w:tcPr>
          <w:p w14:paraId="640D8E53"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2,60</w:t>
            </w:r>
          </w:p>
        </w:tc>
      </w:tr>
      <w:tr w:rsidR="009338B9" w:rsidRPr="00F90B4C" w14:paraId="739E917D" w14:textId="77777777" w:rsidTr="00F90B4C">
        <w:trPr>
          <w:jc w:val="center"/>
        </w:trPr>
        <w:tc>
          <w:tcPr>
            <w:tcW w:w="932" w:type="dxa"/>
            <w:vMerge/>
            <w:tcBorders>
              <w:left w:val="single" w:sz="4" w:space="0" w:color="auto"/>
            </w:tcBorders>
            <w:shd w:val="clear" w:color="auto" w:fill="FFFFFF"/>
            <w:vAlign w:val="center"/>
          </w:tcPr>
          <w:p w14:paraId="381D14A7" w14:textId="77777777" w:rsidR="009338B9" w:rsidRPr="00F90B4C" w:rsidRDefault="009338B9" w:rsidP="00F90B4C">
            <w:pPr>
              <w:spacing w:after="120"/>
              <w:ind w:left="19"/>
              <w:jc w:val="center"/>
              <w:rPr>
                <w:rFonts w:ascii="Sylfaen" w:hAnsi="Sylfaen"/>
                <w:sz w:val="20"/>
                <w:szCs w:val="20"/>
              </w:rPr>
            </w:pPr>
          </w:p>
        </w:tc>
        <w:tc>
          <w:tcPr>
            <w:tcW w:w="1766" w:type="dxa"/>
            <w:tcBorders>
              <w:top w:val="single" w:sz="4" w:space="0" w:color="auto"/>
              <w:left w:val="single" w:sz="4" w:space="0" w:color="auto"/>
            </w:tcBorders>
            <w:shd w:val="clear" w:color="auto" w:fill="FFFFFF"/>
            <w:vAlign w:val="center"/>
          </w:tcPr>
          <w:p w14:paraId="4EAE0F87" w14:textId="77777777" w:rsidR="009338B9" w:rsidRPr="00F90B4C" w:rsidRDefault="009338B9" w:rsidP="00F90B4C">
            <w:pPr>
              <w:pStyle w:val="Bodytext20"/>
              <w:spacing w:after="120" w:line="240" w:lineRule="auto"/>
              <w:ind w:left="-3"/>
              <w:rPr>
                <w:rFonts w:ascii="Sylfaen" w:hAnsi="Sylfaen"/>
                <w:sz w:val="20"/>
                <w:szCs w:val="20"/>
              </w:rPr>
            </w:pPr>
            <w:r w:rsidRPr="00F90B4C">
              <w:rPr>
                <w:rStyle w:val="Bodytext211pt"/>
                <w:rFonts w:ascii="Sylfaen" w:hAnsi="Sylfaen"/>
                <w:sz w:val="20"/>
                <w:szCs w:val="20"/>
              </w:rPr>
              <w:t>150-ից ոչ ավելի</w:t>
            </w:r>
          </w:p>
        </w:tc>
        <w:tc>
          <w:tcPr>
            <w:tcW w:w="994" w:type="dxa"/>
            <w:tcBorders>
              <w:top w:val="single" w:sz="4" w:space="0" w:color="auto"/>
              <w:left w:val="single" w:sz="4" w:space="0" w:color="auto"/>
            </w:tcBorders>
            <w:shd w:val="clear" w:color="auto" w:fill="FFFFFF"/>
            <w:vAlign w:val="center"/>
          </w:tcPr>
          <w:p w14:paraId="0696851D"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4,14</w:t>
            </w:r>
          </w:p>
        </w:tc>
        <w:tc>
          <w:tcPr>
            <w:tcW w:w="1843" w:type="dxa"/>
            <w:tcBorders>
              <w:top w:val="single" w:sz="4" w:space="0" w:color="auto"/>
              <w:left w:val="single" w:sz="4" w:space="0" w:color="auto"/>
            </w:tcBorders>
            <w:shd w:val="clear" w:color="auto" w:fill="FFFFFF"/>
            <w:vAlign w:val="center"/>
          </w:tcPr>
          <w:p w14:paraId="577D5F8F"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3,42</w:t>
            </w:r>
          </w:p>
        </w:tc>
        <w:tc>
          <w:tcPr>
            <w:tcW w:w="1061" w:type="dxa"/>
            <w:tcBorders>
              <w:top w:val="single" w:sz="4" w:space="0" w:color="auto"/>
              <w:left w:val="single" w:sz="4" w:space="0" w:color="auto"/>
            </w:tcBorders>
            <w:shd w:val="clear" w:color="auto" w:fill="FFFFFF"/>
            <w:vAlign w:val="center"/>
          </w:tcPr>
          <w:p w14:paraId="7FC7C95C"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2,34</w:t>
            </w:r>
          </w:p>
        </w:tc>
        <w:tc>
          <w:tcPr>
            <w:tcW w:w="1066" w:type="dxa"/>
            <w:tcBorders>
              <w:top w:val="single" w:sz="4" w:space="0" w:color="auto"/>
              <w:left w:val="single" w:sz="4" w:space="0" w:color="auto"/>
            </w:tcBorders>
            <w:shd w:val="clear" w:color="auto" w:fill="FFFFFF"/>
            <w:vAlign w:val="center"/>
          </w:tcPr>
          <w:p w14:paraId="2E84DB83"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1,84</w:t>
            </w:r>
          </w:p>
        </w:tc>
        <w:tc>
          <w:tcPr>
            <w:tcW w:w="1061" w:type="dxa"/>
            <w:tcBorders>
              <w:top w:val="single" w:sz="4" w:space="0" w:color="auto"/>
              <w:left w:val="single" w:sz="4" w:space="0" w:color="auto"/>
            </w:tcBorders>
            <w:shd w:val="clear" w:color="auto" w:fill="FFFFFF"/>
            <w:vAlign w:val="center"/>
          </w:tcPr>
          <w:p w14:paraId="39E60BA1"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2,34</w:t>
            </w:r>
          </w:p>
        </w:tc>
        <w:tc>
          <w:tcPr>
            <w:tcW w:w="1070" w:type="dxa"/>
            <w:tcBorders>
              <w:top w:val="single" w:sz="4" w:space="0" w:color="auto"/>
              <w:left w:val="single" w:sz="4" w:space="0" w:color="auto"/>
              <w:right w:val="single" w:sz="4" w:space="0" w:color="auto"/>
            </w:tcBorders>
            <w:shd w:val="clear" w:color="auto" w:fill="FFFFFF"/>
            <w:vAlign w:val="center"/>
          </w:tcPr>
          <w:p w14:paraId="4958ED90"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2,34</w:t>
            </w:r>
          </w:p>
        </w:tc>
      </w:tr>
      <w:tr w:rsidR="009338B9" w:rsidRPr="00F90B4C" w14:paraId="2D9EF6DA" w14:textId="77777777" w:rsidTr="00F90B4C">
        <w:trPr>
          <w:jc w:val="center"/>
        </w:trPr>
        <w:tc>
          <w:tcPr>
            <w:tcW w:w="932" w:type="dxa"/>
            <w:vMerge w:val="restart"/>
            <w:tcBorders>
              <w:top w:val="single" w:sz="4" w:space="0" w:color="auto"/>
              <w:left w:val="single" w:sz="4" w:space="0" w:color="auto"/>
            </w:tcBorders>
            <w:shd w:val="clear" w:color="auto" w:fill="FFFFFF"/>
            <w:vAlign w:val="center"/>
          </w:tcPr>
          <w:p w14:paraId="254062FF" w14:textId="77777777" w:rsidR="009338B9" w:rsidRPr="00F90B4C" w:rsidRDefault="009338B9" w:rsidP="00F90B4C">
            <w:pPr>
              <w:pStyle w:val="Bodytext20"/>
              <w:spacing w:after="120" w:line="240" w:lineRule="auto"/>
              <w:ind w:left="19"/>
              <w:rPr>
                <w:rFonts w:ascii="Sylfaen" w:hAnsi="Sylfaen"/>
                <w:sz w:val="20"/>
                <w:szCs w:val="20"/>
              </w:rPr>
            </w:pPr>
            <w:r w:rsidRPr="00F90B4C">
              <w:rPr>
                <w:rStyle w:val="Bodytext211pt"/>
                <w:rFonts w:ascii="Sylfaen" w:hAnsi="Sylfaen"/>
                <w:sz w:val="20"/>
                <w:szCs w:val="20"/>
              </w:rPr>
              <w:t>6 ÷ 12</w:t>
            </w:r>
          </w:p>
        </w:tc>
        <w:tc>
          <w:tcPr>
            <w:tcW w:w="1766" w:type="dxa"/>
            <w:tcBorders>
              <w:top w:val="single" w:sz="4" w:space="0" w:color="auto"/>
              <w:left w:val="single" w:sz="4" w:space="0" w:color="auto"/>
            </w:tcBorders>
            <w:shd w:val="clear" w:color="auto" w:fill="FFFFFF"/>
            <w:vAlign w:val="center"/>
          </w:tcPr>
          <w:p w14:paraId="32228A68" w14:textId="77777777" w:rsidR="009338B9" w:rsidRPr="00F90B4C" w:rsidRDefault="009338B9" w:rsidP="00F90B4C">
            <w:pPr>
              <w:pStyle w:val="Bodytext20"/>
              <w:spacing w:after="120" w:line="240" w:lineRule="auto"/>
              <w:ind w:left="-3"/>
              <w:rPr>
                <w:rFonts w:ascii="Sylfaen" w:hAnsi="Sylfaen"/>
                <w:sz w:val="20"/>
                <w:szCs w:val="20"/>
              </w:rPr>
            </w:pPr>
            <w:r w:rsidRPr="00F90B4C">
              <w:rPr>
                <w:rStyle w:val="Bodytext211pt"/>
                <w:rFonts w:ascii="Sylfaen" w:hAnsi="Sylfaen"/>
                <w:sz w:val="20"/>
                <w:szCs w:val="20"/>
              </w:rPr>
              <w:t>150-ից ավելի</w:t>
            </w:r>
          </w:p>
        </w:tc>
        <w:tc>
          <w:tcPr>
            <w:tcW w:w="994" w:type="dxa"/>
            <w:tcBorders>
              <w:top w:val="single" w:sz="4" w:space="0" w:color="auto"/>
              <w:left w:val="single" w:sz="4" w:space="0" w:color="auto"/>
            </w:tcBorders>
            <w:shd w:val="clear" w:color="auto" w:fill="FFFFFF"/>
            <w:vAlign w:val="center"/>
          </w:tcPr>
          <w:p w14:paraId="72249357"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4,30</w:t>
            </w:r>
          </w:p>
        </w:tc>
        <w:tc>
          <w:tcPr>
            <w:tcW w:w="1843" w:type="dxa"/>
            <w:tcBorders>
              <w:top w:val="single" w:sz="4" w:space="0" w:color="auto"/>
              <w:left w:val="single" w:sz="4" w:space="0" w:color="auto"/>
            </w:tcBorders>
            <w:shd w:val="clear" w:color="auto" w:fill="FFFFFF"/>
            <w:vAlign w:val="center"/>
          </w:tcPr>
          <w:p w14:paraId="00356F77"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3,80</w:t>
            </w:r>
          </w:p>
        </w:tc>
        <w:tc>
          <w:tcPr>
            <w:tcW w:w="1061" w:type="dxa"/>
            <w:tcBorders>
              <w:top w:val="single" w:sz="4" w:space="0" w:color="auto"/>
              <w:left w:val="single" w:sz="4" w:space="0" w:color="auto"/>
            </w:tcBorders>
            <w:shd w:val="clear" w:color="auto" w:fill="FFFFFF"/>
            <w:vAlign w:val="center"/>
          </w:tcPr>
          <w:p w14:paraId="1D01C947"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2,60</w:t>
            </w:r>
          </w:p>
        </w:tc>
        <w:tc>
          <w:tcPr>
            <w:tcW w:w="1066" w:type="dxa"/>
            <w:tcBorders>
              <w:top w:val="single" w:sz="4" w:space="0" w:color="auto"/>
              <w:left w:val="single" w:sz="4" w:space="0" w:color="auto"/>
            </w:tcBorders>
            <w:shd w:val="clear" w:color="auto" w:fill="FFFFFF"/>
            <w:vAlign w:val="center"/>
          </w:tcPr>
          <w:p w14:paraId="6893603D"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2,04</w:t>
            </w:r>
          </w:p>
        </w:tc>
        <w:tc>
          <w:tcPr>
            <w:tcW w:w="1061" w:type="dxa"/>
            <w:tcBorders>
              <w:top w:val="single" w:sz="4" w:space="0" w:color="auto"/>
              <w:left w:val="single" w:sz="4" w:space="0" w:color="auto"/>
            </w:tcBorders>
            <w:shd w:val="clear" w:color="auto" w:fill="FFFFFF"/>
            <w:vAlign w:val="center"/>
          </w:tcPr>
          <w:p w14:paraId="78DFFC44"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2,60</w:t>
            </w:r>
          </w:p>
        </w:tc>
        <w:tc>
          <w:tcPr>
            <w:tcW w:w="1070" w:type="dxa"/>
            <w:tcBorders>
              <w:top w:val="single" w:sz="4" w:space="0" w:color="auto"/>
              <w:left w:val="single" w:sz="4" w:space="0" w:color="auto"/>
              <w:right w:val="single" w:sz="4" w:space="0" w:color="auto"/>
            </w:tcBorders>
            <w:shd w:val="clear" w:color="auto" w:fill="FFFFFF"/>
            <w:vAlign w:val="center"/>
          </w:tcPr>
          <w:p w14:paraId="43DDC36D"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2,60</w:t>
            </w:r>
          </w:p>
        </w:tc>
      </w:tr>
      <w:tr w:rsidR="009338B9" w:rsidRPr="00F90B4C" w14:paraId="4F6F36A0" w14:textId="77777777" w:rsidTr="00F90B4C">
        <w:trPr>
          <w:jc w:val="center"/>
        </w:trPr>
        <w:tc>
          <w:tcPr>
            <w:tcW w:w="932" w:type="dxa"/>
            <w:vMerge/>
            <w:tcBorders>
              <w:left w:val="single" w:sz="4" w:space="0" w:color="auto"/>
              <w:bottom w:val="single" w:sz="4" w:space="0" w:color="auto"/>
            </w:tcBorders>
            <w:shd w:val="clear" w:color="auto" w:fill="FFFFFF"/>
            <w:vAlign w:val="center"/>
          </w:tcPr>
          <w:p w14:paraId="4670E342" w14:textId="77777777" w:rsidR="009338B9" w:rsidRPr="00F90B4C" w:rsidRDefault="009338B9" w:rsidP="00F90B4C">
            <w:pPr>
              <w:spacing w:after="120"/>
              <w:jc w:val="center"/>
              <w:rPr>
                <w:rFonts w:ascii="Sylfaen" w:hAnsi="Sylfaen"/>
                <w:sz w:val="20"/>
                <w:szCs w:val="20"/>
              </w:rPr>
            </w:pPr>
          </w:p>
        </w:tc>
        <w:tc>
          <w:tcPr>
            <w:tcW w:w="1766" w:type="dxa"/>
            <w:tcBorders>
              <w:top w:val="single" w:sz="4" w:space="0" w:color="auto"/>
              <w:left w:val="single" w:sz="4" w:space="0" w:color="auto"/>
              <w:bottom w:val="single" w:sz="4" w:space="0" w:color="auto"/>
            </w:tcBorders>
            <w:shd w:val="clear" w:color="auto" w:fill="FFFFFF"/>
            <w:vAlign w:val="center"/>
          </w:tcPr>
          <w:p w14:paraId="73CB418D" w14:textId="77777777" w:rsidR="009338B9" w:rsidRPr="00F90B4C" w:rsidRDefault="009338B9" w:rsidP="00F90B4C">
            <w:pPr>
              <w:pStyle w:val="Bodytext20"/>
              <w:spacing w:after="120" w:line="240" w:lineRule="auto"/>
              <w:ind w:left="-3"/>
              <w:rPr>
                <w:rFonts w:ascii="Sylfaen" w:hAnsi="Sylfaen"/>
                <w:sz w:val="20"/>
                <w:szCs w:val="20"/>
              </w:rPr>
            </w:pPr>
            <w:r w:rsidRPr="00F90B4C">
              <w:rPr>
                <w:rStyle w:val="Bodytext211pt"/>
                <w:rFonts w:ascii="Sylfaen" w:hAnsi="Sylfaen"/>
                <w:sz w:val="20"/>
                <w:szCs w:val="20"/>
              </w:rPr>
              <w:t>150-ից ոչ ավելի</w:t>
            </w:r>
          </w:p>
        </w:tc>
        <w:tc>
          <w:tcPr>
            <w:tcW w:w="994" w:type="dxa"/>
            <w:tcBorders>
              <w:top w:val="single" w:sz="4" w:space="0" w:color="auto"/>
              <w:left w:val="single" w:sz="4" w:space="0" w:color="auto"/>
              <w:bottom w:val="single" w:sz="4" w:space="0" w:color="auto"/>
            </w:tcBorders>
            <w:shd w:val="clear" w:color="auto" w:fill="FFFFFF"/>
            <w:vAlign w:val="center"/>
          </w:tcPr>
          <w:p w14:paraId="579EB19C"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3,87</w:t>
            </w:r>
          </w:p>
        </w:tc>
        <w:tc>
          <w:tcPr>
            <w:tcW w:w="1843" w:type="dxa"/>
            <w:tcBorders>
              <w:top w:val="single" w:sz="4" w:space="0" w:color="auto"/>
              <w:left w:val="single" w:sz="4" w:space="0" w:color="auto"/>
              <w:bottom w:val="single" w:sz="4" w:space="0" w:color="auto"/>
            </w:tcBorders>
            <w:shd w:val="clear" w:color="auto" w:fill="FFFFFF"/>
            <w:vAlign w:val="center"/>
          </w:tcPr>
          <w:p w14:paraId="7E10A361"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3,42</w:t>
            </w:r>
          </w:p>
        </w:tc>
        <w:tc>
          <w:tcPr>
            <w:tcW w:w="1061" w:type="dxa"/>
            <w:tcBorders>
              <w:top w:val="single" w:sz="4" w:space="0" w:color="auto"/>
              <w:left w:val="single" w:sz="4" w:space="0" w:color="auto"/>
              <w:bottom w:val="single" w:sz="4" w:space="0" w:color="auto"/>
            </w:tcBorders>
            <w:shd w:val="clear" w:color="auto" w:fill="FFFFFF"/>
            <w:vAlign w:val="center"/>
          </w:tcPr>
          <w:p w14:paraId="5F58CE27"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2,34</w:t>
            </w:r>
          </w:p>
        </w:tc>
        <w:tc>
          <w:tcPr>
            <w:tcW w:w="1066" w:type="dxa"/>
            <w:tcBorders>
              <w:top w:val="single" w:sz="4" w:space="0" w:color="auto"/>
              <w:left w:val="single" w:sz="4" w:space="0" w:color="auto"/>
              <w:bottom w:val="single" w:sz="4" w:space="0" w:color="auto"/>
            </w:tcBorders>
            <w:shd w:val="clear" w:color="auto" w:fill="FFFFFF"/>
            <w:vAlign w:val="center"/>
          </w:tcPr>
          <w:p w14:paraId="6CE98934"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1,84</w:t>
            </w:r>
          </w:p>
        </w:tc>
        <w:tc>
          <w:tcPr>
            <w:tcW w:w="1061" w:type="dxa"/>
            <w:tcBorders>
              <w:top w:val="single" w:sz="4" w:space="0" w:color="auto"/>
              <w:left w:val="single" w:sz="4" w:space="0" w:color="auto"/>
              <w:bottom w:val="single" w:sz="4" w:space="0" w:color="auto"/>
            </w:tcBorders>
            <w:shd w:val="clear" w:color="auto" w:fill="FFFFFF"/>
            <w:vAlign w:val="center"/>
          </w:tcPr>
          <w:p w14:paraId="56418454"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2,34</w:t>
            </w:r>
          </w:p>
        </w:tc>
        <w:tc>
          <w:tcPr>
            <w:tcW w:w="1070" w:type="dxa"/>
            <w:tcBorders>
              <w:top w:val="single" w:sz="4" w:space="0" w:color="auto"/>
              <w:left w:val="single" w:sz="4" w:space="0" w:color="auto"/>
              <w:bottom w:val="single" w:sz="4" w:space="0" w:color="auto"/>
              <w:right w:val="single" w:sz="4" w:space="0" w:color="auto"/>
            </w:tcBorders>
            <w:shd w:val="clear" w:color="auto" w:fill="FFFFFF"/>
            <w:vAlign w:val="center"/>
          </w:tcPr>
          <w:p w14:paraId="2A7E6ED9" w14:textId="77777777" w:rsidR="009338B9" w:rsidRPr="00F90B4C" w:rsidRDefault="009338B9" w:rsidP="00F90B4C">
            <w:pPr>
              <w:pStyle w:val="Bodytext20"/>
              <w:spacing w:after="120" w:line="240" w:lineRule="auto"/>
              <w:ind w:left="67"/>
              <w:rPr>
                <w:rFonts w:ascii="Sylfaen" w:hAnsi="Sylfaen"/>
                <w:sz w:val="20"/>
                <w:szCs w:val="20"/>
              </w:rPr>
            </w:pPr>
            <w:r w:rsidRPr="00F90B4C">
              <w:rPr>
                <w:rStyle w:val="Bodytext211pt"/>
                <w:rFonts w:ascii="Sylfaen" w:hAnsi="Sylfaen"/>
                <w:sz w:val="20"/>
                <w:szCs w:val="20"/>
              </w:rPr>
              <w:t>2,34</w:t>
            </w:r>
          </w:p>
        </w:tc>
      </w:tr>
    </w:tbl>
    <w:p w14:paraId="788F7003" w14:textId="77777777" w:rsidR="009338B9" w:rsidRPr="00CF39EE" w:rsidRDefault="009338B9" w:rsidP="009338B9">
      <w:pPr>
        <w:spacing w:after="160" w:line="360" w:lineRule="auto"/>
        <w:rPr>
          <w:rFonts w:ascii="Sylfaen" w:hAnsi="Sylfaen"/>
        </w:rPr>
      </w:pPr>
    </w:p>
    <w:p w14:paraId="31C925C4" w14:textId="77777777" w:rsidR="00F90B4C" w:rsidRDefault="00F90B4C">
      <w:pPr>
        <w:rPr>
          <w:rFonts w:ascii="Sylfaen" w:eastAsia="Times New Roman" w:hAnsi="Sylfaen" w:cs="Times New Roman"/>
          <w:color w:val="auto"/>
        </w:rPr>
      </w:pPr>
      <w:r>
        <w:rPr>
          <w:rFonts w:ascii="Sylfaen" w:hAnsi="Sylfaen"/>
        </w:rPr>
        <w:br w:type="page"/>
      </w:r>
    </w:p>
    <w:p w14:paraId="0CBAA1A7" w14:textId="77777777" w:rsidR="009338B9" w:rsidRPr="00CF39EE" w:rsidRDefault="009338B9" w:rsidP="009338B9">
      <w:pPr>
        <w:pStyle w:val="Bodytext20"/>
        <w:spacing w:after="160" w:line="360" w:lineRule="auto"/>
        <w:ind w:right="-8"/>
        <w:jc w:val="right"/>
        <w:rPr>
          <w:rFonts w:ascii="Sylfaen" w:hAnsi="Sylfaen"/>
          <w:sz w:val="24"/>
          <w:szCs w:val="24"/>
        </w:rPr>
      </w:pPr>
      <w:r w:rsidRPr="00CF39EE">
        <w:rPr>
          <w:rFonts w:ascii="Sylfaen" w:hAnsi="Sylfaen"/>
          <w:sz w:val="24"/>
          <w:szCs w:val="24"/>
        </w:rPr>
        <w:lastRenderedPageBreak/>
        <w:t>Աղյուսակ 2</w:t>
      </w:r>
    </w:p>
    <w:p w14:paraId="6ED84826" w14:textId="77777777" w:rsidR="009338B9" w:rsidRPr="00CF39EE" w:rsidRDefault="009338B9" w:rsidP="00F90B4C">
      <w:pPr>
        <w:pStyle w:val="Bodytext20"/>
        <w:spacing w:after="160" w:line="360" w:lineRule="auto"/>
        <w:ind w:left="567" w:right="559"/>
        <w:rPr>
          <w:rFonts w:ascii="Sylfaen" w:hAnsi="Sylfaen"/>
          <w:sz w:val="24"/>
          <w:szCs w:val="24"/>
        </w:rPr>
      </w:pPr>
      <w:r w:rsidRPr="00CF39EE">
        <w:rPr>
          <w:rFonts w:ascii="Sylfaen" w:hAnsi="Sylfaen"/>
          <w:sz w:val="24"/>
          <w:szCs w:val="24"/>
        </w:rPr>
        <w:t>Օդորակիչի ձայնային հզորության առավելագույն թույլատրելի մակարդակին ներկայացվող պահանջները</w:t>
      </w:r>
    </w:p>
    <w:tbl>
      <w:tblPr>
        <w:tblOverlap w:val="never"/>
        <w:tblW w:w="9754" w:type="dxa"/>
        <w:jc w:val="center"/>
        <w:tblLayout w:type="fixed"/>
        <w:tblCellMar>
          <w:left w:w="10" w:type="dxa"/>
          <w:right w:w="10" w:type="dxa"/>
        </w:tblCellMar>
        <w:tblLook w:val="0000" w:firstRow="0" w:lastRow="0" w:firstColumn="0" w:lastColumn="0" w:noHBand="0" w:noVBand="0"/>
      </w:tblPr>
      <w:tblGrid>
        <w:gridCol w:w="2438"/>
        <w:gridCol w:w="2434"/>
        <w:gridCol w:w="2434"/>
        <w:gridCol w:w="2448"/>
      </w:tblGrid>
      <w:tr w:rsidR="009338B9" w:rsidRPr="00F90B4C" w14:paraId="24590F2F" w14:textId="77777777" w:rsidTr="009338B9">
        <w:trPr>
          <w:jc w:val="center"/>
        </w:trPr>
        <w:tc>
          <w:tcPr>
            <w:tcW w:w="9754" w:type="dxa"/>
            <w:gridSpan w:val="4"/>
            <w:tcBorders>
              <w:top w:val="single" w:sz="4" w:space="0" w:color="auto"/>
              <w:left w:val="single" w:sz="4" w:space="0" w:color="auto"/>
              <w:right w:val="single" w:sz="4" w:space="0" w:color="auto"/>
            </w:tcBorders>
            <w:shd w:val="clear" w:color="auto" w:fill="FFFFFF"/>
          </w:tcPr>
          <w:p w14:paraId="7A54DAC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Ձայնային հզորության առավելագույն թույլատրելի մակարդակը, դԲ (Ա)</w:t>
            </w:r>
          </w:p>
        </w:tc>
      </w:tr>
      <w:tr w:rsidR="009338B9" w:rsidRPr="00F90B4C" w14:paraId="486C3C1D" w14:textId="77777777" w:rsidTr="009338B9">
        <w:trPr>
          <w:jc w:val="center"/>
        </w:trPr>
        <w:tc>
          <w:tcPr>
            <w:tcW w:w="4872" w:type="dxa"/>
            <w:gridSpan w:val="2"/>
            <w:tcBorders>
              <w:top w:val="single" w:sz="4" w:space="0" w:color="auto"/>
              <w:left w:val="single" w:sz="4" w:space="0" w:color="auto"/>
            </w:tcBorders>
            <w:shd w:val="clear" w:color="auto" w:fill="FFFFFF"/>
          </w:tcPr>
          <w:p w14:paraId="07A8354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Prated ≤ 6 կՎտ</w:t>
            </w:r>
          </w:p>
        </w:tc>
        <w:tc>
          <w:tcPr>
            <w:tcW w:w="4882" w:type="dxa"/>
            <w:gridSpan w:val="2"/>
            <w:tcBorders>
              <w:top w:val="single" w:sz="4" w:space="0" w:color="auto"/>
              <w:left w:val="single" w:sz="4" w:space="0" w:color="auto"/>
              <w:right w:val="single" w:sz="4" w:space="0" w:color="auto"/>
            </w:tcBorders>
            <w:shd w:val="clear" w:color="auto" w:fill="FFFFFF"/>
          </w:tcPr>
          <w:p w14:paraId="5B11796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 կՎտ &lt; P</w:t>
            </w:r>
            <w:r w:rsidRPr="00F90B4C">
              <w:rPr>
                <w:rStyle w:val="Bodytext211pt"/>
                <w:rFonts w:ascii="Sylfaen" w:hAnsi="Sylfaen"/>
                <w:sz w:val="20"/>
                <w:szCs w:val="20"/>
                <w:vertAlign w:val="subscript"/>
              </w:rPr>
              <w:t>rated</w:t>
            </w:r>
            <w:r w:rsidRPr="00F90B4C">
              <w:rPr>
                <w:rStyle w:val="Bodytext211pt"/>
                <w:rFonts w:ascii="Sylfaen" w:hAnsi="Sylfaen"/>
                <w:sz w:val="20"/>
                <w:szCs w:val="20"/>
              </w:rPr>
              <w:t xml:space="preserve"> </w:t>
            </w:r>
            <w:r w:rsidRPr="00F90B4C">
              <w:rPr>
                <w:rFonts w:ascii="Sylfaen" w:hAnsi="Sylfaen"/>
                <w:sz w:val="20"/>
                <w:szCs w:val="20"/>
              </w:rPr>
              <w:t>≤</w:t>
            </w:r>
            <w:r w:rsidRPr="00F90B4C">
              <w:rPr>
                <w:rStyle w:val="Bodytext211pt"/>
                <w:rFonts w:ascii="Sylfaen" w:hAnsi="Sylfaen"/>
                <w:sz w:val="20"/>
                <w:szCs w:val="20"/>
              </w:rPr>
              <w:t xml:space="preserve"> 12 կՎտ</w:t>
            </w:r>
          </w:p>
        </w:tc>
      </w:tr>
      <w:tr w:rsidR="009338B9" w:rsidRPr="00F90B4C" w14:paraId="54DCF104" w14:textId="77777777" w:rsidTr="00F90B4C">
        <w:trPr>
          <w:trHeight w:val="882"/>
          <w:jc w:val="center"/>
        </w:trPr>
        <w:tc>
          <w:tcPr>
            <w:tcW w:w="2438" w:type="dxa"/>
            <w:tcBorders>
              <w:top w:val="single" w:sz="4" w:space="0" w:color="auto"/>
              <w:left w:val="single" w:sz="4" w:space="0" w:color="auto"/>
            </w:tcBorders>
            <w:shd w:val="clear" w:color="auto" w:fill="FFFFFF"/>
            <w:vAlign w:val="center"/>
          </w:tcPr>
          <w:p w14:paraId="7B4B057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տարածքի ներսում</w:t>
            </w:r>
          </w:p>
        </w:tc>
        <w:tc>
          <w:tcPr>
            <w:tcW w:w="2434" w:type="dxa"/>
            <w:tcBorders>
              <w:top w:val="single" w:sz="4" w:space="0" w:color="auto"/>
              <w:left w:val="single" w:sz="4" w:space="0" w:color="auto"/>
            </w:tcBorders>
            <w:shd w:val="clear" w:color="auto" w:fill="FFFFFF"/>
            <w:vAlign w:val="center"/>
          </w:tcPr>
          <w:p w14:paraId="081E8E4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տարածքից դուրս</w:t>
            </w:r>
          </w:p>
        </w:tc>
        <w:tc>
          <w:tcPr>
            <w:tcW w:w="2434" w:type="dxa"/>
            <w:tcBorders>
              <w:top w:val="single" w:sz="4" w:space="0" w:color="auto"/>
              <w:left w:val="single" w:sz="4" w:space="0" w:color="auto"/>
            </w:tcBorders>
            <w:shd w:val="clear" w:color="auto" w:fill="FFFFFF"/>
            <w:vAlign w:val="center"/>
          </w:tcPr>
          <w:p w14:paraId="174471F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տարածքի ներսում</w:t>
            </w:r>
          </w:p>
        </w:tc>
        <w:tc>
          <w:tcPr>
            <w:tcW w:w="2448" w:type="dxa"/>
            <w:tcBorders>
              <w:top w:val="single" w:sz="4" w:space="0" w:color="auto"/>
              <w:left w:val="single" w:sz="4" w:space="0" w:color="auto"/>
              <w:right w:val="single" w:sz="4" w:space="0" w:color="auto"/>
            </w:tcBorders>
            <w:shd w:val="clear" w:color="auto" w:fill="FFFFFF"/>
            <w:vAlign w:val="center"/>
          </w:tcPr>
          <w:p w14:paraId="37D3D69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տարածքից դուրս</w:t>
            </w:r>
          </w:p>
        </w:tc>
      </w:tr>
      <w:tr w:rsidR="009338B9" w:rsidRPr="00F90B4C" w14:paraId="18862547" w14:textId="77777777" w:rsidTr="009338B9">
        <w:trPr>
          <w:jc w:val="center"/>
        </w:trPr>
        <w:tc>
          <w:tcPr>
            <w:tcW w:w="2438" w:type="dxa"/>
            <w:tcBorders>
              <w:top w:val="single" w:sz="4" w:space="0" w:color="auto"/>
              <w:left w:val="single" w:sz="4" w:space="0" w:color="auto"/>
              <w:bottom w:val="single" w:sz="4" w:space="0" w:color="auto"/>
            </w:tcBorders>
            <w:shd w:val="clear" w:color="auto" w:fill="FFFFFF"/>
          </w:tcPr>
          <w:p w14:paraId="3B17183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60</w:t>
            </w:r>
          </w:p>
        </w:tc>
        <w:tc>
          <w:tcPr>
            <w:tcW w:w="2434" w:type="dxa"/>
            <w:tcBorders>
              <w:top w:val="single" w:sz="4" w:space="0" w:color="auto"/>
              <w:left w:val="single" w:sz="4" w:space="0" w:color="auto"/>
              <w:bottom w:val="single" w:sz="4" w:space="0" w:color="auto"/>
            </w:tcBorders>
            <w:shd w:val="clear" w:color="auto" w:fill="FFFFFF"/>
          </w:tcPr>
          <w:p w14:paraId="000805A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65</w:t>
            </w:r>
          </w:p>
        </w:tc>
        <w:tc>
          <w:tcPr>
            <w:tcW w:w="2434" w:type="dxa"/>
            <w:tcBorders>
              <w:top w:val="single" w:sz="4" w:space="0" w:color="auto"/>
              <w:left w:val="single" w:sz="4" w:space="0" w:color="auto"/>
              <w:bottom w:val="single" w:sz="4" w:space="0" w:color="auto"/>
            </w:tcBorders>
            <w:shd w:val="clear" w:color="auto" w:fill="FFFFFF"/>
          </w:tcPr>
          <w:p w14:paraId="4ECE19E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65</w:t>
            </w:r>
          </w:p>
        </w:tc>
        <w:tc>
          <w:tcPr>
            <w:tcW w:w="2448" w:type="dxa"/>
            <w:tcBorders>
              <w:top w:val="single" w:sz="4" w:space="0" w:color="auto"/>
              <w:left w:val="single" w:sz="4" w:space="0" w:color="auto"/>
              <w:bottom w:val="single" w:sz="4" w:space="0" w:color="auto"/>
              <w:right w:val="single" w:sz="4" w:space="0" w:color="auto"/>
            </w:tcBorders>
            <w:shd w:val="clear" w:color="auto" w:fill="FFFFFF"/>
          </w:tcPr>
          <w:p w14:paraId="53C3C5B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70</w:t>
            </w:r>
          </w:p>
        </w:tc>
      </w:tr>
    </w:tbl>
    <w:p w14:paraId="6D50D60E" w14:textId="77777777" w:rsidR="009338B9" w:rsidRPr="00CF39EE" w:rsidRDefault="009338B9" w:rsidP="009338B9">
      <w:pPr>
        <w:pStyle w:val="Tablecaption0"/>
        <w:spacing w:after="160" w:line="360" w:lineRule="auto"/>
        <w:rPr>
          <w:rFonts w:ascii="Sylfaen" w:hAnsi="Sylfaen"/>
          <w:sz w:val="24"/>
          <w:szCs w:val="24"/>
        </w:rPr>
      </w:pPr>
    </w:p>
    <w:p w14:paraId="5130B8F1" w14:textId="77777777" w:rsidR="009338B9" w:rsidRPr="00CF39EE" w:rsidRDefault="009338B9" w:rsidP="009338B9">
      <w:pPr>
        <w:pStyle w:val="Tablecaption0"/>
        <w:spacing w:after="160" w:line="360" w:lineRule="auto"/>
        <w:rPr>
          <w:rFonts w:ascii="Sylfaen" w:hAnsi="Sylfaen"/>
          <w:sz w:val="24"/>
          <w:szCs w:val="24"/>
        </w:rPr>
      </w:pPr>
      <w:r w:rsidRPr="00CF39EE">
        <w:rPr>
          <w:rFonts w:ascii="Sylfaen" w:hAnsi="Sylfaen"/>
          <w:sz w:val="24"/>
          <w:szCs w:val="24"/>
        </w:rPr>
        <w:t>Աղյուսակ 3</w:t>
      </w:r>
    </w:p>
    <w:p w14:paraId="5533D815" w14:textId="77777777" w:rsidR="009338B9" w:rsidRPr="00CF39EE" w:rsidRDefault="009338B9" w:rsidP="009338B9">
      <w:pPr>
        <w:pStyle w:val="Bodytext20"/>
        <w:spacing w:after="160" w:line="360" w:lineRule="auto"/>
        <w:ind w:left="284" w:right="275"/>
        <w:rPr>
          <w:rFonts w:ascii="Sylfaen" w:hAnsi="Sylfaen"/>
          <w:sz w:val="24"/>
          <w:szCs w:val="24"/>
        </w:rPr>
      </w:pPr>
      <w:r w:rsidRPr="00CF39EE">
        <w:rPr>
          <w:rFonts w:ascii="Sylfaen" w:hAnsi="Sylfaen"/>
          <w:sz w:val="24"/>
          <w:szCs w:val="24"/>
        </w:rPr>
        <w:t xml:space="preserve">Մի- </w:t>
      </w:r>
      <w:r>
        <w:rPr>
          <w:rFonts w:ascii="Sylfaen" w:hAnsi="Sylfaen"/>
          <w:sz w:val="24"/>
          <w:szCs w:val="24"/>
        </w:rPr>
        <w:t>եւ</w:t>
      </w:r>
      <w:r w:rsidRPr="00CF39EE">
        <w:rPr>
          <w:rFonts w:ascii="Sylfaen" w:hAnsi="Sylfaen"/>
          <w:sz w:val="24"/>
          <w:szCs w:val="24"/>
        </w:rPr>
        <w:t xml:space="preserve"> երկուղի օդորակիչների ու օդափոխիչների համար անջատման </w:t>
      </w:r>
      <w:r>
        <w:rPr>
          <w:rFonts w:ascii="Sylfaen" w:hAnsi="Sylfaen"/>
          <w:sz w:val="24"/>
          <w:szCs w:val="24"/>
        </w:rPr>
        <w:t>եւ</w:t>
      </w:r>
      <w:r w:rsidRPr="00CF39EE">
        <w:rPr>
          <w:rFonts w:ascii="Sylfaen" w:hAnsi="Sylfaen"/>
          <w:sz w:val="24"/>
          <w:szCs w:val="24"/>
        </w:rPr>
        <w:t xml:space="preserve"> սպասման ռեժիմներում սպառվող հզորությանը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30"/>
        <w:gridCol w:w="7733"/>
      </w:tblGrid>
      <w:tr w:rsidR="009338B9" w:rsidRPr="00F90B4C" w14:paraId="1836C014" w14:textId="77777777" w:rsidTr="00F90B4C">
        <w:trPr>
          <w:tblHeader/>
          <w:jc w:val="center"/>
        </w:trPr>
        <w:tc>
          <w:tcPr>
            <w:tcW w:w="2030" w:type="dxa"/>
            <w:tcBorders>
              <w:top w:val="single" w:sz="4" w:space="0" w:color="auto"/>
              <w:left w:val="single" w:sz="4" w:space="0" w:color="auto"/>
              <w:bottom w:val="single" w:sz="4" w:space="0" w:color="auto"/>
              <w:right w:val="single" w:sz="4" w:space="0" w:color="auto"/>
            </w:tcBorders>
            <w:shd w:val="clear" w:color="auto" w:fill="FFFFFF"/>
            <w:vAlign w:val="center"/>
          </w:tcPr>
          <w:p w14:paraId="40F5720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Ռեժիմներ</w:t>
            </w:r>
          </w:p>
        </w:tc>
        <w:tc>
          <w:tcPr>
            <w:tcW w:w="7733" w:type="dxa"/>
            <w:tcBorders>
              <w:top w:val="single" w:sz="4" w:space="0" w:color="auto"/>
              <w:left w:val="single" w:sz="4" w:space="0" w:color="auto"/>
              <w:bottom w:val="single" w:sz="4" w:space="0" w:color="auto"/>
              <w:right w:val="single" w:sz="4" w:space="0" w:color="auto"/>
            </w:tcBorders>
            <w:shd w:val="clear" w:color="auto" w:fill="FFFFFF"/>
            <w:vAlign w:val="center"/>
          </w:tcPr>
          <w:p w14:paraId="232331B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Պահանջներ</w:t>
            </w:r>
          </w:p>
        </w:tc>
      </w:tr>
      <w:tr w:rsidR="009338B9" w:rsidRPr="00F90B4C" w14:paraId="4ABE9AEE" w14:textId="77777777" w:rsidTr="00F90B4C">
        <w:trPr>
          <w:jc w:val="center"/>
        </w:trPr>
        <w:tc>
          <w:tcPr>
            <w:tcW w:w="2030" w:type="dxa"/>
            <w:tcBorders>
              <w:top w:val="single" w:sz="4" w:space="0" w:color="auto"/>
              <w:left w:val="single" w:sz="4" w:space="0" w:color="auto"/>
            </w:tcBorders>
            <w:shd w:val="clear" w:color="auto" w:fill="FFFFFF"/>
            <w:vAlign w:val="center"/>
          </w:tcPr>
          <w:p w14:paraId="07737225"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Անջատման ռեժիմ</w:t>
            </w:r>
          </w:p>
        </w:tc>
        <w:tc>
          <w:tcPr>
            <w:tcW w:w="7733" w:type="dxa"/>
            <w:tcBorders>
              <w:top w:val="single" w:sz="4" w:space="0" w:color="auto"/>
              <w:left w:val="single" w:sz="4" w:space="0" w:color="auto"/>
              <w:right w:val="single" w:sz="4" w:space="0" w:color="auto"/>
            </w:tcBorders>
            <w:shd w:val="clear" w:color="auto" w:fill="FFFFFF"/>
            <w:vAlign w:val="center"/>
          </w:tcPr>
          <w:p w14:paraId="72EEB5BA"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անջատման ռեժիմում սպառվող հզորությունը չպետք է գերազանցի 0,50 Վտ-ը:</w:t>
            </w:r>
          </w:p>
        </w:tc>
      </w:tr>
      <w:tr w:rsidR="009338B9" w:rsidRPr="00F90B4C" w14:paraId="71B9098A" w14:textId="77777777" w:rsidTr="00F90B4C">
        <w:trPr>
          <w:jc w:val="center"/>
        </w:trPr>
        <w:tc>
          <w:tcPr>
            <w:tcW w:w="2030" w:type="dxa"/>
            <w:vMerge w:val="restart"/>
            <w:tcBorders>
              <w:top w:val="single" w:sz="4" w:space="0" w:color="auto"/>
              <w:left w:val="single" w:sz="4" w:space="0" w:color="auto"/>
            </w:tcBorders>
            <w:shd w:val="clear" w:color="auto" w:fill="FFFFFF"/>
            <w:vAlign w:val="center"/>
          </w:tcPr>
          <w:p w14:paraId="0D4A67C4"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Սպասման ռեժիմ</w:t>
            </w:r>
          </w:p>
        </w:tc>
        <w:tc>
          <w:tcPr>
            <w:tcW w:w="7733" w:type="dxa"/>
            <w:tcBorders>
              <w:top w:val="single" w:sz="4" w:space="0" w:color="auto"/>
              <w:left w:val="single" w:sz="4" w:space="0" w:color="auto"/>
              <w:right w:val="single" w:sz="4" w:space="0" w:color="auto"/>
            </w:tcBorders>
            <w:shd w:val="clear" w:color="auto" w:fill="FFFFFF"/>
            <w:vAlign w:val="center"/>
          </w:tcPr>
          <w:p w14:paraId="7A7B92BB"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սպառվող հզորություն մի վիճակում, երբ ապահովվում է վերաակտիվացման ունակության (պատրաստության) ցուցանշմամբ կամ առանց ցուցանշման միայն վերաակտիվացման ֆունկցիայի կատարումը, չպետք է գերազանցի 0,50 Վտ-ը</w:t>
            </w:r>
          </w:p>
        </w:tc>
      </w:tr>
      <w:tr w:rsidR="009338B9" w:rsidRPr="00F90B4C" w14:paraId="604C9C33" w14:textId="77777777" w:rsidTr="00F90B4C">
        <w:trPr>
          <w:jc w:val="center"/>
        </w:trPr>
        <w:tc>
          <w:tcPr>
            <w:tcW w:w="2030" w:type="dxa"/>
            <w:vMerge/>
            <w:tcBorders>
              <w:left w:val="single" w:sz="4" w:space="0" w:color="auto"/>
            </w:tcBorders>
            <w:shd w:val="clear" w:color="auto" w:fill="FFFFFF"/>
            <w:vAlign w:val="center"/>
          </w:tcPr>
          <w:p w14:paraId="62AFEBD7" w14:textId="77777777" w:rsidR="009338B9" w:rsidRPr="00F90B4C" w:rsidRDefault="009338B9" w:rsidP="00F90B4C">
            <w:pPr>
              <w:spacing w:after="120"/>
              <w:ind w:left="74" w:right="110"/>
              <w:rPr>
                <w:rFonts w:ascii="Sylfaen" w:hAnsi="Sylfaen"/>
                <w:sz w:val="20"/>
                <w:szCs w:val="20"/>
              </w:rPr>
            </w:pPr>
          </w:p>
        </w:tc>
        <w:tc>
          <w:tcPr>
            <w:tcW w:w="7733" w:type="dxa"/>
            <w:tcBorders>
              <w:top w:val="single" w:sz="4" w:space="0" w:color="auto"/>
              <w:left w:val="single" w:sz="4" w:space="0" w:color="auto"/>
              <w:right w:val="single" w:sz="4" w:space="0" w:color="auto"/>
            </w:tcBorders>
            <w:shd w:val="clear" w:color="auto" w:fill="FFFFFF"/>
            <w:vAlign w:val="center"/>
          </w:tcPr>
          <w:p w14:paraId="11F788ED"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սպառվող հզորություն մի վիճակում, երբ ապահովվում է միայն տեղեկացման կամ վիճակի արտապատկերման ֆունկցիայի կամ տեղեկացման կամ վիճակի արտապատկերման ֆունկցիայի զուգակցմամբ վերաակտիվացման ֆունկցիայի կատարումը, չպետք է գերազանցի 1,00 Վտ-ը:</w:t>
            </w:r>
          </w:p>
        </w:tc>
      </w:tr>
      <w:tr w:rsidR="009338B9" w:rsidRPr="00F90B4C" w14:paraId="6A161858" w14:textId="77777777" w:rsidTr="00F90B4C">
        <w:trPr>
          <w:jc w:val="center"/>
        </w:trPr>
        <w:tc>
          <w:tcPr>
            <w:tcW w:w="2030" w:type="dxa"/>
            <w:tcBorders>
              <w:top w:val="single" w:sz="4" w:space="0" w:color="auto"/>
              <w:left w:val="single" w:sz="4" w:space="0" w:color="auto"/>
            </w:tcBorders>
            <w:shd w:val="clear" w:color="auto" w:fill="FFFFFF"/>
            <w:vAlign w:val="center"/>
          </w:tcPr>
          <w:p w14:paraId="761141E4"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Սպասման եւ (կամ) անջատման ռեժիմի առկայությունը</w:t>
            </w:r>
          </w:p>
        </w:tc>
        <w:tc>
          <w:tcPr>
            <w:tcW w:w="7733" w:type="dxa"/>
            <w:tcBorders>
              <w:top w:val="single" w:sz="4" w:space="0" w:color="auto"/>
              <w:left w:val="single" w:sz="4" w:space="0" w:color="auto"/>
              <w:right w:val="single" w:sz="4" w:space="0" w:color="auto"/>
            </w:tcBorders>
            <w:shd w:val="clear" w:color="auto" w:fill="FFFFFF"/>
            <w:vAlign w:val="center"/>
          </w:tcPr>
          <w:p w14:paraId="0F19C137"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բացառությամբ այն դեպքերի, երբ ըստ նշանակության ենթադրվող օգտագործման առանձնահատկություններով պայմանավորված դա նպատակահարմար չէ, պետք է ապահովվի ցանցին միացված սարքի՝ սպասման եւ (կամ) անջատման ռեժիմի եւ (կամ) այլ ռեժիմի անցնելու հնարավորությունը, որում սպասման եւ (կամ) անջատման ռեժիմներում սպառվող հզորության սահմանային արժեքները չեն գերազանցվում:</w:t>
            </w:r>
          </w:p>
        </w:tc>
      </w:tr>
      <w:tr w:rsidR="009338B9" w:rsidRPr="00F90B4C" w14:paraId="3DAF46BA" w14:textId="77777777" w:rsidTr="00F90B4C">
        <w:trPr>
          <w:jc w:val="center"/>
        </w:trPr>
        <w:tc>
          <w:tcPr>
            <w:tcW w:w="2030" w:type="dxa"/>
            <w:tcBorders>
              <w:top w:val="single" w:sz="4" w:space="0" w:color="auto"/>
              <w:left w:val="single" w:sz="4" w:space="0" w:color="auto"/>
            </w:tcBorders>
            <w:shd w:val="clear" w:color="auto" w:fill="FFFFFF"/>
            <w:vAlign w:val="center"/>
          </w:tcPr>
          <w:p w14:paraId="6CB0DF1A"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Էլեկտրասնուցման ռեժիմի կառավարումը</w:t>
            </w:r>
          </w:p>
        </w:tc>
        <w:tc>
          <w:tcPr>
            <w:tcW w:w="7733" w:type="dxa"/>
            <w:tcBorders>
              <w:top w:val="single" w:sz="4" w:space="0" w:color="auto"/>
              <w:left w:val="single" w:sz="4" w:space="0" w:color="auto"/>
              <w:right w:val="single" w:sz="4" w:space="0" w:color="auto"/>
            </w:tcBorders>
            <w:shd w:val="clear" w:color="auto" w:fill="FFFFFF"/>
            <w:vAlign w:val="bottom"/>
          </w:tcPr>
          <w:p w14:paraId="586BE14E" w14:textId="77777777" w:rsidR="009338B9" w:rsidRPr="00F90B4C" w:rsidRDefault="009338B9" w:rsidP="00F90B4C">
            <w:pPr>
              <w:pStyle w:val="Bodytext20"/>
              <w:spacing w:after="120" w:line="240" w:lineRule="auto"/>
              <w:ind w:left="74" w:right="110"/>
              <w:jc w:val="both"/>
              <w:rPr>
                <w:rFonts w:ascii="Sylfaen" w:hAnsi="Sylfaen"/>
                <w:sz w:val="20"/>
                <w:szCs w:val="20"/>
              </w:rPr>
            </w:pPr>
            <w:r w:rsidRPr="00F90B4C">
              <w:rPr>
                <w:rStyle w:val="Bodytext211pt"/>
                <w:rFonts w:ascii="Sylfaen" w:hAnsi="Sylfaen"/>
                <w:sz w:val="20"/>
                <w:szCs w:val="20"/>
              </w:rPr>
              <w:t>սարքը պետք է ունենա էլեկտրասնուցման ռեժիմի կառավարման ֆունկցիա, որն ըստ նշանակության ենթադրվող օգտագործման համար բավարար նվազագույն ժամանակը լրանալուն պես ցանցին միացված սարքն ավտոմատ փոխարկում է սպասման եւ (կամ) անջատման ռեժիմի կամ այլ ռեժիմի, որի դեպքում սպասման եւ անջատման ռեժիմների համար էներգասպառման մակարդակը չի գերազանցվում՝ պայմանով, որ սարքն իր հիմնական ֆունկցիաները չի կատարում եւ այլ էներգասպառող արտադրատեսակներ դրա աշխատանքից կախված չեն՝ բացառությամբ ըստ նշանակության ենթադրվող օգտագործման առանձնահատկություններով պայմանավորված՝ աննպատակահարմարության դեպքերի: Էլեկտրասնուցման ռեժիմի կառավարման ֆունկցիան պետք է ակտիվացվի մինչեւ սարքի շուկայահանումը:</w:t>
            </w:r>
          </w:p>
        </w:tc>
      </w:tr>
    </w:tbl>
    <w:p w14:paraId="08391BCD" w14:textId="77777777" w:rsidR="009338B9" w:rsidRPr="00CF39EE" w:rsidRDefault="009338B9" w:rsidP="00F90B4C">
      <w:pPr>
        <w:pStyle w:val="Bodytext20"/>
        <w:tabs>
          <w:tab w:val="left" w:pos="1134"/>
        </w:tabs>
        <w:spacing w:after="160" w:line="360" w:lineRule="auto"/>
        <w:ind w:right="-8" w:firstLine="567"/>
        <w:jc w:val="both"/>
        <w:rPr>
          <w:rFonts w:ascii="Sylfaen" w:hAnsi="Sylfaen"/>
          <w:sz w:val="24"/>
          <w:szCs w:val="24"/>
        </w:rPr>
      </w:pPr>
      <w:r w:rsidRPr="00CF39EE">
        <w:rPr>
          <w:rFonts w:ascii="Sylfaen" w:hAnsi="Sylfaen"/>
          <w:sz w:val="24"/>
          <w:szCs w:val="24"/>
        </w:rPr>
        <w:lastRenderedPageBreak/>
        <w:t>4.</w:t>
      </w:r>
      <w:r w:rsidR="00F90B4C" w:rsidRPr="00F90B4C">
        <w:rPr>
          <w:rFonts w:ascii="Sylfaen" w:hAnsi="Sylfaen"/>
          <w:sz w:val="24"/>
          <w:szCs w:val="24"/>
        </w:rPr>
        <w:tab/>
      </w:r>
      <w:r w:rsidRPr="00CF39EE">
        <w:rPr>
          <w:rFonts w:ascii="Sylfaen" w:hAnsi="Sylfaen"/>
          <w:sz w:val="24"/>
          <w:szCs w:val="24"/>
        </w:rPr>
        <w:t xml:space="preserve">Հովացման SEER и տաքացման SCOP ռեժիմներում օդորակիչների էներգասպառումը </w:t>
      </w:r>
      <w:r>
        <w:rPr>
          <w:rFonts w:ascii="Sylfaen" w:hAnsi="Sylfaen"/>
          <w:sz w:val="24"/>
          <w:szCs w:val="24"/>
        </w:rPr>
        <w:t>եւ</w:t>
      </w:r>
      <w:r w:rsidRPr="00CF39EE">
        <w:rPr>
          <w:rFonts w:ascii="Sylfaen" w:hAnsi="Sylfaen"/>
          <w:sz w:val="24"/>
          <w:szCs w:val="24"/>
        </w:rPr>
        <w:t xml:space="preserve"> սեզոնային էներգետիկ արդյունավետությունը որոշելիս անհրաժեշտ է հաշվի առնել՝</w:t>
      </w:r>
    </w:p>
    <w:p w14:paraId="11EC2CDD"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4-րդ աղյուսակում բերված՝ ջերմաստիճանաժամանակային միջակայքերի (բիների) հովացման սեզոնը </w:t>
      </w:r>
      <w:r>
        <w:rPr>
          <w:rFonts w:ascii="Sylfaen" w:hAnsi="Sylfaen"/>
          <w:sz w:val="24"/>
          <w:szCs w:val="24"/>
        </w:rPr>
        <w:t>եւ</w:t>
      </w:r>
      <w:r w:rsidRPr="00CF39EE">
        <w:rPr>
          <w:rFonts w:ascii="Sylfaen" w:hAnsi="Sylfaen"/>
          <w:sz w:val="24"/>
          <w:szCs w:val="24"/>
        </w:rPr>
        <w:t xml:space="preserve"> (կամ) ջեռուցման սեզոնները.</w:t>
      </w:r>
    </w:p>
    <w:p w14:paraId="2C81E644"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5-րդ աղյուսակում բերված՝ չափանմուշային հաշվարկային պայմանները.</w:t>
      </w:r>
    </w:p>
    <w:p w14:paraId="0E6B793A"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6-րդ աղյուսակում սահմանված՝ շահագործման ժամանակի համաձայն հաշվարկված՝ օդորակիչների աշխատանքի տարբեր ռեժիմների համար էներգասպառումը.</w:t>
      </w:r>
    </w:p>
    <w:p w14:paraId="4C16543A"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միացման/անջատման ցիկլերով (եթե կիրառելի է) պայմանավորված արդյունավետության կորուստը՝ կախված հովացման </w:t>
      </w:r>
      <w:r>
        <w:rPr>
          <w:rFonts w:ascii="Sylfaen" w:hAnsi="Sylfaen"/>
          <w:sz w:val="24"/>
          <w:szCs w:val="24"/>
        </w:rPr>
        <w:t>եւ</w:t>
      </w:r>
      <w:r w:rsidRPr="00CF39EE">
        <w:rPr>
          <w:rFonts w:ascii="Sylfaen" w:hAnsi="Sylfaen"/>
          <w:sz w:val="24"/>
          <w:szCs w:val="24"/>
        </w:rPr>
        <w:t xml:space="preserve"> (կամ) տաքացման ռեժիմում հզորության կարգավորման տեսակից.</w:t>
      </w:r>
    </w:p>
    <w:p w14:paraId="0FAA0AB7"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սեզոնով պայմանավորված՝ տաքացման ռեժիմում հզորության գործակիցների ճշգրտումն այն պայմաններում, որոնցում ջեռուցման անհրաժեշտ բեռնվածքն ապահովելու համար տաքացման համար հզորությունը չի բավարարում.</w:t>
      </w:r>
    </w:p>
    <w:p w14:paraId="0969D990"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տաքացման ռեժիմում օդորակիչի սեզոնային էներգաարդյունավետությունը հաշվարկելիս ռեզերվային տաքացման (եթե կիրառելի է) ներդրումը (բաժինը):</w:t>
      </w:r>
    </w:p>
    <w:p w14:paraId="3CCC1CF0" w14:textId="77777777" w:rsidR="009338B9" w:rsidRPr="00CF39EE" w:rsidRDefault="009338B9" w:rsidP="009338B9">
      <w:pPr>
        <w:pStyle w:val="Bodytext20"/>
        <w:spacing w:after="160" w:line="360" w:lineRule="auto"/>
        <w:ind w:right="-8" w:firstLine="567"/>
        <w:jc w:val="both"/>
        <w:rPr>
          <w:rFonts w:ascii="Sylfaen" w:hAnsi="Sylfaen"/>
          <w:sz w:val="24"/>
          <w:szCs w:val="24"/>
        </w:rPr>
      </w:pPr>
    </w:p>
    <w:p w14:paraId="7D7F02CB" w14:textId="77777777" w:rsidR="00F90B4C" w:rsidRDefault="00F90B4C">
      <w:pPr>
        <w:rPr>
          <w:rFonts w:ascii="Sylfaen" w:eastAsia="Times New Roman" w:hAnsi="Sylfaen" w:cs="Times New Roman"/>
          <w:color w:val="auto"/>
        </w:rPr>
      </w:pPr>
      <w:r>
        <w:rPr>
          <w:rFonts w:ascii="Sylfaen" w:hAnsi="Sylfaen"/>
        </w:rPr>
        <w:br w:type="page"/>
      </w:r>
    </w:p>
    <w:p w14:paraId="0C9B1D43" w14:textId="77777777" w:rsidR="009338B9" w:rsidRPr="00CF39EE" w:rsidRDefault="009338B9" w:rsidP="009338B9">
      <w:pPr>
        <w:pStyle w:val="Bodytext20"/>
        <w:spacing w:after="160" w:line="360" w:lineRule="auto"/>
        <w:ind w:right="-8"/>
        <w:jc w:val="right"/>
        <w:rPr>
          <w:rFonts w:ascii="Sylfaen" w:hAnsi="Sylfaen"/>
          <w:sz w:val="24"/>
          <w:szCs w:val="24"/>
        </w:rPr>
      </w:pPr>
      <w:r w:rsidRPr="00CF39EE">
        <w:rPr>
          <w:rFonts w:ascii="Sylfaen" w:hAnsi="Sylfaen"/>
          <w:sz w:val="24"/>
          <w:szCs w:val="24"/>
        </w:rPr>
        <w:lastRenderedPageBreak/>
        <w:t>Աղյուսակ 4</w:t>
      </w:r>
    </w:p>
    <w:p w14:paraId="35BE3C07" w14:textId="77777777" w:rsidR="009338B9" w:rsidRPr="00CF39EE" w:rsidRDefault="009338B9" w:rsidP="00F90B4C">
      <w:pPr>
        <w:pStyle w:val="Heading10"/>
        <w:spacing w:after="160" w:line="360" w:lineRule="auto"/>
        <w:ind w:right="-8"/>
        <w:rPr>
          <w:rFonts w:ascii="Sylfaen" w:hAnsi="Sylfaen"/>
          <w:sz w:val="24"/>
          <w:szCs w:val="24"/>
        </w:rPr>
      </w:pPr>
      <w:r w:rsidRPr="00CF39EE">
        <w:rPr>
          <w:rFonts w:ascii="Sylfaen" w:hAnsi="Sylfaen"/>
          <w:sz w:val="24"/>
          <w:szCs w:val="24"/>
        </w:rPr>
        <w:t xml:space="preserve">Ջերմաստիճանաժամանակային միջակայքերը (բիները) հովացման </w:t>
      </w:r>
      <w:r>
        <w:rPr>
          <w:rFonts w:ascii="Sylfaen" w:hAnsi="Sylfaen"/>
          <w:sz w:val="24"/>
          <w:szCs w:val="24"/>
        </w:rPr>
        <w:t>եւ</w:t>
      </w:r>
      <w:r w:rsidRPr="00CF39EE">
        <w:rPr>
          <w:rFonts w:ascii="Sylfaen" w:hAnsi="Sylfaen"/>
          <w:sz w:val="24"/>
          <w:szCs w:val="24"/>
        </w:rPr>
        <w:t xml:space="preserve"> տաքացման ռեժիմում (j՝ բինի ցուցիչը, hj՝ ժամերը մեկ տարվա ընթացքում յուրաքանչյուր բինի համար, Tj՝ արտաքին օդի ջերմաստիճանն ըստ չոր ջերմաչափի)</w:t>
      </w:r>
    </w:p>
    <w:tbl>
      <w:tblPr>
        <w:tblOverlap w:val="never"/>
        <w:tblW w:w="9752" w:type="dxa"/>
        <w:jc w:val="center"/>
        <w:tblLayout w:type="fixed"/>
        <w:tblCellMar>
          <w:left w:w="10" w:type="dxa"/>
          <w:right w:w="10" w:type="dxa"/>
        </w:tblCellMar>
        <w:tblLook w:val="0000" w:firstRow="0" w:lastRow="0" w:firstColumn="0" w:lastColumn="0" w:noHBand="0" w:noVBand="0"/>
      </w:tblPr>
      <w:tblGrid>
        <w:gridCol w:w="1219"/>
        <w:gridCol w:w="1219"/>
        <w:gridCol w:w="1219"/>
        <w:gridCol w:w="1214"/>
        <w:gridCol w:w="1219"/>
        <w:gridCol w:w="1214"/>
        <w:gridCol w:w="1219"/>
        <w:gridCol w:w="1229"/>
      </w:tblGrid>
      <w:tr w:rsidR="009338B9" w:rsidRPr="00F90B4C" w14:paraId="598DC87C" w14:textId="77777777" w:rsidTr="00F90B4C">
        <w:trPr>
          <w:tblHeader/>
          <w:jc w:val="center"/>
        </w:trPr>
        <w:tc>
          <w:tcPr>
            <w:tcW w:w="3657" w:type="dxa"/>
            <w:gridSpan w:val="3"/>
            <w:tcBorders>
              <w:top w:val="single" w:sz="4" w:space="0" w:color="auto"/>
              <w:left w:val="single" w:sz="4" w:space="0" w:color="auto"/>
            </w:tcBorders>
            <w:shd w:val="clear" w:color="auto" w:fill="FFFFFF"/>
            <w:vAlign w:val="center"/>
          </w:tcPr>
          <w:p w14:paraId="5E11A43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Հովացման սեզոն</w:t>
            </w:r>
          </w:p>
        </w:tc>
        <w:tc>
          <w:tcPr>
            <w:tcW w:w="6095" w:type="dxa"/>
            <w:gridSpan w:val="5"/>
            <w:tcBorders>
              <w:top w:val="single" w:sz="4" w:space="0" w:color="auto"/>
              <w:left w:val="single" w:sz="4" w:space="0" w:color="auto"/>
              <w:right w:val="single" w:sz="4" w:space="0" w:color="auto"/>
            </w:tcBorders>
            <w:shd w:val="clear" w:color="auto" w:fill="FFFFFF"/>
            <w:vAlign w:val="center"/>
          </w:tcPr>
          <w:p w14:paraId="65D5E3B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Ջեռուցման սեզոններ</w:t>
            </w:r>
          </w:p>
        </w:tc>
      </w:tr>
      <w:tr w:rsidR="009338B9" w:rsidRPr="00F90B4C" w14:paraId="6B1CA8D3" w14:textId="77777777" w:rsidTr="00F90B4C">
        <w:trPr>
          <w:tblHeader/>
          <w:jc w:val="center"/>
        </w:trPr>
        <w:tc>
          <w:tcPr>
            <w:tcW w:w="1219" w:type="dxa"/>
            <w:vMerge w:val="restart"/>
            <w:tcBorders>
              <w:top w:val="single" w:sz="4" w:space="0" w:color="auto"/>
              <w:left w:val="single" w:sz="4" w:space="0" w:color="auto"/>
            </w:tcBorders>
            <w:shd w:val="clear" w:color="auto" w:fill="FFFFFF"/>
            <w:vAlign w:val="center"/>
          </w:tcPr>
          <w:p w14:paraId="2F51113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բինի ցուցիչը, j</w:t>
            </w:r>
          </w:p>
        </w:tc>
        <w:tc>
          <w:tcPr>
            <w:tcW w:w="1219" w:type="dxa"/>
            <w:vMerge w:val="restart"/>
            <w:tcBorders>
              <w:top w:val="single" w:sz="4" w:space="0" w:color="auto"/>
              <w:left w:val="single" w:sz="4" w:space="0" w:color="auto"/>
            </w:tcBorders>
            <w:shd w:val="clear" w:color="auto" w:fill="FFFFFF"/>
            <w:vAlign w:val="center"/>
          </w:tcPr>
          <w:p w14:paraId="540D5DF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T</w:t>
            </w:r>
            <w:r w:rsidRPr="00F90B4C">
              <w:rPr>
                <w:rStyle w:val="Bodytext211pt"/>
                <w:rFonts w:ascii="Sylfaen" w:hAnsi="Sylfaen"/>
                <w:sz w:val="20"/>
                <w:szCs w:val="20"/>
                <w:vertAlign w:val="subscript"/>
              </w:rPr>
              <w:t>j</w:t>
            </w:r>
            <w:r w:rsidRPr="00F90B4C">
              <w:rPr>
                <w:rStyle w:val="Bodytext211pt"/>
                <w:rFonts w:ascii="Sylfaen" w:hAnsi="Sylfaen"/>
                <w:sz w:val="20"/>
                <w:szCs w:val="20"/>
              </w:rPr>
              <w:t>, °C</w:t>
            </w:r>
          </w:p>
        </w:tc>
        <w:tc>
          <w:tcPr>
            <w:tcW w:w="1219" w:type="dxa"/>
            <w:vMerge w:val="restart"/>
            <w:tcBorders>
              <w:top w:val="single" w:sz="4" w:space="0" w:color="auto"/>
              <w:left w:val="single" w:sz="4" w:space="0" w:color="auto"/>
            </w:tcBorders>
            <w:shd w:val="clear" w:color="auto" w:fill="FFFFFF"/>
            <w:vAlign w:val="center"/>
          </w:tcPr>
          <w:p w14:paraId="1FDAAC6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h</w:t>
            </w:r>
            <w:r w:rsidRPr="00F90B4C">
              <w:rPr>
                <w:rStyle w:val="Bodytext211pt"/>
                <w:rFonts w:ascii="Sylfaen" w:hAnsi="Sylfaen"/>
                <w:sz w:val="20"/>
                <w:szCs w:val="20"/>
                <w:vertAlign w:val="subscript"/>
              </w:rPr>
              <w:t>j</w:t>
            </w:r>
            <w:r w:rsidRPr="00F90B4C">
              <w:rPr>
                <w:rStyle w:val="Bodytext211pt"/>
                <w:rFonts w:ascii="Sylfaen" w:hAnsi="Sylfaen"/>
                <w:sz w:val="20"/>
                <w:szCs w:val="20"/>
              </w:rPr>
              <w:t>, ժ/տարի</w:t>
            </w:r>
          </w:p>
        </w:tc>
        <w:tc>
          <w:tcPr>
            <w:tcW w:w="1214" w:type="dxa"/>
            <w:vMerge w:val="restart"/>
            <w:tcBorders>
              <w:top w:val="single" w:sz="4" w:space="0" w:color="auto"/>
              <w:left w:val="single" w:sz="4" w:space="0" w:color="auto"/>
            </w:tcBorders>
            <w:shd w:val="clear" w:color="auto" w:fill="FFFFFF"/>
            <w:vAlign w:val="center"/>
          </w:tcPr>
          <w:p w14:paraId="231536A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բինի ցուցիչը, j</w:t>
            </w:r>
          </w:p>
        </w:tc>
        <w:tc>
          <w:tcPr>
            <w:tcW w:w="1219" w:type="dxa"/>
            <w:vMerge w:val="restart"/>
            <w:tcBorders>
              <w:top w:val="single" w:sz="4" w:space="0" w:color="auto"/>
              <w:left w:val="single" w:sz="4" w:space="0" w:color="auto"/>
            </w:tcBorders>
            <w:shd w:val="clear" w:color="auto" w:fill="FFFFFF"/>
            <w:vAlign w:val="center"/>
          </w:tcPr>
          <w:p w14:paraId="7FDD62F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T</w:t>
            </w:r>
            <w:r w:rsidRPr="00F90B4C">
              <w:rPr>
                <w:rStyle w:val="Bodytext211pt"/>
                <w:rFonts w:ascii="Sylfaen" w:hAnsi="Sylfaen"/>
                <w:sz w:val="20"/>
                <w:szCs w:val="20"/>
                <w:vertAlign w:val="subscript"/>
              </w:rPr>
              <w:t>j</w:t>
            </w:r>
            <w:r w:rsidRPr="00F90B4C">
              <w:rPr>
                <w:rStyle w:val="Bodytext211pt"/>
                <w:rFonts w:ascii="Sylfaen" w:hAnsi="Sylfaen"/>
                <w:sz w:val="20"/>
                <w:szCs w:val="20"/>
              </w:rPr>
              <w:t>, °C</w:t>
            </w:r>
          </w:p>
        </w:tc>
        <w:tc>
          <w:tcPr>
            <w:tcW w:w="3662" w:type="dxa"/>
            <w:gridSpan w:val="3"/>
            <w:tcBorders>
              <w:top w:val="single" w:sz="4" w:space="0" w:color="auto"/>
              <w:left w:val="single" w:sz="4" w:space="0" w:color="auto"/>
              <w:right w:val="single" w:sz="4" w:space="0" w:color="auto"/>
            </w:tcBorders>
            <w:shd w:val="clear" w:color="auto" w:fill="FFFFFF"/>
            <w:vAlign w:val="center"/>
          </w:tcPr>
          <w:p w14:paraId="6B2AFC4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h</w:t>
            </w:r>
            <w:r w:rsidRPr="00F90B4C">
              <w:rPr>
                <w:rStyle w:val="Bodytext211pt"/>
                <w:rFonts w:ascii="Sylfaen" w:hAnsi="Sylfaen"/>
                <w:sz w:val="20"/>
                <w:szCs w:val="20"/>
                <w:vertAlign w:val="subscript"/>
              </w:rPr>
              <w:t>j</w:t>
            </w:r>
            <w:r w:rsidRPr="00F90B4C">
              <w:rPr>
                <w:rStyle w:val="Bodytext211pt"/>
                <w:rFonts w:ascii="Sylfaen" w:hAnsi="Sylfaen"/>
                <w:sz w:val="20"/>
                <w:szCs w:val="20"/>
              </w:rPr>
              <w:t>, ժ/տարի</w:t>
            </w:r>
          </w:p>
        </w:tc>
      </w:tr>
      <w:tr w:rsidR="009338B9" w:rsidRPr="00F90B4C" w14:paraId="6287FCD7" w14:textId="77777777" w:rsidTr="00F90B4C">
        <w:trPr>
          <w:tblHeader/>
          <w:jc w:val="center"/>
        </w:trPr>
        <w:tc>
          <w:tcPr>
            <w:tcW w:w="1219" w:type="dxa"/>
            <w:vMerge/>
            <w:tcBorders>
              <w:left w:val="single" w:sz="4" w:space="0" w:color="auto"/>
            </w:tcBorders>
            <w:shd w:val="clear" w:color="auto" w:fill="FFFFFF"/>
          </w:tcPr>
          <w:p w14:paraId="458584B0" w14:textId="77777777" w:rsidR="009338B9" w:rsidRPr="00F90B4C" w:rsidRDefault="009338B9" w:rsidP="00F90B4C">
            <w:pPr>
              <w:pStyle w:val="Bodytext20"/>
              <w:spacing w:after="120" w:line="240" w:lineRule="auto"/>
              <w:ind w:left="280"/>
              <w:rPr>
                <w:rFonts w:ascii="Sylfaen" w:hAnsi="Sylfaen"/>
                <w:sz w:val="20"/>
                <w:szCs w:val="20"/>
              </w:rPr>
            </w:pPr>
          </w:p>
        </w:tc>
        <w:tc>
          <w:tcPr>
            <w:tcW w:w="1219" w:type="dxa"/>
            <w:vMerge/>
            <w:tcBorders>
              <w:left w:val="single" w:sz="4" w:space="0" w:color="auto"/>
            </w:tcBorders>
            <w:shd w:val="clear" w:color="auto" w:fill="FFFFFF"/>
            <w:vAlign w:val="center"/>
          </w:tcPr>
          <w:p w14:paraId="2E402C48" w14:textId="77777777" w:rsidR="009338B9" w:rsidRPr="00F90B4C" w:rsidRDefault="009338B9" w:rsidP="00F90B4C">
            <w:pPr>
              <w:pStyle w:val="Bodytext20"/>
              <w:spacing w:after="120" w:line="240" w:lineRule="auto"/>
              <w:rPr>
                <w:rFonts w:ascii="Sylfaen" w:hAnsi="Sylfaen"/>
                <w:sz w:val="20"/>
                <w:szCs w:val="20"/>
              </w:rPr>
            </w:pPr>
          </w:p>
        </w:tc>
        <w:tc>
          <w:tcPr>
            <w:tcW w:w="1219" w:type="dxa"/>
            <w:vMerge/>
            <w:tcBorders>
              <w:left w:val="single" w:sz="4" w:space="0" w:color="auto"/>
            </w:tcBorders>
            <w:shd w:val="clear" w:color="auto" w:fill="FFFFFF"/>
            <w:vAlign w:val="center"/>
          </w:tcPr>
          <w:p w14:paraId="6EEF7F8C" w14:textId="77777777" w:rsidR="009338B9" w:rsidRPr="00F90B4C" w:rsidRDefault="009338B9" w:rsidP="00F90B4C">
            <w:pPr>
              <w:pStyle w:val="Bodytext20"/>
              <w:spacing w:after="120" w:line="240" w:lineRule="auto"/>
              <w:rPr>
                <w:rFonts w:ascii="Sylfaen" w:hAnsi="Sylfaen"/>
                <w:sz w:val="20"/>
                <w:szCs w:val="20"/>
              </w:rPr>
            </w:pPr>
          </w:p>
        </w:tc>
        <w:tc>
          <w:tcPr>
            <w:tcW w:w="1214" w:type="dxa"/>
            <w:vMerge/>
            <w:tcBorders>
              <w:left w:val="single" w:sz="4" w:space="0" w:color="auto"/>
            </w:tcBorders>
            <w:shd w:val="clear" w:color="auto" w:fill="FFFFFF"/>
            <w:vAlign w:val="center"/>
          </w:tcPr>
          <w:p w14:paraId="74FD234E" w14:textId="77777777" w:rsidR="009338B9" w:rsidRPr="00F90B4C" w:rsidRDefault="009338B9" w:rsidP="00F90B4C">
            <w:pPr>
              <w:pStyle w:val="Bodytext20"/>
              <w:spacing w:after="120" w:line="240" w:lineRule="auto"/>
              <w:ind w:left="260"/>
              <w:rPr>
                <w:rFonts w:ascii="Sylfaen" w:hAnsi="Sylfaen"/>
                <w:sz w:val="20"/>
                <w:szCs w:val="20"/>
              </w:rPr>
            </w:pPr>
          </w:p>
        </w:tc>
        <w:tc>
          <w:tcPr>
            <w:tcW w:w="1219" w:type="dxa"/>
            <w:vMerge/>
            <w:tcBorders>
              <w:left w:val="single" w:sz="4" w:space="0" w:color="auto"/>
            </w:tcBorders>
            <w:shd w:val="clear" w:color="auto" w:fill="FFFFFF"/>
            <w:vAlign w:val="center"/>
          </w:tcPr>
          <w:p w14:paraId="2E405482" w14:textId="77777777" w:rsidR="009338B9" w:rsidRPr="00F90B4C" w:rsidRDefault="009338B9" w:rsidP="00F90B4C">
            <w:pPr>
              <w:pStyle w:val="Bodytext20"/>
              <w:spacing w:after="120" w:line="240" w:lineRule="auto"/>
              <w:rPr>
                <w:rFonts w:ascii="Sylfaen" w:hAnsi="Sylfaen"/>
                <w:sz w:val="20"/>
                <w:szCs w:val="20"/>
              </w:rPr>
            </w:pPr>
          </w:p>
        </w:tc>
        <w:tc>
          <w:tcPr>
            <w:tcW w:w="1214" w:type="dxa"/>
            <w:tcBorders>
              <w:top w:val="single" w:sz="4" w:space="0" w:color="auto"/>
              <w:left w:val="single" w:sz="4" w:space="0" w:color="auto"/>
            </w:tcBorders>
            <w:shd w:val="clear" w:color="auto" w:fill="FFFFFF"/>
            <w:vAlign w:val="center"/>
          </w:tcPr>
          <w:p w14:paraId="74F6CBBA" w14:textId="77777777" w:rsidR="009338B9" w:rsidRPr="00F90B4C" w:rsidRDefault="009338B9" w:rsidP="00F90B4C">
            <w:pPr>
              <w:pStyle w:val="Bodytext20"/>
              <w:spacing w:after="120" w:line="240" w:lineRule="auto"/>
              <w:ind w:left="200"/>
              <w:rPr>
                <w:rFonts w:ascii="Sylfaen" w:hAnsi="Sylfaen"/>
                <w:sz w:val="20"/>
                <w:szCs w:val="20"/>
              </w:rPr>
            </w:pPr>
            <w:r w:rsidRPr="00F90B4C">
              <w:rPr>
                <w:rStyle w:val="Bodytext211pt"/>
                <w:rFonts w:ascii="Sylfaen" w:hAnsi="Sylfaen"/>
                <w:sz w:val="20"/>
                <w:szCs w:val="20"/>
              </w:rPr>
              <w:t>միջին</w:t>
            </w:r>
          </w:p>
        </w:tc>
        <w:tc>
          <w:tcPr>
            <w:tcW w:w="1219" w:type="dxa"/>
            <w:tcBorders>
              <w:top w:val="single" w:sz="4" w:space="0" w:color="auto"/>
              <w:left w:val="single" w:sz="4" w:space="0" w:color="auto"/>
            </w:tcBorders>
            <w:shd w:val="clear" w:color="auto" w:fill="FFFFFF"/>
            <w:vAlign w:val="center"/>
          </w:tcPr>
          <w:p w14:paraId="3AF289D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ավելի տաք</w:t>
            </w:r>
          </w:p>
        </w:tc>
        <w:tc>
          <w:tcPr>
            <w:tcW w:w="1229" w:type="dxa"/>
            <w:tcBorders>
              <w:top w:val="single" w:sz="4" w:space="0" w:color="auto"/>
              <w:left w:val="single" w:sz="4" w:space="0" w:color="auto"/>
              <w:right w:val="single" w:sz="4" w:space="0" w:color="auto"/>
            </w:tcBorders>
            <w:shd w:val="clear" w:color="auto" w:fill="FFFFFF"/>
            <w:vAlign w:val="center"/>
          </w:tcPr>
          <w:p w14:paraId="059FE7B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ավելի ցուրտ</w:t>
            </w:r>
          </w:p>
        </w:tc>
      </w:tr>
      <w:tr w:rsidR="009338B9" w:rsidRPr="00F90B4C" w14:paraId="3900FB6F" w14:textId="77777777" w:rsidTr="009338B9">
        <w:trPr>
          <w:jc w:val="center"/>
        </w:trPr>
        <w:tc>
          <w:tcPr>
            <w:tcW w:w="1219" w:type="dxa"/>
            <w:tcBorders>
              <w:top w:val="single" w:sz="4" w:space="0" w:color="auto"/>
              <w:left w:val="single" w:sz="4" w:space="0" w:color="auto"/>
            </w:tcBorders>
            <w:shd w:val="clear" w:color="auto" w:fill="FFFFFF"/>
          </w:tcPr>
          <w:p w14:paraId="15FB9CE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w:t>
            </w:r>
          </w:p>
        </w:tc>
        <w:tc>
          <w:tcPr>
            <w:tcW w:w="1219" w:type="dxa"/>
            <w:tcBorders>
              <w:top w:val="single" w:sz="4" w:space="0" w:color="auto"/>
              <w:left w:val="single" w:sz="4" w:space="0" w:color="auto"/>
            </w:tcBorders>
            <w:shd w:val="clear" w:color="auto" w:fill="FFFFFF"/>
          </w:tcPr>
          <w:p w14:paraId="70BEE06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w:t>
            </w:r>
          </w:p>
        </w:tc>
        <w:tc>
          <w:tcPr>
            <w:tcW w:w="1219" w:type="dxa"/>
            <w:tcBorders>
              <w:top w:val="single" w:sz="4" w:space="0" w:color="auto"/>
              <w:left w:val="single" w:sz="4" w:space="0" w:color="auto"/>
            </w:tcBorders>
            <w:shd w:val="clear" w:color="auto" w:fill="FFFFFF"/>
          </w:tcPr>
          <w:p w14:paraId="65B36F6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205</w:t>
            </w:r>
          </w:p>
        </w:tc>
        <w:tc>
          <w:tcPr>
            <w:tcW w:w="1214" w:type="dxa"/>
            <w:tcBorders>
              <w:top w:val="single" w:sz="4" w:space="0" w:color="auto"/>
              <w:left w:val="single" w:sz="4" w:space="0" w:color="auto"/>
            </w:tcBorders>
            <w:shd w:val="clear" w:color="auto" w:fill="FFFFFF"/>
          </w:tcPr>
          <w:p w14:paraId="2FC5FE9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 ÷ 8</w:t>
            </w:r>
          </w:p>
        </w:tc>
        <w:tc>
          <w:tcPr>
            <w:tcW w:w="1219" w:type="dxa"/>
            <w:tcBorders>
              <w:top w:val="single" w:sz="4" w:space="0" w:color="auto"/>
              <w:left w:val="single" w:sz="4" w:space="0" w:color="auto"/>
            </w:tcBorders>
            <w:shd w:val="clear" w:color="auto" w:fill="FFFFFF"/>
          </w:tcPr>
          <w:p w14:paraId="59C3B7F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- 30 ÷ - 23</w:t>
            </w:r>
          </w:p>
        </w:tc>
        <w:tc>
          <w:tcPr>
            <w:tcW w:w="1214" w:type="dxa"/>
            <w:tcBorders>
              <w:top w:val="single" w:sz="4" w:space="0" w:color="auto"/>
              <w:left w:val="single" w:sz="4" w:space="0" w:color="auto"/>
            </w:tcBorders>
            <w:shd w:val="clear" w:color="auto" w:fill="FFFFFF"/>
          </w:tcPr>
          <w:p w14:paraId="4475A73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709DE2E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741732B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r>
      <w:tr w:rsidR="009338B9" w:rsidRPr="00F90B4C" w14:paraId="3CA93D2F" w14:textId="77777777" w:rsidTr="009338B9">
        <w:trPr>
          <w:jc w:val="center"/>
        </w:trPr>
        <w:tc>
          <w:tcPr>
            <w:tcW w:w="1219" w:type="dxa"/>
            <w:tcBorders>
              <w:top w:val="single" w:sz="4" w:space="0" w:color="auto"/>
              <w:left w:val="single" w:sz="4" w:space="0" w:color="auto"/>
            </w:tcBorders>
            <w:shd w:val="clear" w:color="auto" w:fill="FFFFFF"/>
          </w:tcPr>
          <w:p w14:paraId="75BA954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w:t>
            </w:r>
          </w:p>
        </w:tc>
        <w:tc>
          <w:tcPr>
            <w:tcW w:w="1219" w:type="dxa"/>
            <w:tcBorders>
              <w:top w:val="single" w:sz="4" w:space="0" w:color="auto"/>
              <w:left w:val="single" w:sz="4" w:space="0" w:color="auto"/>
            </w:tcBorders>
            <w:shd w:val="clear" w:color="auto" w:fill="FFFFFF"/>
          </w:tcPr>
          <w:p w14:paraId="11FDE1B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18</w:t>
            </w:r>
          </w:p>
        </w:tc>
        <w:tc>
          <w:tcPr>
            <w:tcW w:w="1219" w:type="dxa"/>
            <w:tcBorders>
              <w:top w:val="single" w:sz="4" w:space="0" w:color="auto"/>
              <w:left w:val="single" w:sz="4" w:space="0" w:color="auto"/>
            </w:tcBorders>
            <w:shd w:val="clear" w:color="auto" w:fill="FFFFFF"/>
          </w:tcPr>
          <w:p w14:paraId="53C82AE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227</w:t>
            </w:r>
          </w:p>
        </w:tc>
        <w:tc>
          <w:tcPr>
            <w:tcW w:w="1214" w:type="dxa"/>
            <w:tcBorders>
              <w:top w:val="single" w:sz="4" w:space="0" w:color="auto"/>
              <w:left w:val="single" w:sz="4" w:space="0" w:color="auto"/>
            </w:tcBorders>
            <w:shd w:val="clear" w:color="auto" w:fill="FFFFFF"/>
          </w:tcPr>
          <w:p w14:paraId="4123A7F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w:t>
            </w:r>
          </w:p>
        </w:tc>
        <w:tc>
          <w:tcPr>
            <w:tcW w:w="1219" w:type="dxa"/>
            <w:tcBorders>
              <w:top w:val="single" w:sz="4" w:space="0" w:color="auto"/>
              <w:left w:val="single" w:sz="4" w:space="0" w:color="auto"/>
            </w:tcBorders>
            <w:shd w:val="clear" w:color="auto" w:fill="FFFFFF"/>
          </w:tcPr>
          <w:p w14:paraId="0FEF1E0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- 22</w:t>
            </w:r>
          </w:p>
        </w:tc>
        <w:tc>
          <w:tcPr>
            <w:tcW w:w="1214" w:type="dxa"/>
            <w:tcBorders>
              <w:top w:val="single" w:sz="4" w:space="0" w:color="auto"/>
              <w:left w:val="single" w:sz="4" w:space="0" w:color="auto"/>
            </w:tcBorders>
            <w:shd w:val="clear" w:color="auto" w:fill="FFFFFF"/>
          </w:tcPr>
          <w:p w14:paraId="635F929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648860F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5EFD761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w:t>
            </w:r>
          </w:p>
        </w:tc>
      </w:tr>
      <w:tr w:rsidR="009338B9" w:rsidRPr="00F90B4C" w14:paraId="5EC07DBC" w14:textId="77777777" w:rsidTr="009338B9">
        <w:trPr>
          <w:jc w:val="center"/>
        </w:trPr>
        <w:tc>
          <w:tcPr>
            <w:tcW w:w="1219" w:type="dxa"/>
            <w:tcBorders>
              <w:top w:val="single" w:sz="4" w:space="0" w:color="auto"/>
              <w:left w:val="single" w:sz="4" w:space="0" w:color="auto"/>
            </w:tcBorders>
            <w:shd w:val="clear" w:color="auto" w:fill="FFFFFF"/>
          </w:tcPr>
          <w:p w14:paraId="439CF73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w:t>
            </w:r>
          </w:p>
        </w:tc>
        <w:tc>
          <w:tcPr>
            <w:tcW w:w="1219" w:type="dxa"/>
            <w:tcBorders>
              <w:top w:val="single" w:sz="4" w:space="0" w:color="auto"/>
              <w:left w:val="single" w:sz="4" w:space="0" w:color="auto"/>
            </w:tcBorders>
            <w:shd w:val="clear" w:color="auto" w:fill="FFFFFF"/>
          </w:tcPr>
          <w:p w14:paraId="77C4A2D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w:t>
            </w:r>
          </w:p>
        </w:tc>
        <w:tc>
          <w:tcPr>
            <w:tcW w:w="1219" w:type="dxa"/>
            <w:tcBorders>
              <w:top w:val="single" w:sz="4" w:space="0" w:color="auto"/>
              <w:left w:val="single" w:sz="4" w:space="0" w:color="auto"/>
            </w:tcBorders>
            <w:shd w:val="clear" w:color="auto" w:fill="FFFFFF"/>
          </w:tcPr>
          <w:p w14:paraId="4DA8E6B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225</w:t>
            </w:r>
          </w:p>
        </w:tc>
        <w:tc>
          <w:tcPr>
            <w:tcW w:w="1214" w:type="dxa"/>
            <w:tcBorders>
              <w:top w:val="single" w:sz="4" w:space="0" w:color="auto"/>
              <w:left w:val="single" w:sz="4" w:space="0" w:color="auto"/>
            </w:tcBorders>
            <w:shd w:val="clear" w:color="auto" w:fill="FFFFFF"/>
          </w:tcPr>
          <w:p w14:paraId="63A863E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10</w:t>
            </w:r>
          </w:p>
        </w:tc>
        <w:tc>
          <w:tcPr>
            <w:tcW w:w="1219" w:type="dxa"/>
            <w:tcBorders>
              <w:top w:val="single" w:sz="4" w:space="0" w:color="auto"/>
              <w:left w:val="single" w:sz="4" w:space="0" w:color="auto"/>
            </w:tcBorders>
            <w:shd w:val="clear" w:color="auto" w:fill="FFFFFF"/>
          </w:tcPr>
          <w:p w14:paraId="4E0CA7A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- 21</w:t>
            </w:r>
          </w:p>
        </w:tc>
        <w:tc>
          <w:tcPr>
            <w:tcW w:w="1214" w:type="dxa"/>
            <w:tcBorders>
              <w:top w:val="single" w:sz="4" w:space="0" w:color="auto"/>
              <w:left w:val="single" w:sz="4" w:space="0" w:color="auto"/>
            </w:tcBorders>
            <w:shd w:val="clear" w:color="auto" w:fill="FFFFFF"/>
          </w:tcPr>
          <w:p w14:paraId="568951C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6D12B5B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01D18AA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w:t>
            </w:r>
          </w:p>
        </w:tc>
      </w:tr>
      <w:tr w:rsidR="009338B9" w:rsidRPr="00F90B4C" w14:paraId="4950C31E" w14:textId="77777777" w:rsidTr="009338B9">
        <w:trPr>
          <w:jc w:val="center"/>
        </w:trPr>
        <w:tc>
          <w:tcPr>
            <w:tcW w:w="1219" w:type="dxa"/>
            <w:tcBorders>
              <w:top w:val="single" w:sz="4" w:space="0" w:color="auto"/>
              <w:left w:val="single" w:sz="4" w:space="0" w:color="auto"/>
            </w:tcBorders>
            <w:shd w:val="clear" w:color="auto" w:fill="FFFFFF"/>
          </w:tcPr>
          <w:p w14:paraId="19A46C1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w:t>
            </w:r>
          </w:p>
        </w:tc>
        <w:tc>
          <w:tcPr>
            <w:tcW w:w="1219" w:type="dxa"/>
            <w:tcBorders>
              <w:top w:val="single" w:sz="4" w:space="0" w:color="auto"/>
              <w:left w:val="single" w:sz="4" w:space="0" w:color="auto"/>
            </w:tcBorders>
            <w:shd w:val="clear" w:color="auto" w:fill="FFFFFF"/>
          </w:tcPr>
          <w:p w14:paraId="53D29FB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20</w:t>
            </w:r>
          </w:p>
        </w:tc>
        <w:tc>
          <w:tcPr>
            <w:tcW w:w="1219" w:type="dxa"/>
            <w:tcBorders>
              <w:top w:val="single" w:sz="4" w:space="0" w:color="auto"/>
              <w:left w:val="single" w:sz="4" w:space="0" w:color="auto"/>
            </w:tcBorders>
            <w:shd w:val="clear" w:color="auto" w:fill="FFFFFF"/>
          </w:tcPr>
          <w:p w14:paraId="5245292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225</w:t>
            </w:r>
          </w:p>
        </w:tc>
        <w:tc>
          <w:tcPr>
            <w:tcW w:w="1214" w:type="dxa"/>
            <w:tcBorders>
              <w:top w:val="single" w:sz="4" w:space="0" w:color="auto"/>
              <w:left w:val="single" w:sz="4" w:space="0" w:color="auto"/>
            </w:tcBorders>
            <w:shd w:val="clear" w:color="auto" w:fill="FFFFFF"/>
          </w:tcPr>
          <w:p w14:paraId="4247E36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11</w:t>
            </w:r>
          </w:p>
        </w:tc>
        <w:tc>
          <w:tcPr>
            <w:tcW w:w="1219" w:type="dxa"/>
            <w:tcBorders>
              <w:top w:val="single" w:sz="4" w:space="0" w:color="auto"/>
              <w:left w:val="single" w:sz="4" w:space="0" w:color="auto"/>
            </w:tcBorders>
            <w:shd w:val="clear" w:color="auto" w:fill="FFFFFF"/>
          </w:tcPr>
          <w:p w14:paraId="5AEBCF6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- 20</w:t>
            </w:r>
          </w:p>
        </w:tc>
        <w:tc>
          <w:tcPr>
            <w:tcW w:w="1214" w:type="dxa"/>
            <w:tcBorders>
              <w:top w:val="single" w:sz="4" w:space="0" w:color="auto"/>
              <w:left w:val="single" w:sz="4" w:space="0" w:color="auto"/>
            </w:tcBorders>
            <w:shd w:val="clear" w:color="auto" w:fill="FFFFFF"/>
          </w:tcPr>
          <w:p w14:paraId="23801B8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04ACC89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7398D5D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13</w:t>
            </w:r>
          </w:p>
        </w:tc>
      </w:tr>
      <w:tr w:rsidR="009338B9" w:rsidRPr="00F90B4C" w14:paraId="4CDE3E03" w14:textId="77777777" w:rsidTr="009338B9">
        <w:trPr>
          <w:jc w:val="center"/>
        </w:trPr>
        <w:tc>
          <w:tcPr>
            <w:tcW w:w="1219" w:type="dxa"/>
            <w:tcBorders>
              <w:top w:val="single" w:sz="4" w:space="0" w:color="auto"/>
              <w:left w:val="single" w:sz="4" w:space="0" w:color="auto"/>
            </w:tcBorders>
            <w:shd w:val="clear" w:color="auto" w:fill="FFFFFF"/>
          </w:tcPr>
          <w:p w14:paraId="3A5A354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5</w:t>
            </w:r>
          </w:p>
        </w:tc>
        <w:tc>
          <w:tcPr>
            <w:tcW w:w="1219" w:type="dxa"/>
            <w:tcBorders>
              <w:top w:val="single" w:sz="4" w:space="0" w:color="auto"/>
              <w:left w:val="single" w:sz="4" w:space="0" w:color="auto"/>
            </w:tcBorders>
            <w:shd w:val="clear" w:color="auto" w:fill="FFFFFF"/>
          </w:tcPr>
          <w:p w14:paraId="31BAEDC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w:t>
            </w:r>
          </w:p>
        </w:tc>
        <w:tc>
          <w:tcPr>
            <w:tcW w:w="1219" w:type="dxa"/>
            <w:tcBorders>
              <w:top w:val="single" w:sz="4" w:space="0" w:color="auto"/>
              <w:left w:val="single" w:sz="4" w:space="0" w:color="auto"/>
            </w:tcBorders>
            <w:shd w:val="clear" w:color="auto" w:fill="FFFFFF"/>
          </w:tcPr>
          <w:p w14:paraId="6B402D2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216</w:t>
            </w:r>
          </w:p>
        </w:tc>
        <w:tc>
          <w:tcPr>
            <w:tcW w:w="1214" w:type="dxa"/>
            <w:tcBorders>
              <w:top w:val="single" w:sz="4" w:space="0" w:color="auto"/>
              <w:left w:val="single" w:sz="4" w:space="0" w:color="auto"/>
            </w:tcBorders>
            <w:shd w:val="clear" w:color="auto" w:fill="FFFFFF"/>
          </w:tcPr>
          <w:p w14:paraId="1812014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12</w:t>
            </w:r>
          </w:p>
        </w:tc>
        <w:tc>
          <w:tcPr>
            <w:tcW w:w="1219" w:type="dxa"/>
            <w:tcBorders>
              <w:top w:val="single" w:sz="4" w:space="0" w:color="auto"/>
              <w:left w:val="single" w:sz="4" w:space="0" w:color="auto"/>
            </w:tcBorders>
            <w:shd w:val="clear" w:color="auto" w:fill="FFFFFF"/>
          </w:tcPr>
          <w:p w14:paraId="05C8947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- 19</w:t>
            </w:r>
          </w:p>
        </w:tc>
        <w:tc>
          <w:tcPr>
            <w:tcW w:w="1214" w:type="dxa"/>
            <w:tcBorders>
              <w:top w:val="single" w:sz="4" w:space="0" w:color="auto"/>
              <w:left w:val="single" w:sz="4" w:space="0" w:color="auto"/>
            </w:tcBorders>
            <w:shd w:val="clear" w:color="auto" w:fill="FFFFFF"/>
          </w:tcPr>
          <w:p w14:paraId="7AF409C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7F28A0E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54B207B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w:t>
            </w:r>
          </w:p>
        </w:tc>
      </w:tr>
      <w:tr w:rsidR="009338B9" w:rsidRPr="00F90B4C" w14:paraId="65DDC26D" w14:textId="77777777" w:rsidTr="009338B9">
        <w:trPr>
          <w:jc w:val="center"/>
        </w:trPr>
        <w:tc>
          <w:tcPr>
            <w:tcW w:w="1219" w:type="dxa"/>
            <w:tcBorders>
              <w:top w:val="single" w:sz="4" w:space="0" w:color="auto"/>
              <w:left w:val="single" w:sz="4" w:space="0" w:color="auto"/>
            </w:tcBorders>
            <w:shd w:val="clear" w:color="auto" w:fill="FFFFFF"/>
          </w:tcPr>
          <w:p w14:paraId="04FDC6B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w:t>
            </w:r>
          </w:p>
        </w:tc>
        <w:tc>
          <w:tcPr>
            <w:tcW w:w="1219" w:type="dxa"/>
            <w:tcBorders>
              <w:top w:val="single" w:sz="4" w:space="0" w:color="auto"/>
              <w:left w:val="single" w:sz="4" w:space="0" w:color="auto"/>
            </w:tcBorders>
            <w:shd w:val="clear" w:color="auto" w:fill="FFFFFF"/>
          </w:tcPr>
          <w:p w14:paraId="16BD3B3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w:t>
            </w:r>
          </w:p>
        </w:tc>
        <w:tc>
          <w:tcPr>
            <w:tcW w:w="1219" w:type="dxa"/>
            <w:tcBorders>
              <w:top w:val="single" w:sz="4" w:space="0" w:color="auto"/>
              <w:left w:val="single" w:sz="4" w:space="0" w:color="auto"/>
            </w:tcBorders>
            <w:shd w:val="clear" w:color="auto" w:fill="FFFFFF"/>
          </w:tcPr>
          <w:p w14:paraId="7495738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215</w:t>
            </w:r>
          </w:p>
        </w:tc>
        <w:tc>
          <w:tcPr>
            <w:tcW w:w="1214" w:type="dxa"/>
            <w:tcBorders>
              <w:top w:val="single" w:sz="4" w:space="0" w:color="auto"/>
              <w:left w:val="single" w:sz="4" w:space="0" w:color="auto"/>
            </w:tcBorders>
            <w:shd w:val="clear" w:color="auto" w:fill="FFFFFF"/>
          </w:tcPr>
          <w:p w14:paraId="247F393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13</w:t>
            </w:r>
          </w:p>
        </w:tc>
        <w:tc>
          <w:tcPr>
            <w:tcW w:w="1219" w:type="dxa"/>
            <w:tcBorders>
              <w:top w:val="single" w:sz="4" w:space="0" w:color="auto"/>
              <w:left w:val="single" w:sz="4" w:space="0" w:color="auto"/>
            </w:tcBorders>
            <w:shd w:val="clear" w:color="auto" w:fill="FFFFFF"/>
          </w:tcPr>
          <w:p w14:paraId="3FC223E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- 18</w:t>
            </w:r>
          </w:p>
        </w:tc>
        <w:tc>
          <w:tcPr>
            <w:tcW w:w="1214" w:type="dxa"/>
            <w:tcBorders>
              <w:top w:val="single" w:sz="4" w:space="0" w:color="auto"/>
              <w:left w:val="single" w:sz="4" w:space="0" w:color="auto"/>
            </w:tcBorders>
            <w:shd w:val="clear" w:color="auto" w:fill="FFFFFF"/>
          </w:tcPr>
          <w:p w14:paraId="15E9497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31B4123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642B22A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w:t>
            </w:r>
          </w:p>
        </w:tc>
      </w:tr>
      <w:tr w:rsidR="009338B9" w:rsidRPr="00F90B4C" w14:paraId="22B871FB" w14:textId="77777777" w:rsidTr="009338B9">
        <w:trPr>
          <w:jc w:val="center"/>
        </w:trPr>
        <w:tc>
          <w:tcPr>
            <w:tcW w:w="1219" w:type="dxa"/>
            <w:tcBorders>
              <w:top w:val="single" w:sz="4" w:space="0" w:color="auto"/>
              <w:left w:val="single" w:sz="4" w:space="0" w:color="auto"/>
            </w:tcBorders>
            <w:shd w:val="clear" w:color="auto" w:fill="FFFFFF"/>
          </w:tcPr>
          <w:p w14:paraId="0778B44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7</w:t>
            </w:r>
          </w:p>
        </w:tc>
        <w:tc>
          <w:tcPr>
            <w:tcW w:w="1219" w:type="dxa"/>
            <w:tcBorders>
              <w:top w:val="single" w:sz="4" w:space="0" w:color="auto"/>
              <w:left w:val="single" w:sz="4" w:space="0" w:color="auto"/>
            </w:tcBorders>
            <w:shd w:val="clear" w:color="auto" w:fill="FFFFFF"/>
          </w:tcPr>
          <w:p w14:paraId="3CA9CC9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23</w:t>
            </w:r>
          </w:p>
        </w:tc>
        <w:tc>
          <w:tcPr>
            <w:tcW w:w="1219" w:type="dxa"/>
            <w:tcBorders>
              <w:top w:val="single" w:sz="4" w:space="0" w:color="auto"/>
              <w:left w:val="single" w:sz="4" w:space="0" w:color="auto"/>
            </w:tcBorders>
            <w:shd w:val="clear" w:color="auto" w:fill="FFFFFF"/>
          </w:tcPr>
          <w:p w14:paraId="591B3FF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218</w:t>
            </w:r>
          </w:p>
        </w:tc>
        <w:tc>
          <w:tcPr>
            <w:tcW w:w="1214" w:type="dxa"/>
            <w:tcBorders>
              <w:top w:val="single" w:sz="4" w:space="0" w:color="auto"/>
              <w:left w:val="single" w:sz="4" w:space="0" w:color="auto"/>
            </w:tcBorders>
            <w:shd w:val="clear" w:color="auto" w:fill="FFFFFF"/>
          </w:tcPr>
          <w:p w14:paraId="0571783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14</w:t>
            </w:r>
          </w:p>
        </w:tc>
        <w:tc>
          <w:tcPr>
            <w:tcW w:w="1219" w:type="dxa"/>
            <w:tcBorders>
              <w:top w:val="single" w:sz="4" w:space="0" w:color="auto"/>
              <w:left w:val="single" w:sz="4" w:space="0" w:color="auto"/>
            </w:tcBorders>
            <w:shd w:val="clear" w:color="auto" w:fill="FFFFFF"/>
          </w:tcPr>
          <w:p w14:paraId="6D1CAFA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- 17</w:t>
            </w:r>
          </w:p>
        </w:tc>
        <w:tc>
          <w:tcPr>
            <w:tcW w:w="1214" w:type="dxa"/>
            <w:tcBorders>
              <w:top w:val="single" w:sz="4" w:space="0" w:color="auto"/>
              <w:left w:val="single" w:sz="4" w:space="0" w:color="auto"/>
            </w:tcBorders>
            <w:shd w:val="clear" w:color="auto" w:fill="FFFFFF"/>
          </w:tcPr>
          <w:p w14:paraId="008AF72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6E376AA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5F03755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26</w:t>
            </w:r>
          </w:p>
        </w:tc>
      </w:tr>
      <w:tr w:rsidR="009338B9" w:rsidRPr="00F90B4C" w14:paraId="78495DE9" w14:textId="77777777" w:rsidTr="009338B9">
        <w:trPr>
          <w:jc w:val="center"/>
        </w:trPr>
        <w:tc>
          <w:tcPr>
            <w:tcW w:w="1219" w:type="dxa"/>
            <w:tcBorders>
              <w:top w:val="single" w:sz="4" w:space="0" w:color="auto"/>
              <w:left w:val="single" w:sz="4" w:space="0" w:color="auto"/>
            </w:tcBorders>
            <w:shd w:val="clear" w:color="auto" w:fill="FFFFFF"/>
          </w:tcPr>
          <w:p w14:paraId="18F95D9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8</w:t>
            </w:r>
          </w:p>
        </w:tc>
        <w:tc>
          <w:tcPr>
            <w:tcW w:w="1219" w:type="dxa"/>
            <w:tcBorders>
              <w:top w:val="single" w:sz="4" w:space="0" w:color="auto"/>
              <w:left w:val="single" w:sz="4" w:space="0" w:color="auto"/>
            </w:tcBorders>
            <w:shd w:val="clear" w:color="auto" w:fill="FFFFFF"/>
          </w:tcPr>
          <w:p w14:paraId="31880E3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w:t>
            </w:r>
          </w:p>
        </w:tc>
        <w:tc>
          <w:tcPr>
            <w:tcW w:w="1219" w:type="dxa"/>
            <w:tcBorders>
              <w:top w:val="single" w:sz="4" w:space="0" w:color="auto"/>
              <w:left w:val="single" w:sz="4" w:space="0" w:color="auto"/>
            </w:tcBorders>
            <w:shd w:val="clear" w:color="auto" w:fill="FFFFFF"/>
          </w:tcPr>
          <w:p w14:paraId="4B9571A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197</w:t>
            </w:r>
          </w:p>
        </w:tc>
        <w:tc>
          <w:tcPr>
            <w:tcW w:w="1214" w:type="dxa"/>
            <w:tcBorders>
              <w:top w:val="single" w:sz="4" w:space="0" w:color="auto"/>
              <w:left w:val="single" w:sz="4" w:space="0" w:color="auto"/>
            </w:tcBorders>
            <w:shd w:val="clear" w:color="auto" w:fill="FFFFFF"/>
          </w:tcPr>
          <w:p w14:paraId="3F36C7B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15</w:t>
            </w:r>
          </w:p>
        </w:tc>
        <w:tc>
          <w:tcPr>
            <w:tcW w:w="1219" w:type="dxa"/>
            <w:tcBorders>
              <w:top w:val="single" w:sz="4" w:space="0" w:color="auto"/>
              <w:left w:val="single" w:sz="4" w:space="0" w:color="auto"/>
            </w:tcBorders>
            <w:shd w:val="clear" w:color="auto" w:fill="FFFFFF"/>
          </w:tcPr>
          <w:p w14:paraId="3397ED4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- 16</w:t>
            </w:r>
          </w:p>
        </w:tc>
        <w:tc>
          <w:tcPr>
            <w:tcW w:w="1214" w:type="dxa"/>
            <w:tcBorders>
              <w:top w:val="single" w:sz="4" w:space="0" w:color="auto"/>
              <w:left w:val="single" w:sz="4" w:space="0" w:color="auto"/>
            </w:tcBorders>
            <w:shd w:val="clear" w:color="auto" w:fill="FFFFFF"/>
          </w:tcPr>
          <w:p w14:paraId="6677838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11FEBD9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74BC565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39</w:t>
            </w:r>
          </w:p>
        </w:tc>
      </w:tr>
      <w:tr w:rsidR="009338B9" w:rsidRPr="00F90B4C" w14:paraId="49613CE2" w14:textId="77777777" w:rsidTr="009338B9">
        <w:trPr>
          <w:jc w:val="center"/>
        </w:trPr>
        <w:tc>
          <w:tcPr>
            <w:tcW w:w="1219" w:type="dxa"/>
            <w:tcBorders>
              <w:top w:val="single" w:sz="4" w:space="0" w:color="auto"/>
              <w:left w:val="single" w:sz="4" w:space="0" w:color="auto"/>
            </w:tcBorders>
            <w:shd w:val="clear" w:color="auto" w:fill="FFFFFF"/>
          </w:tcPr>
          <w:p w14:paraId="31A49BD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w:t>
            </w:r>
          </w:p>
        </w:tc>
        <w:tc>
          <w:tcPr>
            <w:tcW w:w="1219" w:type="dxa"/>
            <w:tcBorders>
              <w:top w:val="single" w:sz="4" w:space="0" w:color="auto"/>
              <w:left w:val="single" w:sz="4" w:space="0" w:color="auto"/>
            </w:tcBorders>
            <w:shd w:val="clear" w:color="auto" w:fill="FFFFFF"/>
          </w:tcPr>
          <w:p w14:paraId="12FC86F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25</w:t>
            </w:r>
          </w:p>
        </w:tc>
        <w:tc>
          <w:tcPr>
            <w:tcW w:w="1219" w:type="dxa"/>
            <w:tcBorders>
              <w:top w:val="single" w:sz="4" w:space="0" w:color="auto"/>
              <w:left w:val="single" w:sz="4" w:space="0" w:color="auto"/>
            </w:tcBorders>
            <w:shd w:val="clear" w:color="auto" w:fill="FFFFFF"/>
          </w:tcPr>
          <w:p w14:paraId="7CD27A1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178</w:t>
            </w:r>
          </w:p>
        </w:tc>
        <w:tc>
          <w:tcPr>
            <w:tcW w:w="1214" w:type="dxa"/>
            <w:tcBorders>
              <w:top w:val="single" w:sz="4" w:space="0" w:color="auto"/>
              <w:left w:val="single" w:sz="4" w:space="0" w:color="auto"/>
            </w:tcBorders>
            <w:shd w:val="clear" w:color="auto" w:fill="FFFFFF"/>
          </w:tcPr>
          <w:p w14:paraId="31A36FD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16</w:t>
            </w:r>
          </w:p>
        </w:tc>
        <w:tc>
          <w:tcPr>
            <w:tcW w:w="1219" w:type="dxa"/>
            <w:tcBorders>
              <w:top w:val="single" w:sz="4" w:space="0" w:color="auto"/>
              <w:left w:val="single" w:sz="4" w:space="0" w:color="auto"/>
            </w:tcBorders>
            <w:shd w:val="clear" w:color="auto" w:fill="FFFFFF"/>
          </w:tcPr>
          <w:p w14:paraId="66068C0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- 15</w:t>
            </w:r>
          </w:p>
        </w:tc>
        <w:tc>
          <w:tcPr>
            <w:tcW w:w="1214" w:type="dxa"/>
            <w:tcBorders>
              <w:top w:val="single" w:sz="4" w:space="0" w:color="auto"/>
              <w:left w:val="single" w:sz="4" w:space="0" w:color="auto"/>
            </w:tcBorders>
            <w:shd w:val="clear" w:color="auto" w:fill="FFFFFF"/>
          </w:tcPr>
          <w:p w14:paraId="2437E61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0F8263D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183BCE2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41</w:t>
            </w:r>
          </w:p>
        </w:tc>
      </w:tr>
      <w:tr w:rsidR="009338B9" w:rsidRPr="00F90B4C" w14:paraId="47DAE8A9" w14:textId="77777777" w:rsidTr="009338B9">
        <w:trPr>
          <w:jc w:val="center"/>
        </w:trPr>
        <w:tc>
          <w:tcPr>
            <w:tcW w:w="1219" w:type="dxa"/>
            <w:tcBorders>
              <w:top w:val="single" w:sz="4" w:space="0" w:color="auto"/>
              <w:left w:val="single" w:sz="4" w:space="0" w:color="auto"/>
            </w:tcBorders>
            <w:shd w:val="clear" w:color="auto" w:fill="FFFFFF"/>
          </w:tcPr>
          <w:p w14:paraId="32698E3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10</w:t>
            </w:r>
          </w:p>
        </w:tc>
        <w:tc>
          <w:tcPr>
            <w:tcW w:w="1219" w:type="dxa"/>
            <w:tcBorders>
              <w:top w:val="single" w:sz="4" w:space="0" w:color="auto"/>
              <w:left w:val="single" w:sz="4" w:space="0" w:color="auto"/>
            </w:tcBorders>
            <w:shd w:val="clear" w:color="auto" w:fill="FFFFFF"/>
          </w:tcPr>
          <w:p w14:paraId="1681548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26</w:t>
            </w:r>
          </w:p>
        </w:tc>
        <w:tc>
          <w:tcPr>
            <w:tcW w:w="1219" w:type="dxa"/>
            <w:tcBorders>
              <w:top w:val="single" w:sz="4" w:space="0" w:color="auto"/>
              <w:left w:val="single" w:sz="4" w:space="0" w:color="auto"/>
            </w:tcBorders>
            <w:shd w:val="clear" w:color="auto" w:fill="FFFFFF"/>
          </w:tcPr>
          <w:p w14:paraId="7A93BD1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158</w:t>
            </w:r>
          </w:p>
        </w:tc>
        <w:tc>
          <w:tcPr>
            <w:tcW w:w="1214" w:type="dxa"/>
            <w:tcBorders>
              <w:top w:val="single" w:sz="4" w:space="0" w:color="auto"/>
              <w:left w:val="single" w:sz="4" w:space="0" w:color="auto"/>
            </w:tcBorders>
            <w:shd w:val="clear" w:color="auto" w:fill="FFFFFF"/>
          </w:tcPr>
          <w:p w14:paraId="10CB031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w:t>
            </w:r>
          </w:p>
        </w:tc>
        <w:tc>
          <w:tcPr>
            <w:tcW w:w="1219" w:type="dxa"/>
            <w:tcBorders>
              <w:top w:val="single" w:sz="4" w:space="0" w:color="auto"/>
              <w:left w:val="single" w:sz="4" w:space="0" w:color="auto"/>
            </w:tcBorders>
            <w:shd w:val="clear" w:color="auto" w:fill="FFFFFF"/>
          </w:tcPr>
          <w:p w14:paraId="57423F1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- 14</w:t>
            </w:r>
          </w:p>
        </w:tc>
        <w:tc>
          <w:tcPr>
            <w:tcW w:w="1214" w:type="dxa"/>
            <w:tcBorders>
              <w:top w:val="single" w:sz="4" w:space="0" w:color="auto"/>
              <w:left w:val="single" w:sz="4" w:space="0" w:color="auto"/>
            </w:tcBorders>
            <w:shd w:val="clear" w:color="auto" w:fill="FFFFFF"/>
          </w:tcPr>
          <w:p w14:paraId="237AC52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37EAF9D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4C7F39D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35</w:t>
            </w:r>
          </w:p>
        </w:tc>
      </w:tr>
      <w:tr w:rsidR="009338B9" w:rsidRPr="00F90B4C" w14:paraId="449B0E74" w14:textId="77777777" w:rsidTr="009338B9">
        <w:trPr>
          <w:jc w:val="center"/>
        </w:trPr>
        <w:tc>
          <w:tcPr>
            <w:tcW w:w="1219" w:type="dxa"/>
            <w:tcBorders>
              <w:top w:val="single" w:sz="4" w:space="0" w:color="auto"/>
              <w:left w:val="single" w:sz="4" w:space="0" w:color="auto"/>
            </w:tcBorders>
            <w:shd w:val="clear" w:color="auto" w:fill="FFFFFF"/>
          </w:tcPr>
          <w:p w14:paraId="341C896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11</w:t>
            </w:r>
          </w:p>
        </w:tc>
        <w:tc>
          <w:tcPr>
            <w:tcW w:w="1219" w:type="dxa"/>
            <w:tcBorders>
              <w:top w:val="single" w:sz="4" w:space="0" w:color="auto"/>
              <w:left w:val="single" w:sz="4" w:space="0" w:color="auto"/>
            </w:tcBorders>
            <w:shd w:val="clear" w:color="auto" w:fill="FFFFFF"/>
          </w:tcPr>
          <w:p w14:paraId="45CF8DA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27</w:t>
            </w:r>
          </w:p>
        </w:tc>
        <w:tc>
          <w:tcPr>
            <w:tcW w:w="1219" w:type="dxa"/>
            <w:tcBorders>
              <w:top w:val="single" w:sz="4" w:space="0" w:color="auto"/>
              <w:left w:val="single" w:sz="4" w:space="0" w:color="auto"/>
            </w:tcBorders>
            <w:shd w:val="clear" w:color="auto" w:fill="FFFFFF"/>
          </w:tcPr>
          <w:p w14:paraId="467B299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137</w:t>
            </w:r>
          </w:p>
        </w:tc>
        <w:tc>
          <w:tcPr>
            <w:tcW w:w="1214" w:type="dxa"/>
            <w:tcBorders>
              <w:top w:val="single" w:sz="4" w:space="0" w:color="auto"/>
              <w:left w:val="single" w:sz="4" w:space="0" w:color="auto"/>
            </w:tcBorders>
            <w:shd w:val="clear" w:color="auto" w:fill="FFFFFF"/>
          </w:tcPr>
          <w:p w14:paraId="7DF6AC5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18</w:t>
            </w:r>
          </w:p>
        </w:tc>
        <w:tc>
          <w:tcPr>
            <w:tcW w:w="1219" w:type="dxa"/>
            <w:tcBorders>
              <w:top w:val="single" w:sz="4" w:space="0" w:color="auto"/>
              <w:left w:val="single" w:sz="4" w:space="0" w:color="auto"/>
            </w:tcBorders>
            <w:shd w:val="clear" w:color="auto" w:fill="FFFFFF"/>
          </w:tcPr>
          <w:p w14:paraId="7B3D76F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- 13</w:t>
            </w:r>
          </w:p>
        </w:tc>
        <w:tc>
          <w:tcPr>
            <w:tcW w:w="1214" w:type="dxa"/>
            <w:tcBorders>
              <w:top w:val="single" w:sz="4" w:space="0" w:color="auto"/>
              <w:left w:val="single" w:sz="4" w:space="0" w:color="auto"/>
            </w:tcBorders>
            <w:shd w:val="clear" w:color="auto" w:fill="FFFFFF"/>
          </w:tcPr>
          <w:p w14:paraId="0008DB6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6ED524B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01EEE38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52</w:t>
            </w:r>
          </w:p>
        </w:tc>
      </w:tr>
      <w:tr w:rsidR="009338B9" w:rsidRPr="00F90B4C" w14:paraId="4FDB1D95" w14:textId="77777777" w:rsidTr="009338B9">
        <w:trPr>
          <w:jc w:val="center"/>
        </w:trPr>
        <w:tc>
          <w:tcPr>
            <w:tcW w:w="1219" w:type="dxa"/>
            <w:tcBorders>
              <w:top w:val="single" w:sz="4" w:space="0" w:color="auto"/>
              <w:left w:val="single" w:sz="4" w:space="0" w:color="auto"/>
            </w:tcBorders>
            <w:shd w:val="clear" w:color="auto" w:fill="FFFFFF"/>
          </w:tcPr>
          <w:p w14:paraId="0B86474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12</w:t>
            </w:r>
          </w:p>
        </w:tc>
        <w:tc>
          <w:tcPr>
            <w:tcW w:w="1219" w:type="dxa"/>
            <w:tcBorders>
              <w:top w:val="single" w:sz="4" w:space="0" w:color="auto"/>
              <w:left w:val="single" w:sz="4" w:space="0" w:color="auto"/>
            </w:tcBorders>
            <w:shd w:val="clear" w:color="auto" w:fill="FFFFFF"/>
          </w:tcPr>
          <w:p w14:paraId="3968E55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28</w:t>
            </w:r>
          </w:p>
        </w:tc>
        <w:tc>
          <w:tcPr>
            <w:tcW w:w="1219" w:type="dxa"/>
            <w:tcBorders>
              <w:top w:val="single" w:sz="4" w:space="0" w:color="auto"/>
              <w:left w:val="single" w:sz="4" w:space="0" w:color="auto"/>
            </w:tcBorders>
            <w:shd w:val="clear" w:color="auto" w:fill="FFFFFF"/>
          </w:tcPr>
          <w:p w14:paraId="08338BE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109</w:t>
            </w:r>
          </w:p>
        </w:tc>
        <w:tc>
          <w:tcPr>
            <w:tcW w:w="1214" w:type="dxa"/>
            <w:tcBorders>
              <w:top w:val="single" w:sz="4" w:space="0" w:color="auto"/>
              <w:left w:val="single" w:sz="4" w:space="0" w:color="auto"/>
            </w:tcBorders>
            <w:shd w:val="clear" w:color="auto" w:fill="FFFFFF"/>
          </w:tcPr>
          <w:p w14:paraId="3C8A1CF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w:t>
            </w:r>
          </w:p>
        </w:tc>
        <w:tc>
          <w:tcPr>
            <w:tcW w:w="1219" w:type="dxa"/>
            <w:tcBorders>
              <w:top w:val="single" w:sz="4" w:space="0" w:color="auto"/>
              <w:left w:val="single" w:sz="4" w:space="0" w:color="auto"/>
            </w:tcBorders>
            <w:shd w:val="clear" w:color="auto" w:fill="FFFFFF"/>
          </w:tcPr>
          <w:p w14:paraId="19851A1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- 12</w:t>
            </w:r>
          </w:p>
        </w:tc>
        <w:tc>
          <w:tcPr>
            <w:tcW w:w="1214" w:type="dxa"/>
            <w:tcBorders>
              <w:top w:val="single" w:sz="4" w:space="0" w:color="auto"/>
              <w:left w:val="single" w:sz="4" w:space="0" w:color="auto"/>
            </w:tcBorders>
            <w:shd w:val="clear" w:color="auto" w:fill="FFFFFF"/>
          </w:tcPr>
          <w:p w14:paraId="2247150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1BFEDFF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1BE2336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37</w:t>
            </w:r>
          </w:p>
        </w:tc>
      </w:tr>
      <w:tr w:rsidR="009338B9" w:rsidRPr="00F90B4C" w14:paraId="029C1FF0" w14:textId="77777777" w:rsidTr="009338B9">
        <w:trPr>
          <w:jc w:val="center"/>
        </w:trPr>
        <w:tc>
          <w:tcPr>
            <w:tcW w:w="1219" w:type="dxa"/>
            <w:tcBorders>
              <w:top w:val="single" w:sz="4" w:space="0" w:color="auto"/>
              <w:left w:val="single" w:sz="4" w:space="0" w:color="auto"/>
            </w:tcBorders>
            <w:shd w:val="clear" w:color="auto" w:fill="FFFFFF"/>
          </w:tcPr>
          <w:p w14:paraId="240AC03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13</w:t>
            </w:r>
          </w:p>
        </w:tc>
        <w:tc>
          <w:tcPr>
            <w:tcW w:w="1219" w:type="dxa"/>
            <w:tcBorders>
              <w:top w:val="single" w:sz="4" w:space="0" w:color="auto"/>
              <w:left w:val="single" w:sz="4" w:space="0" w:color="auto"/>
            </w:tcBorders>
            <w:shd w:val="clear" w:color="auto" w:fill="FFFFFF"/>
          </w:tcPr>
          <w:p w14:paraId="4B7BA9D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29</w:t>
            </w:r>
          </w:p>
        </w:tc>
        <w:tc>
          <w:tcPr>
            <w:tcW w:w="1219" w:type="dxa"/>
            <w:tcBorders>
              <w:top w:val="single" w:sz="4" w:space="0" w:color="auto"/>
              <w:left w:val="single" w:sz="4" w:space="0" w:color="auto"/>
            </w:tcBorders>
            <w:shd w:val="clear" w:color="auto" w:fill="FFFFFF"/>
          </w:tcPr>
          <w:p w14:paraId="62302E2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88</w:t>
            </w:r>
          </w:p>
        </w:tc>
        <w:tc>
          <w:tcPr>
            <w:tcW w:w="1214" w:type="dxa"/>
            <w:tcBorders>
              <w:top w:val="single" w:sz="4" w:space="0" w:color="auto"/>
              <w:left w:val="single" w:sz="4" w:space="0" w:color="auto"/>
            </w:tcBorders>
            <w:shd w:val="clear" w:color="auto" w:fill="FFFFFF"/>
          </w:tcPr>
          <w:p w14:paraId="6D67176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20</w:t>
            </w:r>
          </w:p>
        </w:tc>
        <w:tc>
          <w:tcPr>
            <w:tcW w:w="1219" w:type="dxa"/>
            <w:tcBorders>
              <w:top w:val="single" w:sz="4" w:space="0" w:color="auto"/>
              <w:left w:val="single" w:sz="4" w:space="0" w:color="auto"/>
            </w:tcBorders>
            <w:shd w:val="clear" w:color="auto" w:fill="FFFFFF"/>
          </w:tcPr>
          <w:p w14:paraId="26F8F18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- 11</w:t>
            </w:r>
          </w:p>
        </w:tc>
        <w:tc>
          <w:tcPr>
            <w:tcW w:w="1214" w:type="dxa"/>
            <w:tcBorders>
              <w:top w:val="single" w:sz="4" w:space="0" w:color="auto"/>
              <w:left w:val="single" w:sz="4" w:space="0" w:color="auto"/>
            </w:tcBorders>
            <w:shd w:val="clear" w:color="auto" w:fill="FFFFFF"/>
          </w:tcPr>
          <w:p w14:paraId="37579E3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9" w:type="dxa"/>
            <w:tcBorders>
              <w:top w:val="single" w:sz="4" w:space="0" w:color="auto"/>
              <w:left w:val="single" w:sz="4" w:space="0" w:color="auto"/>
            </w:tcBorders>
            <w:shd w:val="clear" w:color="auto" w:fill="FFFFFF"/>
          </w:tcPr>
          <w:p w14:paraId="375E793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3E5CA11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41</w:t>
            </w:r>
          </w:p>
        </w:tc>
      </w:tr>
      <w:tr w:rsidR="009338B9" w:rsidRPr="00F90B4C" w14:paraId="6CBE32EC" w14:textId="77777777" w:rsidTr="009338B9">
        <w:trPr>
          <w:jc w:val="center"/>
        </w:trPr>
        <w:tc>
          <w:tcPr>
            <w:tcW w:w="1219" w:type="dxa"/>
            <w:tcBorders>
              <w:top w:val="single" w:sz="4" w:space="0" w:color="auto"/>
              <w:left w:val="single" w:sz="4" w:space="0" w:color="auto"/>
            </w:tcBorders>
            <w:shd w:val="clear" w:color="auto" w:fill="FFFFFF"/>
          </w:tcPr>
          <w:p w14:paraId="3A81D8F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14</w:t>
            </w:r>
          </w:p>
        </w:tc>
        <w:tc>
          <w:tcPr>
            <w:tcW w:w="1219" w:type="dxa"/>
            <w:tcBorders>
              <w:top w:val="single" w:sz="4" w:space="0" w:color="auto"/>
              <w:left w:val="single" w:sz="4" w:space="0" w:color="auto"/>
            </w:tcBorders>
            <w:shd w:val="clear" w:color="auto" w:fill="FFFFFF"/>
          </w:tcPr>
          <w:p w14:paraId="226E082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30</w:t>
            </w:r>
          </w:p>
        </w:tc>
        <w:tc>
          <w:tcPr>
            <w:tcW w:w="1219" w:type="dxa"/>
            <w:tcBorders>
              <w:top w:val="single" w:sz="4" w:space="0" w:color="auto"/>
              <w:left w:val="single" w:sz="4" w:space="0" w:color="auto"/>
            </w:tcBorders>
            <w:shd w:val="clear" w:color="auto" w:fill="FFFFFF"/>
          </w:tcPr>
          <w:p w14:paraId="723A968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63</w:t>
            </w:r>
          </w:p>
        </w:tc>
        <w:tc>
          <w:tcPr>
            <w:tcW w:w="1214" w:type="dxa"/>
            <w:tcBorders>
              <w:top w:val="single" w:sz="4" w:space="0" w:color="auto"/>
              <w:left w:val="single" w:sz="4" w:space="0" w:color="auto"/>
            </w:tcBorders>
            <w:shd w:val="clear" w:color="auto" w:fill="FFFFFF"/>
          </w:tcPr>
          <w:p w14:paraId="4CADB04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w:t>
            </w:r>
          </w:p>
        </w:tc>
        <w:tc>
          <w:tcPr>
            <w:tcW w:w="1219" w:type="dxa"/>
            <w:tcBorders>
              <w:top w:val="single" w:sz="4" w:space="0" w:color="auto"/>
              <w:left w:val="single" w:sz="4" w:space="0" w:color="auto"/>
            </w:tcBorders>
            <w:shd w:val="clear" w:color="auto" w:fill="FFFFFF"/>
          </w:tcPr>
          <w:p w14:paraId="3E4F872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- 10</w:t>
            </w:r>
          </w:p>
        </w:tc>
        <w:tc>
          <w:tcPr>
            <w:tcW w:w="1214" w:type="dxa"/>
            <w:tcBorders>
              <w:top w:val="single" w:sz="4" w:space="0" w:color="auto"/>
              <w:left w:val="single" w:sz="4" w:space="0" w:color="auto"/>
            </w:tcBorders>
            <w:shd w:val="clear" w:color="auto" w:fill="FFFFFF"/>
          </w:tcPr>
          <w:p w14:paraId="0C00BF5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w:t>
            </w:r>
          </w:p>
        </w:tc>
        <w:tc>
          <w:tcPr>
            <w:tcW w:w="1219" w:type="dxa"/>
            <w:tcBorders>
              <w:top w:val="single" w:sz="4" w:space="0" w:color="auto"/>
              <w:left w:val="single" w:sz="4" w:space="0" w:color="auto"/>
            </w:tcBorders>
            <w:shd w:val="clear" w:color="auto" w:fill="FFFFFF"/>
          </w:tcPr>
          <w:p w14:paraId="13B8E36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36F8400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43</w:t>
            </w:r>
          </w:p>
        </w:tc>
      </w:tr>
      <w:tr w:rsidR="009338B9" w:rsidRPr="00F90B4C" w14:paraId="72484451" w14:textId="77777777" w:rsidTr="009338B9">
        <w:trPr>
          <w:jc w:val="center"/>
        </w:trPr>
        <w:tc>
          <w:tcPr>
            <w:tcW w:w="1219" w:type="dxa"/>
            <w:tcBorders>
              <w:top w:val="single" w:sz="4" w:space="0" w:color="auto"/>
              <w:left w:val="single" w:sz="4" w:space="0" w:color="auto"/>
            </w:tcBorders>
            <w:shd w:val="clear" w:color="auto" w:fill="FFFFFF"/>
          </w:tcPr>
          <w:p w14:paraId="57B47FC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15</w:t>
            </w:r>
          </w:p>
        </w:tc>
        <w:tc>
          <w:tcPr>
            <w:tcW w:w="1219" w:type="dxa"/>
            <w:tcBorders>
              <w:top w:val="single" w:sz="4" w:space="0" w:color="auto"/>
              <w:left w:val="single" w:sz="4" w:space="0" w:color="auto"/>
            </w:tcBorders>
            <w:shd w:val="clear" w:color="auto" w:fill="FFFFFF"/>
          </w:tcPr>
          <w:p w14:paraId="4296821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31</w:t>
            </w:r>
          </w:p>
        </w:tc>
        <w:tc>
          <w:tcPr>
            <w:tcW w:w="1219" w:type="dxa"/>
            <w:tcBorders>
              <w:top w:val="single" w:sz="4" w:space="0" w:color="auto"/>
              <w:left w:val="single" w:sz="4" w:space="0" w:color="auto"/>
            </w:tcBorders>
            <w:shd w:val="clear" w:color="auto" w:fill="FFFFFF"/>
          </w:tcPr>
          <w:p w14:paraId="230A21F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39</w:t>
            </w:r>
          </w:p>
        </w:tc>
        <w:tc>
          <w:tcPr>
            <w:tcW w:w="1214" w:type="dxa"/>
            <w:tcBorders>
              <w:top w:val="single" w:sz="4" w:space="0" w:color="auto"/>
              <w:left w:val="single" w:sz="4" w:space="0" w:color="auto"/>
            </w:tcBorders>
            <w:shd w:val="clear" w:color="auto" w:fill="FFFFFF"/>
          </w:tcPr>
          <w:p w14:paraId="56C610F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w:t>
            </w:r>
          </w:p>
        </w:tc>
        <w:tc>
          <w:tcPr>
            <w:tcW w:w="1219" w:type="dxa"/>
            <w:tcBorders>
              <w:top w:val="single" w:sz="4" w:space="0" w:color="auto"/>
              <w:left w:val="single" w:sz="4" w:space="0" w:color="auto"/>
            </w:tcBorders>
            <w:shd w:val="clear" w:color="auto" w:fill="FFFFFF"/>
          </w:tcPr>
          <w:p w14:paraId="0785C6D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- 9</w:t>
            </w:r>
          </w:p>
        </w:tc>
        <w:tc>
          <w:tcPr>
            <w:tcW w:w="1214" w:type="dxa"/>
            <w:tcBorders>
              <w:top w:val="single" w:sz="4" w:space="0" w:color="auto"/>
              <w:left w:val="single" w:sz="4" w:space="0" w:color="auto"/>
            </w:tcBorders>
            <w:shd w:val="clear" w:color="auto" w:fill="FFFFFF"/>
          </w:tcPr>
          <w:p w14:paraId="3229402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25</w:t>
            </w:r>
          </w:p>
        </w:tc>
        <w:tc>
          <w:tcPr>
            <w:tcW w:w="1219" w:type="dxa"/>
            <w:tcBorders>
              <w:top w:val="single" w:sz="4" w:space="0" w:color="auto"/>
              <w:left w:val="single" w:sz="4" w:space="0" w:color="auto"/>
            </w:tcBorders>
            <w:shd w:val="clear" w:color="auto" w:fill="FFFFFF"/>
          </w:tcPr>
          <w:p w14:paraId="738E03A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2A2F43C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54</w:t>
            </w:r>
          </w:p>
        </w:tc>
      </w:tr>
      <w:tr w:rsidR="009338B9" w:rsidRPr="00F90B4C" w14:paraId="38DF77B3" w14:textId="77777777" w:rsidTr="009338B9">
        <w:trPr>
          <w:jc w:val="center"/>
        </w:trPr>
        <w:tc>
          <w:tcPr>
            <w:tcW w:w="1219" w:type="dxa"/>
            <w:tcBorders>
              <w:top w:val="single" w:sz="4" w:space="0" w:color="auto"/>
              <w:left w:val="single" w:sz="4" w:space="0" w:color="auto"/>
            </w:tcBorders>
            <w:shd w:val="clear" w:color="auto" w:fill="FFFFFF"/>
          </w:tcPr>
          <w:p w14:paraId="5971D08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16</w:t>
            </w:r>
          </w:p>
        </w:tc>
        <w:tc>
          <w:tcPr>
            <w:tcW w:w="1219" w:type="dxa"/>
            <w:tcBorders>
              <w:top w:val="single" w:sz="4" w:space="0" w:color="auto"/>
              <w:left w:val="single" w:sz="4" w:space="0" w:color="auto"/>
            </w:tcBorders>
            <w:shd w:val="clear" w:color="auto" w:fill="FFFFFF"/>
          </w:tcPr>
          <w:p w14:paraId="7E58F97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32</w:t>
            </w:r>
          </w:p>
        </w:tc>
        <w:tc>
          <w:tcPr>
            <w:tcW w:w="1219" w:type="dxa"/>
            <w:tcBorders>
              <w:top w:val="single" w:sz="4" w:space="0" w:color="auto"/>
              <w:left w:val="single" w:sz="4" w:space="0" w:color="auto"/>
            </w:tcBorders>
            <w:shd w:val="clear" w:color="auto" w:fill="FFFFFF"/>
          </w:tcPr>
          <w:p w14:paraId="36666BA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31</w:t>
            </w:r>
          </w:p>
        </w:tc>
        <w:tc>
          <w:tcPr>
            <w:tcW w:w="1214" w:type="dxa"/>
            <w:tcBorders>
              <w:top w:val="single" w:sz="4" w:space="0" w:color="auto"/>
              <w:left w:val="single" w:sz="4" w:space="0" w:color="auto"/>
            </w:tcBorders>
            <w:shd w:val="clear" w:color="auto" w:fill="FFFFFF"/>
          </w:tcPr>
          <w:p w14:paraId="123D76A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23</w:t>
            </w:r>
          </w:p>
        </w:tc>
        <w:tc>
          <w:tcPr>
            <w:tcW w:w="1219" w:type="dxa"/>
            <w:tcBorders>
              <w:top w:val="single" w:sz="4" w:space="0" w:color="auto"/>
              <w:left w:val="single" w:sz="4" w:space="0" w:color="auto"/>
            </w:tcBorders>
            <w:shd w:val="clear" w:color="auto" w:fill="FFFFFF"/>
          </w:tcPr>
          <w:p w14:paraId="5AFCF3D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- 8</w:t>
            </w:r>
          </w:p>
        </w:tc>
        <w:tc>
          <w:tcPr>
            <w:tcW w:w="1214" w:type="dxa"/>
            <w:tcBorders>
              <w:top w:val="single" w:sz="4" w:space="0" w:color="auto"/>
              <w:left w:val="single" w:sz="4" w:space="0" w:color="auto"/>
            </w:tcBorders>
            <w:shd w:val="clear" w:color="auto" w:fill="FFFFFF"/>
          </w:tcPr>
          <w:p w14:paraId="3522D0B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23</w:t>
            </w:r>
          </w:p>
        </w:tc>
        <w:tc>
          <w:tcPr>
            <w:tcW w:w="1219" w:type="dxa"/>
            <w:tcBorders>
              <w:top w:val="single" w:sz="4" w:space="0" w:color="auto"/>
              <w:left w:val="single" w:sz="4" w:space="0" w:color="auto"/>
            </w:tcBorders>
            <w:shd w:val="clear" w:color="auto" w:fill="FFFFFF"/>
          </w:tcPr>
          <w:p w14:paraId="13AE38B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1DC20FA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90</w:t>
            </w:r>
          </w:p>
        </w:tc>
      </w:tr>
      <w:tr w:rsidR="009338B9" w:rsidRPr="00F90B4C" w14:paraId="5E8814C6" w14:textId="77777777" w:rsidTr="009338B9">
        <w:trPr>
          <w:jc w:val="center"/>
        </w:trPr>
        <w:tc>
          <w:tcPr>
            <w:tcW w:w="1219" w:type="dxa"/>
            <w:tcBorders>
              <w:top w:val="single" w:sz="4" w:space="0" w:color="auto"/>
              <w:left w:val="single" w:sz="4" w:space="0" w:color="auto"/>
            </w:tcBorders>
            <w:shd w:val="clear" w:color="auto" w:fill="FFFFFF"/>
          </w:tcPr>
          <w:p w14:paraId="6FFFD56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w:t>
            </w:r>
          </w:p>
        </w:tc>
        <w:tc>
          <w:tcPr>
            <w:tcW w:w="1219" w:type="dxa"/>
            <w:tcBorders>
              <w:top w:val="single" w:sz="4" w:space="0" w:color="auto"/>
              <w:left w:val="single" w:sz="4" w:space="0" w:color="auto"/>
            </w:tcBorders>
            <w:shd w:val="clear" w:color="auto" w:fill="FFFFFF"/>
          </w:tcPr>
          <w:p w14:paraId="44ABE12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33</w:t>
            </w:r>
          </w:p>
        </w:tc>
        <w:tc>
          <w:tcPr>
            <w:tcW w:w="1219" w:type="dxa"/>
            <w:tcBorders>
              <w:top w:val="single" w:sz="4" w:space="0" w:color="auto"/>
              <w:left w:val="single" w:sz="4" w:space="0" w:color="auto"/>
            </w:tcBorders>
            <w:shd w:val="clear" w:color="auto" w:fill="FFFFFF"/>
          </w:tcPr>
          <w:p w14:paraId="10E8BF1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w:t>
            </w:r>
          </w:p>
        </w:tc>
        <w:tc>
          <w:tcPr>
            <w:tcW w:w="1214" w:type="dxa"/>
            <w:tcBorders>
              <w:top w:val="single" w:sz="4" w:space="0" w:color="auto"/>
              <w:left w:val="single" w:sz="4" w:space="0" w:color="auto"/>
            </w:tcBorders>
            <w:shd w:val="clear" w:color="auto" w:fill="FFFFFF"/>
          </w:tcPr>
          <w:p w14:paraId="4BF7210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w:t>
            </w:r>
          </w:p>
        </w:tc>
        <w:tc>
          <w:tcPr>
            <w:tcW w:w="1219" w:type="dxa"/>
            <w:tcBorders>
              <w:top w:val="single" w:sz="4" w:space="0" w:color="auto"/>
              <w:left w:val="single" w:sz="4" w:space="0" w:color="auto"/>
            </w:tcBorders>
            <w:shd w:val="clear" w:color="auto" w:fill="FFFFFF"/>
          </w:tcPr>
          <w:p w14:paraId="62BBF82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- 7</w:t>
            </w:r>
          </w:p>
        </w:tc>
        <w:tc>
          <w:tcPr>
            <w:tcW w:w="1214" w:type="dxa"/>
            <w:tcBorders>
              <w:top w:val="single" w:sz="4" w:space="0" w:color="auto"/>
              <w:left w:val="single" w:sz="4" w:space="0" w:color="auto"/>
            </w:tcBorders>
            <w:shd w:val="clear" w:color="auto" w:fill="FFFFFF"/>
          </w:tcPr>
          <w:p w14:paraId="602C5A8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w:t>
            </w:r>
          </w:p>
        </w:tc>
        <w:tc>
          <w:tcPr>
            <w:tcW w:w="1219" w:type="dxa"/>
            <w:tcBorders>
              <w:top w:val="single" w:sz="4" w:space="0" w:color="auto"/>
              <w:left w:val="single" w:sz="4" w:space="0" w:color="auto"/>
            </w:tcBorders>
            <w:shd w:val="clear" w:color="auto" w:fill="FFFFFF"/>
          </w:tcPr>
          <w:p w14:paraId="209A66E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5E6B898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125</w:t>
            </w:r>
          </w:p>
        </w:tc>
      </w:tr>
      <w:tr w:rsidR="009338B9" w:rsidRPr="00F90B4C" w14:paraId="30E77571" w14:textId="77777777" w:rsidTr="009338B9">
        <w:trPr>
          <w:jc w:val="center"/>
        </w:trPr>
        <w:tc>
          <w:tcPr>
            <w:tcW w:w="1219" w:type="dxa"/>
            <w:tcBorders>
              <w:top w:val="single" w:sz="4" w:space="0" w:color="auto"/>
              <w:left w:val="single" w:sz="4" w:space="0" w:color="auto"/>
            </w:tcBorders>
            <w:shd w:val="clear" w:color="auto" w:fill="FFFFFF"/>
          </w:tcPr>
          <w:p w14:paraId="2591DF2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18</w:t>
            </w:r>
          </w:p>
        </w:tc>
        <w:tc>
          <w:tcPr>
            <w:tcW w:w="1219" w:type="dxa"/>
            <w:tcBorders>
              <w:top w:val="single" w:sz="4" w:space="0" w:color="auto"/>
              <w:left w:val="single" w:sz="4" w:space="0" w:color="auto"/>
            </w:tcBorders>
            <w:shd w:val="clear" w:color="auto" w:fill="FFFFFF"/>
          </w:tcPr>
          <w:p w14:paraId="6829976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34</w:t>
            </w:r>
          </w:p>
        </w:tc>
        <w:tc>
          <w:tcPr>
            <w:tcW w:w="1219" w:type="dxa"/>
            <w:tcBorders>
              <w:top w:val="single" w:sz="4" w:space="0" w:color="auto"/>
              <w:left w:val="single" w:sz="4" w:space="0" w:color="auto"/>
            </w:tcBorders>
            <w:shd w:val="clear" w:color="auto" w:fill="FFFFFF"/>
          </w:tcPr>
          <w:p w14:paraId="1EA14C6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w:t>
            </w:r>
          </w:p>
        </w:tc>
        <w:tc>
          <w:tcPr>
            <w:tcW w:w="1214" w:type="dxa"/>
            <w:tcBorders>
              <w:top w:val="single" w:sz="4" w:space="0" w:color="auto"/>
              <w:left w:val="single" w:sz="4" w:space="0" w:color="auto"/>
            </w:tcBorders>
            <w:shd w:val="clear" w:color="auto" w:fill="FFFFFF"/>
          </w:tcPr>
          <w:p w14:paraId="2CFC5E3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25</w:t>
            </w:r>
          </w:p>
        </w:tc>
        <w:tc>
          <w:tcPr>
            <w:tcW w:w="1219" w:type="dxa"/>
            <w:tcBorders>
              <w:top w:val="single" w:sz="4" w:space="0" w:color="auto"/>
              <w:left w:val="single" w:sz="4" w:space="0" w:color="auto"/>
            </w:tcBorders>
            <w:shd w:val="clear" w:color="auto" w:fill="FFFFFF"/>
          </w:tcPr>
          <w:p w14:paraId="68B80FB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- 6</w:t>
            </w:r>
          </w:p>
        </w:tc>
        <w:tc>
          <w:tcPr>
            <w:tcW w:w="1214" w:type="dxa"/>
            <w:tcBorders>
              <w:top w:val="single" w:sz="4" w:space="0" w:color="auto"/>
              <w:left w:val="single" w:sz="4" w:space="0" w:color="auto"/>
            </w:tcBorders>
            <w:shd w:val="clear" w:color="auto" w:fill="FFFFFF"/>
          </w:tcPr>
          <w:p w14:paraId="783EE8B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27</w:t>
            </w:r>
          </w:p>
        </w:tc>
        <w:tc>
          <w:tcPr>
            <w:tcW w:w="1219" w:type="dxa"/>
            <w:tcBorders>
              <w:top w:val="single" w:sz="4" w:space="0" w:color="auto"/>
              <w:left w:val="single" w:sz="4" w:space="0" w:color="auto"/>
            </w:tcBorders>
            <w:shd w:val="clear" w:color="auto" w:fill="FFFFFF"/>
          </w:tcPr>
          <w:p w14:paraId="2072B88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6C1D08C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169</w:t>
            </w:r>
          </w:p>
        </w:tc>
      </w:tr>
      <w:tr w:rsidR="009338B9" w:rsidRPr="00F90B4C" w14:paraId="2B85B157" w14:textId="77777777" w:rsidTr="009338B9">
        <w:trPr>
          <w:jc w:val="center"/>
        </w:trPr>
        <w:tc>
          <w:tcPr>
            <w:tcW w:w="1219" w:type="dxa"/>
            <w:tcBorders>
              <w:top w:val="single" w:sz="4" w:space="0" w:color="auto"/>
              <w:left w:val="single" w:sz="4" w:space="0" w:color="auto"/>
            </w:tcBorders>
            <w:shd w:val="clear" w:color="auto" w:fill="FFFFFF"/>
          </w:tcPr>
          <w:p w14:paraId="3A91494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w:t>
            </w:r>
          </w:p>
        </w:tc>
        <w:tc>
          <w:tcPr>
            <w:tcW w:w="1219" w:type="dxa"/>
            <w:tcBorders>
              <w:top w:val="single" w:sz="4" w:space="0" w:color="auto"/>
              <w:left w:val="single" w:sz="4" w:space="0" w:color="auto"/>
            </w:tcBorders>
            <w:shd w:val="clear" w:color="auto" w:fill="FFFFFF"/>
          </w:tcPr>
          <w:p w14:paraId="72B5828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35</w:t>
            </w:r>
          </w:p>
        </w:tc>
        <w:tc>
          <w:tcPr>
            <w:tcW w:w="1219" w:type="dxa"/>
            <w:tcBorders>
              <w:top w:val="single" w:sz="4" w:space="0" w:color="auto"/>
              <w:left w:val="single" w:sz="4" w:space="0" w:color="auto"/>
            </w:tcBorders>
            <w:shd w:val="clear" w:color="auto" w:fill="FFFFFF"/>
          </w:tcPr>
          <w:p w14:paraId="385D95C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13</w:t>
            </w:r>
          </w:p>
        </w:tc>
        <w:tc>
          <w:tcPr>
            <w:tcW w:w="1214" w:type="dxa"/>
            <w:tcBorders>
              <w:top w:val="single" w:sz="4" w:space="0" w:color="auto"/>
              <w:left w:val="single" w:sz="4" w:space="0" w:color="auto"/>
            </w:tcBorders>
            <w:shd w:val="clear" w:color="auto" w:fill="FFFFFF"/>
          </w:tcPr>
          <w:p w14:paraId="79474B8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26</w:t>
            </w:r>
          </w:p>
        </w:tc>
        <w:tc>
          <w:tcPr>
            <w:tcW w:w="1219" w:type="dxa"/>
            <w:tcBorders>
              <w:top w:val="single" w:sz="4" w:space="0" w:color="auto"/>
              <w:left w:val="single" w:sz="4" w:space="0" w:color="auto"/>
            </w:tcBorders>
            <w:shd w:val="clear" w:color="auto" w:fill="FFFFFF"/>
          </w:tcPr>
          <w:p w14:paraId="3F2882C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- 5</w:t>
            </w:r>
          </w:p>
        </w:tc>
        <w:tc>
          <w:tcPr>
            <w:tcW w:w="1214" w:type="dxa"/>
            <w:tcBorders>
              <w:top w:val="single" w:sz="4" w:space="0" w:color="auto"/>
              <w:left w:val="single" w:sz="4" w:space="0" w:color="auto"/>
            </w:tcBorders>
            <w:shd w:val="clear" w:color="auto" w:fill="FFFFFF"/>
          </w:tcPr>
          <w:p w14:paraId="102D1FB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68</w:t>
            </w:r>
          </w:p>
        </w:tc>
        <w:tc>
          <w:tcPr>
            <w:tcW w:w="1219" w:type="dxa"/>
            <w:tcBorders>
              <w:top w:val="single" w:sz="4" w:space="0" w:color="auto"/>
              <w:left w:val="single" w:sz="4" w:space="0" w:color="auto"/>
            </w:tcBorders>
            <w:shd w:val="clear" w:color="auto" w:fill="FFFFFF"/>
          </w:tcPr>
          <w:p w14:paraId="2E26CE7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21CC091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195</w:t>
            </w:r>
          </w:p>
        </w:tc>
      </w:tr>
      <w:tr w:rsidR="009338B9" w:rsidRPr="00F90B4C" w14:paraId="0A1D2C02" w14:textId="77777777" w:rsidTr="009338B9">
        <w:trPr>
          <w:jc w:val="center"/>
        </w:trPr>
        <w:tc>
          <w:tcPr>
            <w:tcW w:w="1219" w:type="dxa"/>
            <w:tcBorders>
              <w:top w:val="single" w:sz="4" w:space="0" w:color="auto"/>
              <w:left w:val="single" w:sz="4" w:space="0" w:color="auto"/>
            </w:tcBorders>
            <w:shd w:val="clear" w:color="auto" w:fill="FFFFFF"/>
          </w:tcPr>
          <w:p w14:paraId="42F1255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20</w:t>
            </w:r>
          </w:p>
        </w:tc>
        <w:tc>
          <w:tcPr>
            <w:tcW w:w="1219" w:type="dxa"/>
            <w:tcBorders>
              <w:top w:val="single" w:sz="4" w:space="0" w:color="auto"/>
              <w:left w:val="single" w:sz="4" w:space="0" w:color="auto"/>
            </w:tcBorders>
            <w:shd w:val="clear" w:color="auto" w:fill="FFFFFF"/>
          </w:tcPr>
          <w:p w14:paraId="3832EA3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36</w:t>
            </w:r>
          </w:p>
        </w:tc>
        <w:tc>
          <w:tcPr>
            <w:tcW w:w="1219" w:type="dxa"/>
            <w:tcBorders>
              <w:top w:val="single" w:sz="4" w:space="0" w:color="auto"/>
              <w:left w:val="single" w:sz="4" w:space="0" w:color="auto"/>
            </w:tcBorders>
            <w:shd w:val="clear" w:color="auto" w:fill="FFFFFF"/>
          </w:tcPr>
          <w:p w14:paraId="1450889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w:t>
            </w:r>
          </w:p>
        </w:tc>
        <w:tc>
          <w:tcPr>
            <w:tcW w:w="1214" w:type="dxa"/>
            <w:tcBorders>
              <w:top w:val="single" w:sz="4" w:space="0" w:color="auto"/>
              <w:left w:val="single" w:sz="4" w:space="0" w:color="auto"/>
            </w:tcBorders>
            <w:shd w:val="clear" w:color="auto" w:fill="FFFFFF"/>
          </w:tcPr>
          <w:p w14:paraId="7093DFD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27</w:t>
            </w:r>
          </w:p>
        </w:tc>
        <w:tc>
          <w:tcPr>
            <w:tcW w:w="1219" w:type="dxa"/>
            <w:tcBorders>
              <w:top w:val="single" w:sz="4" w:space="0" w:color="auto"/>
              <w:left w:val="single" w:sz="4" w:space="0" w:color="auto"/>
            </w:tcBorders>
            <w:shd w:val="clear" w:color="auto" w:fill="FFFFFF"/>
          </w:tcPr>
          <w:p w14:paraId="73FE372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- 4</w:t>
            </w:r>
          </w:p>
        </w:tc>
        <w:tc>
          <w:tcPr>
            <w:tcW w:w="1214" w:type="dxa"/>
            <w:tcBorders>
              <w:top w:val="single" w:sz="4" w:space="0" w:color="auto"/>
              <w:left w:val="single" w:sz="4" w:space="0" w:color="auto"/>
            </w:tcBorders>
            <w:shd w:val="clear" w:color="auto" w:fill="FFFFFF"/>
          </w:tcPr>
          <w:p w14:paraId="7A96D87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91</w:t>
            </w:r>
          </w:p>
        </w:tc>
        <w:tc>
          <w:tcPr>
            <w:tcW w:w="1219" w:type="dxa"/>
            <w:tcBorders>
              <w:top w:val="single" w:sz="4" w:space="0" w:color="auto"/>
              <w:left w:val="single" w:sz="4" w:space="0" w:color="auto"/>
            </w:tcBorders>
            <w:shd w:val="clear" w:color="auto" w:fill="FFFFFF"/>
          </w:tcPr>
          <w:p w14:paraId="07FB2C7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49E5A5F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278</w:t>
            </w:r>
          </w:p>
        </w:tc>
      </w:tr>
      <w:tr w:rsidR="009338B9" w:rsidRPr="00F90B4C" w14:paraId="3444E6CE" w14:textId="77777777" w:rsidTr="009338B9">
        <w:trPr>
          <w:jc w:val="center"/>
        </w:trPr>
        <w:tc>
          <w:tcPr>
            <w:tcW w:w="1219" w:type="dxa"/>
            <w:tcBorders>
              <w:top w:val="single" w:sz="4" w:space="0" w:color="auto"/>
              <w:left w:val="single" w:sz="4" w:space="0" w:color="auto"/>
            </w:tcBorders>
            <w:shd w:val="clear" w:color="auto" w:fill="FFFFFF"/>
          </w:tcPr>
          <w:p w14:paraId="1C2E077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w:t>
            </w:r>
          </w:p>
        </w:tc>
        <w:tc>
          <w:tcPr>
            <w:tcW w:w="1219" w:type="dxa"/>
            <w:tcBorders>
              <w:top w:val="single" w:sz="4" w:space="0" w:color="auto"/>
              <w:left w:val="single" w:sz="4" w:space="0" w:color="auto"/>
            </w:tcBorders>
            <w:shd w:val="clear" w:color="auto" w:fill="FFFFFF"/>
          </w:tcPr>
          <w:p w14:paraId="2CE0552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37</w:t>
            </w:r>
          </w:p>
        </w:tc>
        <w:tc>
          <w:tcPr>
            <w:tcW w:w="1219" w:type="dxa"/>
            <w:tcBorders>
              <w:top w:val="single" w:sz="4" w:space="0" w:color="auto"/>
              <w:left w:val="single" w:sz="4" w:space="0" w:color="auto"/>
            </w:tcBorders>
            <w:shd w:val="clear" w:color="auto" w:fill="FFFFFF"/>
          </w:tcPr>
          <w:p w14:paraId="3530014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w:t>
            </w:r>
          </w:p>
        </w:tc>
        <w:tc>
          <w:tcPr>
            <w:tcW w:w="1214" w:type="dxa"/>
            <w:tcBorders>
              <w:top w:val="single" w:sz="4" w:space="0" w:color="auto"/>
              <w:left w:val="single" w:sz="4" w:space="0" w:color="auto"/>
            </w:tcBorders>
            <w:shd w:val="clear" w:color="auto" w:fill="FFFFFF"/>
          </w:tcPr>
          <w:p w14:paraId="0DAEC70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28</w:t>
            </w:r>
          </w:p>
        </w:tc>
        <w:tc>
          <w:tcPr>
            <w:tcW w:w="1219" w:type="dxa"/>
            <w:tcBorders>
              <w:top w:val="single" w:sz="4" w:space="0" w:color="auto"/>
              <w:left w:val="single" w:sz="4" w:space="0" w:color="auto"/>
            </w:tcBorders>
            <w:shd w:val="clear" w:color="auto" w:fill="FFFFFF"/>
          </w:tcPr>
          <w:p w14:paraId="0516528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- 3</w:t>
            </w:r>
          </w:p>
        </w:tc>
        <w:tc>
          <w:tcPr>
            <w:tcW w:w="1214" w:type="dxa"/>
            <w:tcBorders>
              <w:top w:val="single" w:sz="4" w:space="0" w:color="auto"/>
              <w:left w:val="single" w:sz="4" w:space="0" w:color="auto"/>
            </w:tcBorders>
            <w:shd w:val="clear" w:color="auto" w:fill="FFFFFF"/>
          </w:tcPr>
          <w:p w14:paraId="4467D51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89</w:t>
            </w:r>
          </w:p>
        </w:tc>
        <w:tc>
          <w:tcPr>
            <w:tcW w:w="1219" w:type="dxa"/>
            <w:tcBorders>
              <w:top w:val="single" w:sz="4" w:space="0" w:color="auto"/>
              <w:left w:val="single" w:sz="4" w:space="0" w:color="auto"/>
            </w:tcBorders>
            <w:shd w:val="clear" w:color="auto" w:fill="FFFFFF"/>
          </w:tcPr>
          <w:p w14:paraId="5E67807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43B93C2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306</w:t>
            </w:r>
          </w:p>
        </w:tc>
      </w:tr>
      <w:tr w:rsidR="009338B9" w:rsidRPr="00F90B4C" w14:paraId="413D1A3C" w14:textId="77777777" w:rsidTr="009338B9">
        <w:trPr>
          <w:jc w:val="center"/>
        </w:trPr>
        <w:tc>
          <w:tcPr>
            <w:tcW w:w="1219" w:type="dxa"/>
            <w:tcBorders>
              <w:top w:val="single" w:sz="4" w:space="0" w:color="auto"/>
              <w:left w:val="single" w:sz="4" w:space="0" w:color="auto"/>
              <w:bottom w:val="single" w:sz="4" w:space="0" w:color="auto"/>
            </w:tcBorders>
            <w:shd w:val="clear" w:color="auto" w:fill="FFFFFF"/>
          </w:tcPr>
          <w:p w14:paraId="5257296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w:t>
            </w:r>
          </w:p>
        </w:tc>
        <w:tc>
          <w:tcPr>
            <w:tcW w:w="1219" w:type="dxa"/>
            <w:tcBorders>
              <w:top w:val="single" w:sz="4" w:space="0" w:color="auto"/>
              <w:left w:val="single" w:sz="4" w:space="0" w:color="auto"/>
              <w:bottom w:val="single" w:sz="4" w:space="0" w:color="auto"/>
            </w:tcBorders>
            <w:shd w:val="clear" w:color="auto" w:fill="FFFFFF"/>
          </w:tcPr>
          <w:p w14:paraId="74DB3F1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38</w:t>
            </w:r>
          </w:p>
        </w:tc>
        <w:tc>
          <w:tcPr>
            <w:tcW w:w="1219" w:type="dxa"/>
            <w:tcBorders>
              <w:top w:val="single" w:sz="4" w:space="0" w:color="auto"/>
              <w:left w:val="single" w:sz="4" w:space="0" w:color="auto"/>
              <w:bottom w:val="single" w:sz="4" w:space="0" w:color="auto"/>
            </w:tcBorders>
            <w:shd w:val="clear" w:color="auto" w:fill="FFFFFF"/>
          </w:tcPr>
          <w:p w14:paraId="1A10087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w:t>
            </w:r>
          </w:p>
        </w:tc>
        <w:tc>
          <w:tcPr>
            <w:tcW w:w="1214" w:type="dxa"/>
            <w:tcBorders>
              <w:top w:val="single" w:sz="4" w:space="0" w:color="auto"/>
              <w:left w:val="single" w:sz="4" w:space="0" w:color="auto"/>
              <w:bottom w:val="single" w:sz="4" w:space="0" w:color="auto"/>
            </w:tcBorders>
            <w:shd w:val="clear" w:color="auto" w:fill="FFFFFF"/>
          </w:tcPr>
          <w:p w14:paraId="742145D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29</w:t>
            </w:r>
          </w:p>
        </w:tc>
        <w:tc>
          <w:tcPr>
            <w:tcW w:w="1219" w:type="dxa"/>
            <w:tcBorders>
              <w:top w:val="single" w:sz="4" w:space="0" w:color="auto"/>
              <w:left w:val="single" w:sz="4" w:space="0" w:color="auto"/>
              <w:bottom w:val="single" w:sz="4" w:space="0" w:color="auto"/>
            </w:tcBorders>
            <w:shd w:val="clear" w:color="auto" w:fill="FFFFFF"/>
          </w:tcPr>
          <w:p w14:paraId="3B816B6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- 2</w:t>
            </w:r>
          </w:p>
        </w:tc>
        <w:tc>
          <w:tcPr>
            <w:tcW w:w="1214" w:type="dxa"/>
            <w:tcBorders>
              <w:top w:val="single" w:sz="4" w:space="0" w:color="auto"/>
              <w:left w:val="single" w:sz="4" w:space="0" w:color="auto"/>
              <w:bottom w:val="single" w:sz="4" w:space="0" w:color="auto"/>
            </w:tcBorders>
            <w:shd w:val="clear" w:color="auto" w:fill="FFFFFF"/>
          </w:tcPr>
          <w:p w14:paraId="6F0212A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165</w:t>
            </w:r>
          </w:p>
        </w:tc>
        <w:tc>
          <w:tcPr>
            <w:tcW w:w="1219" w:type="dxa"/>
            <w:tcBorders>
              <w:top w:val="single" w:sz="4" w:space="0" w:color="auto"/>
              <w:left w:val="single" w:sz="4" w:space="0" w:color="auto"/>
              <w:bottom w:val="single" w:sz="4" w:space="0" w:color="auto"/>
            </w:tcBorders>
            <w:shd w:val="clear" w:color="auto" w:fill="FFFFFF"/>
          </w:tcPr>
          <w:p w14:paraId="3D9362E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14:paraId="5A45C25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454</w:t>
            </w:r>
          </w:p>
        </w:tc>
      </w:tr>
      <w:tr w:rsidR="009338B9" w:rsidRPr="00F90B4C" w14:paraId="521B7F19" w14:textId="77777777" w:rsidTr="009338B9">
        <w:trPr>
          <w:jc w:val="center"/>
        </w:trPr>
        <w:tc>
          <w:tcPr>
            <w:tcW w:w="1219" w:type="dxa"/>
            <w:tcBorders>
              <w:top w:val="single" w:sz="4" w:space="0" w:color="auto"/>
              <w:left w:val="single" w:sz="4" w:space="0" w:color="auto"/>
            </w:tcBorders>
            <w:shd w:val="clear" w:color="auto" w:fill="FFFFFF"/>
          </w:tcPr>
          <w:p w14:paraId="6024441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23</w:t>
            </w:r>
          </w:p>
        </w:tc>
        <w:tc>
          <w:tcPr>
            <w:tcW w:w="1219" w:type="dxa"/>
            <w:tcBorders>
              <w:top w:val="single" w:sz="4" w:space="0" w:color="auto"/>
              <w:left w:val="single" w:sz="4" w:space="0" w:color="auto"/>
            </w:tcBorders>
            <w:shd w:val="clear" w:color="auto" w:fill="FFFFFF"/>
          </w:tcPr>
          <w:p w14:paraId="6A550D7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39</w:t>
            </w:r>
          </w:p>
        </w:tc>
        <w:tc>
          <w:tcPr>
            <w:tcW w:w="1219" w:type="dxa"/>
            <w:tcBorders>
              <w:top w:val="single" w:sz="4" w:space="0" w:color="auto"/>
              <w:left w:val="single" w:sz="4" w:space="0" w:color="auto"/>
            </w:tcBorders>
            <w:shd w:val="clear" w:color="auto" w:fill="FFFFFF"/>
          </w:tcPr>
          <w:p w14:paraId="5BF218F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w:t>
            </w:r>
          </w:p>
        </w:tc>
        <w:tc>
          <w:tcPr>
            <w:tcW w:w="1214" w:type="dxa"/>
            <w:tcBorders>
              <w:top w:val="single" w:sz="4" w:space="0" w:color="auto"/>
              <w:left w:val="single" w:sz="4" w:space="0" w:color="auto"/>
            </w:tcBorders>
            <w:shd w:val="clear" w:color="auto" w:fill="FFFFFF"/>
          </w:tcPr>
          <w:p w14:paraId="71B3D4C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30</w:t>
            </w:r>
          </w:p>
        </w:tc>
        <w:tc>
          <w:tcPr>
            <w:tcW w:w="1219" w:type="dxa"/>
            <w:tcBorders>
              <w:top w:val="single" w:sz="4" w:space="0" w:color="auto"/>
              <w:left w:val="single" w:sz="4" w:space="0" w:color="auto"/>
            </w:tcBorders>
            <w:shd w:val="clear" w:color="auto" w:fill="FFFFFF"/>
          </w:tcPr>
          <w:p w14:paraId="1AF6C07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- 1</w:t>
            </w:r>
          </w:p>
        </w:tc>
        <w:tc>
          <w:tcPr>
            <w:tcW w:w="1214" w:type="dxa"/>
            <w:tcBorders>
              <w:top w:val="single" w:sz="4" w:space="0" w:color="auto"/>
              <w:left w:val="single" w:sz="4" w:space="0" w:color="auto"/>
            </w:tcBorders>
            <w:shd w:val="clear" w:color="auto" w:fill="FFFFFF"/>
          </w:tcPr>
          <w:p w14:paraId="07427DE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173</w:t>
            </w:r>
          </w:p>
        </w:tc>
        <w:tc>
          <w:tcPr>
            <w:tcW w:w="1219" w:type="dxa"/>
            <w:tcBorders>
              <w:top w:val="single" w:sz="4" w:space="0" w:color="auto"/>
              <w:left w:val="single" w:sz="4" w:space="0" w:color="auto"/>
            </w:tcBorders>
            <w:shd w:val="clear" w:color="auto" w:fill="FFFFFF"/>
          </w:tcPr>
          <w:p w14:paraId="1CE4FD9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17E1F25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385</w:t>
            </w:r>
          </w:p>
        </w:tc>
      </w:tr>
      <w:tr w:rsidR="009338B9" w:rsidRPr="00F90B4C" w14:paraId="6651C397" w14:textId="77777777" w:rsidTr="009338B9">
        <w:trPr>
          <w:jc w:val="center"/>
        </w:trPr>
        <w:tc>
          <w:tcPr>
            <w:tcW w:w="1219" w:type="dxa"/>
            <w:tcBorders>
              <w:top w:val="single" w:sz="4" w:space="0" w:color="auto"/>
              <w:left w:val="single" w:sz="4" w:space="0" w:color="auto"/>
            </w:tcBorders>
            <w:shd w:val="clear" w:color="auto" w:fill="FFFFFF"/>
          </w:tcPr>
          <w:p w14:paraId="03E7CD7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w:t>
            </w:r>
          </w:p>
        </w:tc>
        <w:tc>
          <w:tcPr>
            <w:tcW w:w="1219" w:type="dxa"/>
            <w:tcBorders>
              <w:top w:val="single" w:sz="4" w:space="0" w:color="auto"/>
              <w:left w:val="single" w:sz="4" w:space="0" w:color="auto"/>
            </w:tcBorders>
            <w:shd w:val="clear" w:color="auto" w:fill="FFFFFF"/>
          </w:tcPr>
          <w:p w14:paraId="6EC1C02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40</w:t>
            </w:r>
          </w:p>
        </w:tc>
        <w:tc>
          <w:tcPr>
            <w:tcW w:w="1219" w:type="dxa"/>
            <w:tcBorders>
              <w:top w:val="single" w:sz="4" w:space="0" w:color="auto"/>
              <w:left w:val="single" w:sz="4" w:space="0" w:color="auto"/>
            </w:tcBorders>
            <w:shd w:val="clear" w:color="auto" w:fill="FFFFFF"/>
          </w:tcPr>
          <w:p w14:paraId="19F51F9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4" w:type="dxa"/>
            <w:tcBorders>
              <w:top w:val="single" w:sz="4" w:space="0" w:color="auto"/>
              <w:left w:val="single" w:sz="4" w:space="0" w:color="auto"/>
            </w:tcBorders>
            <w:shd w:val="clear" w:color="auto" w:fill="FFFFFF"/>
          </w:tcPr>
          <w:p w14:paraId="6BC996B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31</w:t>
            </w:r>
          </w:p>
        </w:tc>
        <w:tc>
          <w:tcPr>
            <w:tcW w:w="1219" w:type="dxa"/>
            <w:tcBorders>
              <w:top w:val="single" w:sz="4" w:space="0" w:color="auto"/>
              <w:left w:val="single" w:sz="4" w:space="0" w:color="auto"/>
            </w:tcBorders>
            <w:shd w:val="clear" w:color="auto" w:fill="FFFFFF"/>
          </w:tcPr>
          <w:p w14:paraId="2FA86A9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14" w:type="dxa"/>
            <w:tcBorders>
              <w:top w:val="single" w:sz="4" w:space="0" w:color="auto"/>
              <w:left w:val="single" w:sz="4" w:space="0" w:color="auto"/>
            </w:tcBorders>
            <w:shd w:val="clear" w:color="auto" w:fill="FFFFFF"/>
          </w:tcPr>
          <w:p w14:paraId="6B0DD0A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240</w:t>
            </w:r>
          </w:p>
        </w:tc>
        <w:tc>
          <w:tcPr>
            <w:tcW w:w="1219" w:type="dxa"/>
            <w:tcBorders>
              <w:top w:val="single" w:sz="4" w:space="0" w:color="auto"/>
              <w:left w:val="single" w:sz="4" w:space="0" w:color="auto"/>
            </w:tcBorders>
            <w:shd w:val="clear" w:color="auto" w:fill="FFFFFF"/>
          </w:tcPr>
          <w:p w14:paraId="0C09D66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70722712"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490</w:t>
            </w:r>
          </w:p>
        </w:tc>
      </w:tr>
      <w:tr w:rsidR="009338B9" w:rsidRPr="00F90B4C" w14:paraId="59C872D7" w14:textId="77777777" w:rsidTr="009338B9">
        <w:trPr>
          <w:jc w:val="center"/>
        </w:trPr>
        <w:tc>
          <w:tcPr>
            <w:tcW w:w="2438" w:type="dxa"/>
            <w:gridSpan w:val="2"/>
            <w:tcBorders>
              <w:top w:val="single" w:sz="4" w:space="0" w:color="auto"/>
              <w:left w:val="single" w:sz="4" w:space="0" w:color="auto"/>
            </w:tcBorders>
            <w:shd w:val="clear" w:color="auto" w:fill="FFFFFF"/>
          </w:tcPr>
          <w:p w14:paraId="69C960F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ԸՆԴԱՄԵՆԸ՝</w:t>
            </w:r>
          </w:p>
        </w:tc>
        <w:tc>
          <w:tcPr>
            <w:tcW w:w="1219" w:type="dxa"/>
            <w:tcBorders>
              <w:top w:val="single" w:sz="4" w:space="0" w:color="auto"/>
              <w:left w:val="single" w:sz="4" w:space="0" w:color="auto"/>
            </w:tcBorders>
            <w:shd w:val="clear" w:color="auto" w:fill="FFFFFF"/>
          </w:tcPr>
          <w:p w14:paraId="6D9A50F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2 602</w:t>
            </w:r>
          </w:p>
        </w:tc>
        <w:tc>
          <w:tcPr>
            <w:tcW w:w="1214" w:type="dxa"/>
            <w:tcBorders>
              <w:top w:val="single" w:sz="4" w:space="0" w:color="auto"/>
              <w:left w:val="single" w:sz="4" w:space="0" w:color="auto"/>
            </w:tcBorders>
            <w:shd w:val="clear" w:color="auto" w:fill="FFFFFF"/>
          </w:tcPr>
          <w:p w14:paraId="54207D5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32</w:t>
            </w:r>
          </w:p>
        </w:tc>
        <w:tc>
          <w:tcPr>
            <w:tcW w:w="1219" w:type="dxa"/>
            <w:tcBorders>
              <w:top w:val="single" w:sz="4" w:space="0" w:color="auto"/>
              <w:left w:val="single" w:sz="4" w:space="0" w:color="auto"/>
            </w:tcBorders>
            <w:shd w:val="clear" w:color="auto" w:fill="FFFFFF"/>
          </w:tcPr>
          <w:p w14:paraId="7D74CD8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w:t>
            </w:r>
          </w:p>
        </w:tc>
        <w:tc>
          <w:tcPr>
            <w:tcW w:w="1214" w:type="dxa"/>
            <w:tcBorders>
              <w:top w:val="single" w:sz="4" w:space="0" w:color="auto"/>
              <w:left w:val="single" w:sz="4" w:space="0" w:color="auto"/>
            </w:tcBorders>
            <w:shd w:val="clear" w:color="auto" w:fill="FFFFFF"/>
          </w:tcPr>
          <w:p w14:paraId="04FD1E2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280</w:t>
            </w:r>
          </w:p>
        </w:tc>
        <w:tc>
          <w:tcPr>
            <w:tcW w:w="1219" w:type="dxa"/>
            <w:tcBorders>
              <w:top w:val="single" w:sz="4" w:space="0" w:color="auto"/>
              <w:left w:val="single" w:sz="4" w:space="0" w:color="auto"/>
            </w:tcBorders>
            <w:shd w:val="clear" w:color="auto" w:fill="FFFFFF"/>
          </w:tcPr>
          <w:p w14:paraId="7D7B099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0</w:t>
            </w:r>
          </w:p>
        </w:tc>
        <w:tc>
          <w:tcPr>
            <w:tcW w:w="1229" w:type="dxa"/>
            <w:tcBorders>
              <w:top w:val="single" w:sz="4" w:space="0" w:color="auto"/>
              <w:left w:val="single" w:sz="4" w:space="0" w:color="auto"/>
              <w:right w:val="single" w:sz="4" w:space="0" w:color="auto"/>
            </w:tcBorders>
            <w:shd w:val="clear" w:color="auto" w:fill="FFFFFF"/>
          </w:tcPr>
          <w:p w14:paraId="742C125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533</w:t>
            </w:r>
          </w:p>
        </w:tc>
      </w:tr>
      <w:tr w:rsidR="009338B9" w:rsidRPr="00F90B4C" w14:paraId="55B55DAD" w14:textId="77777777" w:rsidTr="009338B9">
        <w:trPr>
          <w:jc w:val="center"/>
        </w:trPr>
        <w:tc>
          <w:tcPr>
            <w:tcW w:w="1219" w:type="dxa"/>
            <w:tcBorders>
              <w:top w:val="single" w:sz="4" w:space="0" w:color="auto"/>
              <w:left w:val="single" w:sz="4" w:space="0" w:color="auto"/>
            </w:tcBorders>
            <w:shd w:val="clear" w:color="auto" w:fill="FFFFFF"/>
          </w:tcPr>
          <w:p w14:paraId="79EA76D9"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2DE4D62"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154B6778"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08CD294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33</w:t>
            </w:r>
          </w:p>
        </w:tc>
        <w:tc>
          <w:tcPr>
            <w:tcW w:w="1219" w:type="dxa"/>
            <w:tcBorders>
              <w:top w:val="single" w:sz="4" w:space="0" w:color="auto"/>
              <w:left w:val="single" w:sz="4" w:space="0" w:color="auto"/>
            </w:tcBorders>
            <w:shd w:val="clear" w:color="auto" w:fill="FFFFFF"/>
          </w:tcPr>
          <w:p w14:paraId="41B57BF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w:t>
            </w:r>
          </w:p>
        </w:tc>
        <w:tc>
          <w:tcPr>
            <w:tcW w:w="1214" w:type="dxa"/>
            <w:tcBorders>
              <w:top w:val="single" w:sz="4" w:space="0" w:color="auto"/>
              <w:left w:val="single" w:sz="4" w:space="0" w:color="auto"/>
            </w:tcBorders>
            <w:shd w:val="clear" w:color="auto" w:fill="FFFFFF"/>
          </w:tcPr>
          <w:p w14:paraId="6A6146C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320</w:t>
            </w:r>
          </w:p>
        </w:tc>
        <w:tc>
          <w:tcPr>
            <w:tcW w:w="1219" w:type="dxa"/>
            <w:tcBorders>
              <w:top w:val="single" w:sz="4" w:space="0" w:color="auto"/>
              <w:left w:val="single" w:sz="4" w:space="0" w:color="auto"/>
            </w:tcBorders>
            <w:shd w:val="clear" w:color="auto" w:fill="FFFFFF"/>
          </w:tcPr>
          <w:p w14:paraId="30E6671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w:t>
            </w:r>
          </w:p>
        </w:tc>
        <w:tc>
          <w:tcPr>
            <w:tcW w:w="1229" w:type="dxa"/>
            <w:tcBorders>
              <w:top w:val="single" w:sz="4" w:space="0" w:color="auto"/>
              <w:left w:val="single" w:sz="4" w:space="0" w:color="auto"/>
              <w:right w:val="single" w:sz="4" w:space="0" w:color="auto"/>
            </w:tcBorders>
            <w:shd w:val="clear" w:color="auto" w:fill="FFFFFF"/>
          </w:tcPr>
          <w:p w14:paraId="120E9D4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380</w:t>
            </w:r>
          </w:p>
        </w:tc>
      </w:tr>
      <w:tr w:rsidR="009338B9" w:rsidRPr="00F90B4C" w14:paraId="0DD09E35" w14:textId="77777777" w:rsidTr="009338B9">
        <w:trPr>
          <w:jc w:val="center"/>
        </w:trPr>
        <w:tc>
          <w:tcPr>
            <w:tcW w:w="1219" w:type="dxa"/>
            <w:tcBorders>
              <w:top w:val="single" w:sz="4" w:space="0" w:color="auto"/>
              <w:left w:val="single" w:sz="4" w:space="0" w:color="auto"/>
            </w:tcBorders>
            <w:shd w:val="clear" w:color="auto" w:fill="FFFFFF"/>
          </w:tcPr>
          <w:p w14:paraId="29D7935C"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4E3CFE46"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14F392B5"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5F4FE3F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34</w:t>
            </w:r>
          </w:p>
        </w:tc>
        <w:tc>
          <w:tcPr>
            <w:tcW w:w="1219" w:type="dxa"/>
            <w:tcBorders>
              <w:top w:val="single" w:sz="4" w:space="0" w:color="auto"/>
              <w:left w:val="single" w:sz="4" w:space="0" w:color="auto"/>
            </w:tcBorders>
            <w:shd w:val="clear" w:color="auto" w:fill="FFFFFF"/>
          </w:tcPr>
          <w:p w14:paraId="16E9A67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w:t>
            </w:r>
          </w:p>
        </w:tc>
        <w:tc>
          <w:tcPr>
            <w:tcW w:w="1214" w:type="dxa"/>
            <w:tcBorders>
              <w:top w:val="single" w:sz="4" w:space="0" w:color="auto"/>
              <w:left w:val="single" w:sz="4" w:space="0" w:color="auto"/>
            </w:tcBorders>
            <w:shd w:val="clear" w:color="auto" w:fill="FFFFFF"/>
          </w:tcPr>
          <w:p w14:paraId="1CA4095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357</w:t>
            </w:r>
          </w:p>
        </w:tc>
        <w:tc>
          <w:tcPr>
            <w:tcW w:w="1219" w:type="dxa"/>
            <w:tcBorders>
              <w:top w:val="single" w:sz="4" w:space="0" w:color="auto"/>
              <w:left w:val="single" w:sz="4" w:space="0" w:color="auto"/>
            </w:tcBorders>
            <w:shd w:val="clear" w:color="auto" w:fill="FFFFFF"/>
          </w:tcPr>
          <w:p w14:paraId="5C07D80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w:t>
            </w:r>
          </w:p>
        </w:tc>
        <w:tc>
          <w:tcPr>
            <w:tcW w:w="1229" w:type="dxa"/>
            <w:tcBorders>
              <w:top w:val="single" w:sz="4" w:space="0" w:color="auto"/>
              <w:left w:val="single" w:sz="4" w:space="0" w:color="auto"/>
              <w:right w:val="single" w:sz="4" w:space="0" w:color="auto"/>
            </w:tcBorders>
            <w:shd w:val="clear" w:color="auto" w:fill="FFFFFF"/>
          </w:tcPr>
          <w:p w14:paraId="33F6601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228</w:t>
            </w:r>
          </w:p>
        </w:tc>
      </w:tr>
      <w:tr w:rsidR="009338B9" w:rsidRPr="00F90B4C" w14:paraId="5D1E0030" w14:textId="77777777" w:rsidTr="009338B9">
        <w:trPr>
          <w:jc w:val="center"/>
        </w:trPr>
        <w:tc>
          <w:tcPr>
            <w:tcW w:w="1219" w:type="dxa"/>
            <w:tcBorders>
              <w:top w:val="single" w:sz="4" w:space="0" w:color="auto"/>
              <w:left w:val="single" w:sz="4" w:space="0" w:color="auto"/>
            </w:tcBorders>
            <w:shd w:val="clear" w:color="auto" w:fill="FFFFFF"/>
          </w:tcPr>
          <w:p w14:paraId="175220E9"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44C55353"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611A7855"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4F87454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35</w:t>
            </w:r>
          </w:p>
        </w:tc>
        <w:tc>
          <w:tcPr>
            <w:tcW w:w="1219" w:type="dxa"/>
            <w:tcBorders>
              <w:top w:val="single" w:sz="4" w:space="0" w:color="auto"/>
              <w:left w:val="single" w:sz="4" w:space="0" w:color="auto"/>
            </w:tcBorders>
            <w:shd w:val="clear" w:color="auto" w:fill="FFFFFF"/>
          </w:tcPr>
          <w:p w14:paraId="1379539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w:t>
            </w:r>
          </w:p>
        </w:tc>
        <w:tc>
          <w:tcPr>
            <w:tcW w:w="1214" w:type="dxa"/>
            <w:tcBorders>
              <w:top w:val="single" w:sz="4" w:space="0" w:color="auto"/>
              <w:left w:val="single" w:sz="4" w:space="0" w:color="auto"/>
            </w:tcBorders>
            <w:shd w:val="clear" w:color="auto" w:fill="FFFFFF"/>
          </w:tcPr>
          <w:p w14:paraId="3088946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356</w:t>
            </w:r>
          </w:p>
        </w:tc>
        <w:tc>
          <w:tcPr>
            <w:tcW w:w="1219" w:type="dxa"/>
            <w:tcBorders>
              <w:top w:val="single" w:sz="4" w:space="0" w:color="auto"/>
              <w:left w:val="single" w:sz="4" w:space="0" w:color="auto"/>
            </w:tcBorders>
            <w:shd w:val="clear" w:color="auto" w:fill="FFFFFF"/>
          </w:tcPr>
          <w:p w14:paraId="02B3323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63</w:t>
            </w:r>
          </w:p>
        </w:tc>
        <w:tc>
          <w:tcPr>
            <w:tcW w:w="1229" w:type="dxa"/>
            <w:tcBorders>
              <w:top w:val="single" w:sz="4" w:space="0" w:color="auto"/>
              <w:left w:val="single" w:sz="4" w:space="0" w:color="auto"/>
              <w:right w:val="single" w:sz="4" w:space="0" w:color="auto"/>
            </w:tcBorders>
            <w:shd w:val="clear" w:color="auto" w:fill="FFFFFF"/>
          </w:tcPr>
          <w:p w14:paraId="2F9AB4F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261</w:t>
            </w:r>
          </w:p>
        </w:tc>
      </w:tr>
      <w:tr w:rsidR="009338B9" w:rsidRPr="00F90B4C" w14:paraId="22054515" w14:textId="77777777" w:rsidTr="009338B9">
        <w:trPr>
          <w:jc w:val="center"/>
        </w:trPr>
        <w:tc>
          <w:tcPr>
            <w:tcW w:w="1219" w:type="dxa"/>
            <w:tcBorders>
              <w:top w:val="single" w:sz="4" w:space="0" w:color="auto"/>
              <w:left w:val="single" w:sz="4" w:space="0" w:color="auto"/>
            </w:tcBorders>
            <w:shd w:val="clear" w:color="auto" w:fill="FFFFFF"/>
          </w:tcPr>
          <w:p w14:paraId="62FA1DB5"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05294A7"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6B1D93B9"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68B8FDD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36</w:t>
            </w:r>
          </w:p>
        </w:tc>
        <w:tc>
          <w:tcPr>
            <w:tcW w:w="1219" w:type="dxa"/>
            <w:tcBorders>
              <w:top w:val="single" w:sz="4" w:space="0" w:color="auto"/>
              <w:left w:val="single" w:sz="4" w:space="0" w:color="auto"/>
            </w:tcBorders>
            <w:shd w:val="clear" w:color="auto" w:fill="FFFFFF"/>
          </w:tcPr>
          <w:p w14:paraId="1BF0099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5</w:t>
            </w:r>
          </w:p>
        </w:tc>
        <w:tc>
          <w:tcPr>
            <w:tcW w:w="1214" w:type="dxa"/>
            <w:tcBorders>
              <w:top w:val="single" w:sz="4" w:space="0" w:color="auto"/>
              <w:left w:val="single" w:sz="4" w:space="0" w:color="auto"/>
            </w:tcBorders>
            <w:shd w:val="clear" w:color="auto" w:fill="FFFFFF"/>
          </w:tcPr>
          <w:p w14:paraId="62AC947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303</w:t>
            </w:r>
          </w:p>
        </w:tc>
        <w:tc>
          <w:tcPr>
            <w:tcW w:w="1219" w:type="dxa"/>
            <w:tcBorders>
              <w:top w:val="single" w:sz="4" w:space="0" w:color="auto"/>
              <w:left w:val="single" w:sz="4" w:space="0" w:color="auto"/>
            </w:tcBorders>
            <w:shd w:val="clear" w:color="auto" w:fill="FFFFFF"/>
          </w:tcPr>
          <w:p w14:paraId="11C84BF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63</w:t>
            </w:r>
          </w:p>
        </w:tc>
        <w:tc>
          <w:tcPr>
            <w:tcW w:w="1229" w:type="dxa"/>
            <w:tcBorders>
              <w:top w:val="single" w:sz="4" w:space="0" w:color="auto"/>
              <w:left w:val="single" w:sz="4" w:space="0" w:color="auto"/>
              <w:right w:val="single" w:sz="4" w:space="0" w:color="auto"/>
            </w:tcBorders>
            <w:shd w:val="clear" w:color="auto" w:fill="FFFFFF"/>
          </w:tcPr>
          <w:p w14:paraId="4C16CEB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279</w:t>
            </w:r>
          </w:p>
        </w:tc>
      </w:tr>
      <w:tr w:rsidR="009338B9" w:rsidRPr="00F90B4C" w14:paraId="441EFBBE" w14:textId="77777777" w:rsidTr="009338B9">
        <w:trPr>
          <w:jc w:val="center"/>
        </w:trPr>
        <w:tc>
          <w:tcPr>
            <w:tcW w:w="1219" w:type="dxa"/>
            <w:tcBorders>
              <w:top w:val="single" w:sz="4" w:space="0" w:color="auto"/>
              <w:left w:val="single" w:sz="4" w:space="0" w:color="auto"/>
            </w:tcBorders>
            <w:shd w:val="clear" w:color="auto" w:fill="FFFFFF"/>
          </w:tcPr>
          <w:p w14:paraId="3F38011C"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628F57C7"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0274782"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6DEF146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37</w:t>
            </w:r>
          </w:p>
        </w:tc>
        <w:tc>
          <w:tcPr>
            <w:tcW w:w="1219" w:type="dxa"/>
            <w:tcBorders>
              <w:top w:val="single" w:sz="4" w:space="0" w:color="auto"/>
              <w:left w:val="single" w:sz="4" w:space="0" w:color="auto"/>
            </w:tcBorders>
            <w:shd w:val="clear" w:color="auto" w:fill="FFFFFF"/>
          </w:tcPr>
          <w:p w14:paraId="07ED920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w:t>
            </w:r>
          </w:p>
        </w:tc>
        <w:tc>
          <w:tcPr>
            <w:tcW w:w="1214" w:type="dxa"/>
            <w:tcBorders>
              <w:top w:val="single" w:sz="4" w:space="0" w:color="auto"/>
              <w:left w:val="single" w:sz="4" w:space="0" w:color="auto"/>
            </w:tcBorders>
            <w:shd w:val="clear" w:color="auto" w:fill="FFFFFF"/>
          </w:tcPr>
          <w:p w14:paraId="4007C06E"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330</w:t>
            </w:r>
          </w:p>
        </w:tc>
        <w:tc>
          <w:tcPr>
            <w:tcW w:w="1219" w:type="dxa"/>
            <w:tcBorders>
              <w:top w:val="single" w:sz="4" w:space="0" w:color="auto"/>
              <w:left w:val="single" w:sz="4" w:space="0" w:color="auto"/>
            </w:tcBorders>
            <w:shd w:val="clear" w:color="auto" w:fill="FFFFFF"/>
          </w:tcPr>
          <w:p w14:paraId="046E040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175</w:t>
            </w:r>
          </w:p>
        </w:tc>
        <w:tc>
          <w:tcPr>
            <w:tcW w:w="1229" w:type="dxa"/>
            <w:tcBorders>
              <w:top w:val="single" w:sz="4" w:space="0" w:color="auto"/>
              <w:left w:val="single" w:sz="4" w:space="0" w:color="auto"/>
              <w:right w:val="single" w:sz="4" w:space="0" w:color="auto"/>
            </w:tcBorders>
            <w:shd w:val="clear" w:color="auto" w:fill="FFFFFF"/>
          </w:tcPr>
          <w:p w14:paraId="0B9DE9C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229</w:t>
            </w:r>
          </w:p>
        </w:tc>
      </w:tr>
      <w:tr w:rsidR="009338B9" w:rsidRPr="00F90B4C" w14:paraId="413C390B" w14:textId="77777777" w:rsidTr="009338B9">
        <w:trPr>
          <w:jc w:val="center"/>
        </w:trPr>
        <w:tc>
          <w:tcPr>
            <w:tcW w:w="1219" w:type="dxa"/>
            <w:tcBorders>
              <w:top w:val="single" w:sz="4" w:space="0" w:color="auto"/>
              <w:left w:val="single" w:sz="4" w:space="0" w:color="auto"/>
            </w:tcBorders>
            <w:shd w:val="clear" w:color="auto" w:fill="FFFFFF"/>
          </w:tcPr>
          <w:p w14:paraId="73AC908C"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E32339C"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26F2BF1D"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499A946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38</w:t>
            </w:r>
          </w:p>
        </w:tc>
        <w:tc>
          <w:tcPr>
            <w:tcW w:w="1219" w:type="dxa"/>
            <w:tcBorders>
              <w:top w:val="single" w:sz="4" w:space="0" w:color="auto"/>
              <w:left w:val="single" w:sz="4" w:space="0" w:color="auto"/>
            </w:tcBorders>
            <w:shd w:val="clear" w:color="auto" w:fill="FFFFFF"/>
          </w:tcPr>
          <w:p w14:paraId="4A3BF73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7</w:t>
            </w:r>
          </w:p>
        </w:tc>
        <w:tc>
          <w:tcPr>
            <w:tcW w:w="1214" w:type="dxa"/>
            <w:tcBorders>
              <w:top w:val="single" w:sz="4" w:space="0" w:color="auto"/>
              <w:left w:val="single" w:sz="4" w:space="0" w:color="auto"/>
            </w:tcBorders>
            <w:shd w:val="clear" w:color="auto" w:fill="FFFFFF"/>
          </w:tcPr>
          <w:p w14:paraId="798854A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326</w:t>
            </w:r>
          </w:p>
        </w:tc>
        <w:tc>
          <w:tcPr>
            <w:tcW w:w="1219" w:type="dxa"/>
            <w:tcBorders>
              <w:top w:val="single" w:sz="4" w:space="0" w:color="auto"/>
              <w:left w:val="single" w:sz="4" w:space="0" w:color="auto"/>
            </w:tcBorders>
            <w:shd w:val="clear" w:color="auto" w:fill="FFFFFF"/>
          </w:tcPr>
          <w:p w14:paraId="7E2513D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162</w:t>
            </w:r>
          </w:p>
        </w:tc>
        <w:tc>
          <w:tcPr>
            <w:tcW w:w="1229" w:type="dxa"/>
            <w:tcBorders>
              <w:top w:val="single" w:sz="4" w:space="0" w:color="auto"/>
              <w:left w:val="single" w:sz="4" w:space="0" w:color="auto"/>
              <w:right w:val="single" w:sz="4" w:space="0" w:color="auto"/>
            </w:tcBorders>
            <w:shd w:val="clear" w:color="auto" w:fill="FFFFFF"/>
          </w:tcPr>
          <w:p w14:paraId="6F76F25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269</w:t>
            </w:r>
          </w:p>
        </w:tc>
      </w:tr>
      <w:tr w:rsidR="009338B9" w:rsidRPr="00F90B4C" w14:paraId="12FF35D5" w14:textId="77777777" w:rsidTr="009338B9">
        <w:trPr>
          <w:jc w:val="center"/>
        </w:trPr>
        <w:tc>
          <w:tcPr>
            <w:tcW w:w="1219" w:type="dxa"/>
            <w:tcBorders>
              <w:top w:val="single" w:sz="4" w:space="0" w:color="auto"/>
              <w:left w:val="single" w:sz="4" w:space="0" w:color="auto"/>
            </w:tcBorders>
            <w:shd w:val="clear" w:color="auto" w:fill="FFFFFF"/>
          </w:tcPr>
          <w:p w14:paraId="3E652673"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4980E03F"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70279BE3"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3A944CD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39</w:t>
            </w:r>
          </w:p>
        </w:tc>
        <w:tc>
          <w:tcPr>
            <w:tcW w:w="1219" w:type="dxa"/>
            <w:tcBorders>
              <w:top w:val="single" w:sz="4" w:space="0" w:color="auto"/>
              <w:left w:val="single" w:sz="4" w:space="0" w:color="auto"/>
            </w:tcBorders>
            <w:shd w:val="clear" w:color="auto" w:fill="FFFFFF"/>
          </w:tcPr>
          <w:p w14:paraId="6655048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8</w:t>
            </w:r>
          </w:p>
        </w:tc>
        <w:tc>
          <w:tcPr>
            <w:tcW w:w="1214" w:type="dxa"/>
            <w:tcBorders>
              <w:top w:val="single" w:sz="4" w:space="0" w:color="auto"/>
              <w:left w:val="single" w:sz="4" w:space="0" w:color="auto"/>
            </w:tcBorders>
            <w:shd w:val="clear" w:color="auto" w:fill="FFFFFF"/>
          </w:tcPr>
          <w:p w14:paraId="669CD91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348</w:t>
            </w:r>
          </w:p>
        </w:tc>
        <w:tc>
          <w:tcPr>
            <w:tcW w:w="1219" w:type="dxa"/>
            <w:tcBorders>
              <w:top w:val="single" w:sz="4" w:space="0" w:color="auto"/>
              <w:left w:val="single" w:sz="4" w:space="0" w:color="auto"/>
            </w:tcBorders>
            <w:shd w:val="clear" w:color="auto" w:fill="FFFFFF"/>
          </w:tcPr>
          <w:p w14:paraId="2A40F37D"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259</w:t>
            </w:r>
          </w:p>
        </w:tc>
        <w:tc>
          <w:tcPr>
            <w:tcW w:w="1229" w:type="dxa"/>
            <w:tcBorders>
              <w:top w:val="single" w:sz="4" w:space="0" w:color="auto"/>
              <w:left w:val="single" w:sz="4" w:space="0" w:color="auto"/>
              <w:right w:val="single" w:sz="4" w:space="0" w:color="auto"/>
            </w:tcBorders>
            <w:shd w:val="clear" w:color="auto" w:fill="FFFFFF"/>
          </w:tcPr>
          <w:p w14:paraId="18C9DBB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233</w:t>
            </w:r>
          </w:p>
        </w:tc>
      </w:tr>
      <w:tr w:rsidR="009338B9" w:rsidRPr="00F90B4C" w14:paraId="1717FFC2" w14:textId="77777777" w:rsidTr="009338B9">
        <w:trPr>
          <w:jc w:val="center"/>
        </w:trPr>
        <w:tc>
          <w:tcPr>
            <w:tcW w:w="1219" w:type="dxa"/>
            <w:tcBorders>
              <w:top w:val="single" w:sz="4" w:space="0" w:color="auto"/>
              <w:left w:val="single" w:sz="4" w:space="0" w:color="auto"/>
            </w:tcBorders>
            <w:shd w:val="clear" w:color="auto" w:fill="FFFFFF"/>
          </w:tcPr>
          <w:p w14:paraId="63C0D5E3"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77DA576D"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0E58FB5E"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06B007E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40</w:t>
            </w:r>
          </w:p>
        </w:tc>
        <w:tc>
          <w:tcPr>
            <w:tcW w:w="1219" w:type="dxa"/>
            <w:tcBorders>
              <w:top w:val="single" w:sz="4" w:space="0" w:color="auto"/>
              <w:left w:val="single" w:sz="4" w:space="0" w:color="auto"/>
            </w:tcBorders>
            <w:shd w:val="clear" w:color="auto" w:fill="FFFFFF"/>
          </w:tcPr>
          <w:p w14:paraId="2A2C496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w:t>
            </w:r>
          </w:p>
        </w:tc>
        <w:tc>
          <w:tcPr>
            <w:tcW w:w="1214" w:type="dxa"/>
            <w:tcBorders>
              <w:top w:val="single" w:sz="4" w:space="0" w:color="auto"/>
              <w:left w:val="single" w:sz="4" w:space="0" w:color="auto"/>
            </w:tcBorders>
            <w:shd w:val="clear" w:color="auto" w:fill="FFFFFF"/>
          </w:tcPr>
          <w:p w14:paraId="0009443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335</w:t>
            </w:r>
          </w:p>
        </w:tc>
        <w:tc>
          <w:tcPr>
            <w:tcW w:w="1219" w:type="dxa"/>
            <w:tcBorders>
              <w:top w:val="single" w:sz="4" w:space="0" w:color="auto"/>
              <w:left w:val="single" w:sz="4" w:space="0" w:color="auto"/>
            </w:tcBorders>
            <w:shd w:val="clear" w:color="auto" w:fill="FFFFFF"/>
          </w:tcPr>
          <w:p w14:paraId="7E8A001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360</w:t>
            </w:r>
          </w:p>
        </w:tc>
        <w:tc>
          <w:tcPr>
            <w:tcW w:w="1229" w:type="dxa"/>
            <w:tcBorders>
              <w:top w:val="single" w:sz="4" w:space="0" w:color="auto"/>
              <w:left w:val="single" w:sz="4" w:space="0" w:color="auto"/>
              <w:right w:val="single" w:sz="4" w:space="0" w:color="auto"/>
            </w:tcBorders>
            <w:shd w:val="clear" w:color="auto" w:fill="FFFFFF"/>
          </w:tcPr>
          <w:p w14:paraId="0F32489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230</w:t>
            </w:r>
          </w:p>
        </w:tc>
      </w:tr>
      <w:tr w:rsidR="009338B9" w:rsidRPr="00F90B4C" w14:paraId="1AC67C0D" w14:textId="77777777" w:rsidTr="009338B9">
        <w:trPr>
          <w:jc w:val="center"/>
        </w:trPr>
        <w:tc>
          <w:tcPr>
            <w:tcW w:w="1219" w:type="dxa"/>
            <w:tcBorders>
              <w:top w:val="single" w:sz="4" w:space="0" w:color="auto"/>
              <w:left w:val="single" w:sz="4" w:space="0" w:color="auto"/>
            </w:tcBorders>
            <w:shd w:val="clear" w:color="auto" w:fill="FFFFFF"/>
          </w:tcPr>
          <w:p w14:paraId="0EBB77B7"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48EC70D6"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1B194EA"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04AAA05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41</w:t>
            </w:r>
          </w:p>
        </w:tc>
        <w:tc>
          <w:tcPr>
            <w:tcW w:w="1219" w:type="dxa"/>
            <w:tcBorders>
              <w:top w:val="single" w:sz="4" w:space="0" w:color="auto"/>
              <w:left w:val="single" w:sz="4" w:space="0" w:color="auto"/>
            </w:tcBorders>
            <w:shd w:val="clear" w:color="auto" w:fill="FFFFFF"/>
          </w:tcPr>
          <w:p w14:paraId="20D4E59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10</w:t>
            </w:r>
          </w:p>
        </w:tc>
        <w:tc>
          <w:tcPr>
            <w:tcW w:w="1214" w:type="dxa"/>
            <w:tcBorders>
              <w:top w:val="single" w:sz="4" w:space="0" w:color="auto"/>
              <w:left w:val="single" w:sz="4" w:space="0" w:color="auto"/>
            </w:tcBorders>
            <w:shd w:val="clear" w:color="auto" w:fill="FFFFFF"/>
          </w:tcPr>
          <w:p w14:paraId="2278CB7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315</w:t>
            </w:r>
          </w:p>
        </w:tc>
        <w:tc>
          <w:tcPr>
            <w:tcW w:w="1219" w:type="dxa"/>
            <w:tcBorders>
              <w:top w:val="single" w:sz="4" w:space="0" w:color="auto"/>
              <w:left w:val="single" w:sz="4" w:space="0" w:color="auto"/>
            </w:tcBorders>
            <w:shd w:val="clear" w:color="auto" w:fill="FFFFFF"/>
          </w:tcPr>
          <w:p w14:paraId="0F22668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428</w:t>
            </w:r>
          </w:p>
        </w:tc>
        <w:tc>
          <w:tcPr>
            <w:tcW w:w="1229" w:type="dxa"/>
            <w:tcBorders>
              <w:top w:val="single" w:sz="4" w:space="0" w:color="auto"/>
              <w:left w:val="single" w:sz="4" w:space="0" w:color="auto"/>
              <w:right w:val="single" w:sz="4" w:space="0" w:color="auto"/>
            </w:tcBorders>
            <w:shd w:val="clear" w:color="auto" w:fill="FFFFFF"/>
          </w:tcPr>
          <w:p w14:paraId="35C3274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243</w:t>
            </w:r>
          </w:p>
        </w:tc>
      </w:tr>
      <w:tr w:rsidR="009338B9" w:rsidRPr="00F90B4C" w14:paraId="27D89CE9" w14:textId="77777777" w:rsidTr="009338B9">
        <w:trPr>
          <w:jc w:val="center"/>
        </w:trPr>
        <w:tc>
          <w:tcPr>
            <w:tcW w:w="1219" w:type="dxa"/>
            <w:tcBorders>
              <w:top w:val="single" w:sz="4" w:space="0" w:color="auto"/>
              <w:left w:val="single" w:sz="4" w:space="0" w:color="auto"/>
            </w:tcBorders>
            <w:shd w:val="clear" w:color="auto" w:fill="FFFFFF"/>
          </w:tcPr>
          <w:p w14:paraId="4B91CD79"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3847120"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7AF4AE1D"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17C8986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42</w:t>
            </w:r>
          </w:p>
        </w:tc>
        <w:tc>
          <w:tcPr>
            <w:tcW w:w="1219" w:type="dxa"/>
            <w:tcBorders>
              <w:top w:val="single" w:sz="4" w:space="0" w:color="auto"/>
              <w:left w:val="single" w:sz="4" w:space="0" w:color="auto"/>
            </w:tcBorders>
            <w:shd w:val="clear" w:color="auto" w:fill="FFFFFF"/>
          </w:tcPr>
          <w:p w14:paraId="058B89A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11</w:t>
            </w:r>
          </w:p>
        </w:tc>
        <w:tc>
          <w:tcPr>
            <w:tcW w:w="1214" w:type="dxa"/>
            <w:tcBorders>
              <w:top w:val="single" w:sz="4" w:space="0" w:color="auto"/>
              <w:left w:val="single" w:sz="4" w:space="0" w:color="auto"/>
            </w:tcBorders>
            <w:shd w:val="clear" w:color="auto" w:fill="FFFFFF"/>
          </w:tcPr>
          <w:p w14:paraId="552C842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215</w:t>
            </w:r>
          </w:p>
        </w:tc>
        <w:tc>
          <w:tcPr>
            <w:tcW w:w="1219" w:type="dxa"/>
            <w:tcBorders>
              <w:top w:val="single" w:sz="4" w:space="0" w:color="auto"/>
              <w:left w:val="single" w:sz="4" w:space="0" w:color="auto"/>
            </w:tcBorders>
            <w:shd w:val="clear" w:color="auto" w:fill="FFFFFF"/>
          </w:tcPr>
          <w:p w14:paraId="27D7177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430</w:t>
            </w:r>
          </w:p>
        </w:tc>
        <w:tc>
          <w:tcPr>
            <w:tcW w:w="1229" w:type="dxa"/>
            <w:tcBorders>
              <w:top w:val="single" w:sz="4" w:space="0" w:color="auto"/>
              <w:left w:val="single" w:sz="4" w:space="0" w:color="auto"/>
              <w:right w:val="single" w:sz="4" w:space="0" w:color="auto"/>
            </w:tcBorders>
            <w:shd w:val="clear" w:color="auto" w:fill="FFFFFF"/>
          </w:tcPr>
          <w:p w14:paraId="01AB689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191</w:t>
            </w:r>
          </w:p>
        </w:tc>
      </w:tr>
      <w:tr w:rsidR="009338B9" w:rsidRPr="00F90B4C" w14:paraId="3C4CF195" w14:textId="77777777" w:rsidTr="009338B9">
        <w:trPr>
          <w:jc w:val="center"/>
        </w:trPr>
        <w:tc>
          <w:tcPr>
            <w:tcW w:w="1219" w:type="dxa"/>
            <w:tcBorders>
              <w:top w:val="single" w:sz="4" w:space="0" w:color="auto"/>
              <w:left w:val="single" w:sz="4" w:space="0" w:color="auto"/>
            </w:tcBorders>
            <w:shd w:val="clear" w:color="auto" w:fill="FFFFFF"/>
          </w:tcPr>
          <w:p w14:paraId="3C085CA1"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27D66FFF"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68934581"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74DE44B8"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43</w:t>
            </w:r>
          </w:p>
        </w:tc>
        <w:tc>
          <w:tcPr>
            <w:tcW w:w="1219" w:type="dxa"/>
            <w:tcBorders>
              <w:top w:val="single" w:sz="4" w:space="0" w:color="auto"/>
              <w:left w:val="single" w:sz="4" w:space="0" w:color="auto"/>
            </w:tcBorders>
            <w:shd w:val="clear" w:color="auto" w:fill="FFFFFF"/>
          </w:tcPr>
          <w:p w14:paraId="0DFF456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12</w:t>
            </w:r>
          </w:p>
        </w:tc>
        <w:tc>
          <w:tcPr>
            <w:tcW w:w="1214" w:type="dxa"/>
            <w:tcBorders>
              <w:top w:val="single" w:sz="4" w:space="0" w:color="auto"/>
              <w:left w:val="single" w:sz="4" w:space="0" w:color="auto"/>
            </w:tcBorders>
            <w:shd w:val="clear" w:color="auto" w:fill="FFFFFF"/>
          </w:tcPr>
          <w:p w14:paraId="15162BF4"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169</w:t>
            </w:r>
          </w:p>
        </w:tc>
        <w:tc>
          <w:tcPr>
            <w:tcW w:w="1219" w:type="dxa"/>
            <w:tcBorders>
              <w:top w:val="single" w:sz="4" w:space="0" w:color="auto"/>
              <w:left w:val="single" w:sz="4" w:space="0" w:color="auto"/>
            </w:tcBorders>
            <w:shd w:val="clear" w:color="auto" w:fill="FFFFFF"/>
          </w:tcPr>
          <w:p w14:paraId="0EA0F79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503</w:t>
            </w:r>
          </w:p>
        </w:tc>
        <w:tc>
          <w:tcPr>
            <w:tcW w:w="1229" w:type="dxa"/>
            <w:tcBorders>
              <w:top w:val="single" w:sz="4" w:space="0" w:color="auto"/>
              <w:left w:val="single" w:sz="4" w:space="0" w:color="auto"/>
              <w:right w:val="single" w:sz="4" w:space="0" w:color="auto"/>
            </w:tcBorders>
            <w:shd w:val="clear" w:color="auto" w:fill="FFFFFF"/>
          </w:tcPr>
          <w:p w14:paraId="50468443"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146</w:t>
            </w:r>
          </w:p>
        </w:tc>
      </w:tr>
      <w:tr w:rsidR="009338B9" w:rsidRPr="00F90B4C" w14:paraId="69D54880" w14:textId="77777777" w:rsidTr="009338B9">
        <w:trPr>
          <w:jc w:val="center"/>
        </w:trPr>
        <w:tc>
          <w:tcPr>
            <w:tcW w:w="1219" w:type="dxa"/>
            <w:tcBorders>
              <w:top w:val="single" w:sz="4" w:space="0" w:color="auto"/>
              <w:left w:val="single" w:sz="4" w:space="0" w:color="auto"/>
            </w:tcBorders>
            <w:shd w:val="clear" w:color="auto" w:fill="FFFFFF"/>
          </w:tcPr>
          <w:p w14:paraId="6EDCA28A"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215477EE"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4089993D"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79C8805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44</w:t>
            </w:r>
          </w:p>
        </w:tc>
        <w:tc>
          <w:tcPr>
            <w:tcW w:w="1219" w:type="dxa"/>
            <w:tcBorders>
              <w:top w:val="single" w:sz="4" w:space="0" w:color="auto"/>
              <w:left w:val="single" w:sz="4" w:space="0" w:color="auto"/>
            </w:tcBorders>
            <w:shd w:val="clear" w:color="auto" w:fill="FFFFFF"/>
          </w:tcPr>
          <w:p w14:paraId="1BF078E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13</w:t>
            </w:r>
          </w:p>
        </w:tc>
        <w:tc>
          <w:tcPr>
            <w:tcW w:w="1214" w:type="dxa"/>
            <w:tcBorders>
              <w:top w:val="single" w:sz="4" w:space="0" w:color="auto"/>
              <w:left w:val="single" w:sz="4" w:space="0" w:color="auto"/>
            </w:tcBorders>
            <w:shd w:val="clear" w:color="auto" w:fill="FFFFFF"/>
          </w:tcPr>
          <w:p w14:paraId="7359F92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151</w:t>
            </w:r>
          </w:p>
        </w:tc>
        <w:tc>
          <w:tcPr>
            <w:tcW w:w="1219" w:type="dxa"/>
            <w:tcBorders>
              <w:top w:val="single" w:sz="4" w:space="0" w:color="auto"/>
              <w:left w:val="single" w:sz="4" w:space="0" w:color="auto"/>
            </w:tcBorders>
            <w:shd w:val="clear" w:color="auto" w:fill="FFFFFF"/>
          </w:tcPr>
          <w:p w14:paraId="5DB8F7F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444</w:t>
            </w:r>
          </w:p>
        </w:tc>
        <w:tc>
          <w:tcPr>
            <w:tcW w:w="1229" w:type="dxa"/>
            <w:tcBorders>
              <w:top w:val="single" w:sz="4" w:space="0" w:color="auto"/>
              <w:left w:val="single" w:sz="4" w:space="0" w:color="auto"/>
              <w:right w:val="single" w:sz="4" w:space="0" w:color="auto"/>
            </w:tcBorders>
            <w:shd w:val="clear" w:color="auto" w:fill="FFFFFF"/>
          </w:tcPr>
          <w:p w14:paraId="1C0E40B6"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150</w:t>
            </w:r>
          </w:p>
        </w:tc>
      </w:tr>
      <w:tr w:rsidR="009338B9" w:rsidRPr="00F90B4C" w14:paraId="39FD368C" w14:textId="77777777" w:rsidTr="009338B9">
        <w:trPr>
          <w:jc w:val="center"/>
        </w:trPr>
        <w:tc>
          <w:tcPr>
            <w:tcW w:w="1219" w:type="dxa"/>
            <w:tcBorders>
              <w:top w:val="single" w:sz="4" w:space="0" w:color="auto"/>
              <w:left w:val="single" w:sz="4" w:space="0" w:color="auto"/>
            </w:tcBorders>
            <w:shd w:val="clear" w:color="auto" w:fill="FFFFFF"/>
          </w:tcPr>
          <w:p w14:paraId="364B5428"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02E84D77"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24F073EC"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379BE63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45</w:t>
            </w:r>
          </w:p>
        </w:tc>
        <w:tc>
          <w:tcPr>
            <w:tcW w:w="1219" w:type="dxa"/>
            <w:tcBorders>
              <w:top w:val="single" w:sz="4" w:space="0" w:color="auto"/>
              <w:left w:val="single" w:sz="4" w:space="0" w:color="auto"/>
            </w:tcBorders>
            <w:shd w:val="clear" w:color="auto" w:fill="FFFFFF"/>
          </w:tcPr>
          <w:p w14:paraId="72DC001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14</w:t>
            </w:r>
          </w:p>
        </w:tc>
        <w:tc>
          <w:tcPr>
            <w:tcW w:w="1214" w:type="dxa"/>
            <w:tcBorders>
              <w:top w:val="single" w:sz="4" w:space="0" w:color="auto"/>
              <w:left w:val="single" w:sz="4" w:space="0" w:color="auto"/>
            </w:tcBorders>
            <w:shd w:val="clear" w:color="auto" w:fill="FFFFFF"/>
          </w:tcPr>
          <w:p w14:paraId="7CFCFF1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105</w:t>
            </w:r>
          </w:p>
        </w:tc>
        <w:tc>
          <w:tcPr>
            <w:tcW w:w="1219" w:type="dxa"/>
            <w:tcBorders>
              <w:top w:val="single" w:sz="4" w:space="0" w:color="auto"/>
              <w:left w:val="single" w:sz="4" w:space="0" w:color="auto"/>
            </w:tcBorders>
            <w:shd w:val="clear" w:color="auto" w:fill="FFFFFF"/>
          </w:tcPr>
          <w:p w14:paraId="10D43715"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384</w:t>
            </w:r>
          </w:p>
        </w:tc>
        <w:tc>
          <w:tcPr>
            <w:tcW w:w="1229" w:type="dxa"/>
            <w:tcBorders>
              <w:top w:val="single" w:sz="4" w:space="0" w:color="auto"/>
              <w:left w:val="single" w:sz="4" w:space="0" w:color="auto"/>
              <w:right w:val="single" w:sz="4" w:space="0" w:color="auto"/>
            </w:tcBorders>
            <w:shd w:val="clear" w:color="auto" w:fill="FFFFFF"/>
          </w:tcPr>
          <w:p w14:paraId="3851ECF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97</w:t>
            </w:r>
          </w:p>
        </w:tc>
      </w:tr>
      <w:tr w:rsidR="009338B9" w:rsidRPr="00F90B4C" w14:paraId="62E29F38" w14:textId="77777777" w:rsidTr="009338B9">
        <w:trPr>
          <w:jc w:val="center"/>
        </w:trPr>
        <w:tc>
          <w:tcPr>
            <w:tcW w:w="1219" w:type="dxa"/>
            <w:tcBorders>
              <w:top w:val="single" w:sz="4" w:space="0" w:color="auto"/>
              <w:left w:val="single" w:sz="4" w:space="0" w:color="auto"/>
            </w:tcBorders>
            <w:shd w:val="clear" w:color="auto" w:fill="FFFFFF"/>
          </w:tcPr>
          <w:p w14:paraId="422258C6"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AB47B72"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tcBorders>
            <w:shd w:val="clear" w:color="auto" w:fill="FFFFFF"/>
          </w:tcPr>
          <w:p w14:paraId="38F0A440" w14:textId="77777777" w:rsidR="009338B9" w:rsidRPr="00F90B4C" w:rsidRDefault="009338B9" w:rsidP="00F90B4C">
            <w:pPr>
              <w:spacing w:after="120"/>
              <w:rPr>
                <w:rFonts w:ascii="Sylfaen" w:hAnsi="Sylfaen"/>
                <w:sz w:val="20"/>
                <w:szCs w:val="20"/>
              </w:rPr>
            </w:pPr>
          </w:p>
        </w:tc>
        <w:tc>
          <w:tcPr>
            <w:tcW w:w="1214" w:type="dxa"/>
            <w:tcBorders>
              <w:top w:val="single" w:sz="4" w:space="0" w:color="auto"/>
              <w:left w:val="single" w:sz="4" w:space="0" w:color="auto"/>
            </w:tcBorders>
            <w:shd w:val="clear" w:color="auto" w:fill="FFFFFF"/>
          </w:tcPr>
          <w:p w14:paraId="02D9EAF1"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46</w:t>
            </w:r>
          </w:p>
        </w:tc>
        <w:tc>
          <w:tcPr>
            <w:tcW w:w="1219" w:type="dxa"/>
            <w:tcBorders>
              <w:top w:val="single" w:sz="4" w:space="0" w:color="auto"/>
              <w:left w:val="single" w:sz="4" w:space="0" w:color="auto"/>
            </w:tcBorders>
            <w:shd w:val="clear" w:color="auto" w:fill="FFFFFF"/>
          </w:tcPr>
          <w:p w14:paraId="7D16E22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15</w:t>
            </w:r>
          </w:p>
        </w:tc>
        <w:tc>
          <w:tcPr>
            <w:tcW w:w="1214" w:type="dxa"/>
            <w:tcBorders>
              <w:top w:val="single" w:sz="4" w:space="0" w:color="auto"/>
              <w:left w:val="single" w:sz="4" w:space="0" w:color="auto"/>
            </w:tcBorders>
            <w:shd w:val="clear" w:color="auto" w:fill="FFFFFF"/>
          </w:tcPr>
          <w:p w14:paraId="71EF2B17"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74</w:t>
            </w:r>
          </w:p>
        </w:tc>
        <w:tc>
          <w:tcPr>
            <w:tcW w:w="1219" w:type="dxa"/>
            <w:tcBorders>
              <w:top w:val="single" w:sz="4" w:space="0" w:color="auto"/>
              <w:left w:val="single" w:sz="4" w:space="0" w:color="auto"/>
            </w:tcBorders>
            <w:shd w:val="clear" w:color="auto" w:fill="FFFFFF"/>
          </w:tcPr>
          <w:p w14:paraId="7F550D5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294</w:t>
            </w:r>
          </w:p>
        </w:tc>
        <w:tc>
          <w:tcPr>
            <w:tcW w:w="1229" w:type="dxa"/>
            <w:tcBorders>
              <w:top w:val="single" w:sz="4" w:space="0" w:color="auto"/>
              <w:left w:val="single" w:sz="4" w:space="0" w:color="auto"/>
              <w:right w:val="single" w:sz="4" w:space="0" w:color="auto"/>
            </w:tcBorders>
            <w:shd w:val="clear" w:color="auto" w:fill="FFFFFF"/>
          </w:tcPr>
          <w:p w14:paraId="7CEE73EF"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61</w:t>
            </w:r>
          </w:p>
        </w:tc>
      </w:tr>
      <w:tr w:rsidR="009338B9" w:rsidRPr="00F90B4C" w14:paraId="26E667C1" w14:textId="77777777" w:rsidTr="009338B9">
        <w:trPr>
          <w:jc w:val="center"/>
        </w:trPr>
        <w:tc>
          <w:tcPr>
            <w:tcW w:w="2438" w:type="dxa"/>
            <w:gridSpan w:val="2"/>
            <w:tcBorders>
              <w:top w:val="single" w:sz="4" w:space="0" w:color="auto"/>
              <w:left w:val="single" w:sz="4" w:space="0" w:color="auto"/>
              <w:bottom w:val="single" w:sz="4" w:space="0" w:color="auto"/>
            </w:tcBorders>
            <w:shd w:val="clear" w:color="auto" w:fill="FFFFFF"/>
          </w:tcPr>
          <w:p w14:paraId="2B0309E0" w14:textId="77777777" w:rsidR="009338B9" w:rsidRPr="00F90B4C" w:rsidRDefault="009338B9" w:rsidP="00F90B4C">
            <w:pPr>
              <w:spacing w:after="120"/>
              <w:rPr>
                <w:rFonts w:ascii="Sylfaen" w:hAnsi="Sylfaen"/>
                <w:sz w:val="20"/>
                <w:szCs w:val="20"/>
              </w:rPr>
            </w:pPr>
          </w:p>
        </w:tc>
        <w:tc>
          <w:tcPr>
            <w:tcW w:w="1219" w:type="dxa"/>
            <w:tcBorders>
              <w:top w:val="single" w:sz="4" w:space="0" w:color="auto"/>
              <w:left w:val="single" w:sz="4" w:space="0" w:color="auto"/>
              <w:bottom w:val="single" w:sz="4" w:space="0" w:color="auto"/>
            </w:tcBorders>
            <w:shd w:val="clear" w:color="auto" w:fill="FFFFFF"/>
          </w:tcPr>
          <w:p w14:paraId="2E9EAABF" w14:textId="77777777" w:rsidR="009338B9" w:rsidRPr="00F90B4C" w:rsidRDefault="009338B9" w:rsidP="00F90B4C">
            <w:pPr>
              <w:spacing w:after="120"/>
              <w:rPr>
                <w:rFonts w:ascii="Sylfaen" w:hAnsi="Sylfaen"/>
                <w:sz w:val="20"/>
                <w:szCs w:val="20"/>
              </w:rPr>
            </w:pPr>
          </w:p>
        </w:tc>
        <w:tc>
          <w:tcPr>
            <w:tcW w:w="2433" w:type="dxa"/>
            <w:gridSpan w:val="2"/>
            <w:tcBorders>
              <w:top w:val="single" w:sz="4" w:space="0" w:color="auto"/>
              <w:left w:val="single" w:sz="4" w:space="0" w:color="auto"/>
              <w:bottom w:val="single" w:sz="4" w:space="0" w:color="auto"/>
            </w:tcBorders>
            <w:shd w:val="clear" w:color="auto" w:fill="FFFFFF"/>
          </w:tcPr>
          <w:p w14:paraId="1809291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ԸՆԴԱՄԵՆԸ՝</w:t>
            </w:r>
          </w:p>
        </w:tc>
        <w:tc>
          <w:tcPr>
            <w:tcW w:w="1214" w:type="dxa"/>
            <w:tcBorders>
              <w:top w:val="single" w:sz="4" w:space="0" w:color="auto"/>
              <w:left w:val="single" w:sz="4" w:space="0" w:color="auto"/>
              <w:bottom w:val="single" w:sz="4" w:space="0" w:color="auto"/>
            </w:tcBorders>
            <w:shd w:val="clear" w:color="auto" w:fill="FFFFFF"/>
          </w:tcPr>
          <w:p w14:paraId="327A510A"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4 910</w:t>
            </w:r>
          </w:p>
        </w:tc>
        <w:tc>
          <w:tcPr>
            <w:tcW w:w="1219" w:type="dxa"/>
            <w:tcBorders>
              <w:top w:val="single" w:sz="4" w:space="0" w:color="auto"/>
              <w:left w:val="single" w:sz="4" w:space="0" w:color="auto"/>
              <w:bottom w:val="single" w:sz="4" w:space="0" w:color="auto"/>
            </w:tcBorders>
            <w:shd w:val="clear" w:color="auto" w:fill="FFFFFF"/>
          </w:tcPr>
          <w:p w14:paraId="1983C5E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3 590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14:paraId="6F4AE2A9"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6 446</w:t>
            </w:r>
          </w:p>
        </w:tc>
      </w:tr>
    </w:tbl>
    <w:p w14:paraId="7027226A" w14:textId="77777777" w:rsidR="009338B9" w:rsidRPr="00CF39EE" w:rsidRDefault="009338B9" w:rsidP="009338B9">
      <w:pPr>
        <w:spacing w:after="160" w:line="360" w:lineRule="auto"/>
        <w:rPr>
          <w:rFonts w:ascii="Sylfaen" w:hAnsi="Sylfaen"/>
        </w:rPr>
      </w:pPr>
    </w:p>
    <w:p w14:paraId="28602B67" w14:textId="77777777" w:rsidR="009338B9" w:rsidRPr="00CF39EE" w:rsidRDefault="009338B9" w:rsidP="00F90B4C">
      <w:pPr>
        <w:pStyle w:val="Heading10"/>
        <w:spacing w:after="160" w:line="360" w:lineRule="auto"/>
        <w:ind w:right="-8"/>
        <w:jc w:val="right"/>
        <w:rPr>
          <w:rFonts w:ascii="Sylfaen" w:hAnsi="Sylfaen"/>
          <w:sz w:val="24"/>
          <w:szCs w:val="24"/>
        </w:rPr>
      </w:pPr>
      <w:r w:rsidRPr="00CF39EE">
        <w:rPr>
          <w:rFonts w:ascii="Sylfaen" w:hAnsi="Sylfaen"/>
          <w:sz w:val="24"/>
          <w:szCs w:val="24"/>
        </w:rPr>
        <w:t>Աղյուսակ 5</w:t>
      </w:r>
    </w:p>
    <w:p w14:paraId="0C6DE1AB" w14:textId="77777777" w:rsidR="009338B9" w:rsidRPr="00CF39EE" w:rsidRDefault="009338B9" w:rsidP="009338B9">
      <w:pPr>
        <w:pStyle w:val="Bodytext20"/>
        <w:spacing w:after="160" w:line="360" w:lineRule="auto"/>
        <w:ind w:right="-8"/>
        <w:rPr>
          <w:rFonts w:ascii="Sylfaen" w:hAnsi="Sylfaen"/>
          <w:sz w:val="24"/>
          <w:szCs w:val="24"/>
        </w:rPr>
      </w:pPr>
      <w:r w:rsidRPr="00CF39EE">
        <w:rPr>
          <w:rFonts w:ascii="Sylfaen" w:hAnsi="Sylfaen"/>
          <w:sz w:val="24"/>
          <w:szCs w:val="24"/>
        </w:rPr>
        <w:t>Չափանմուշային հաշվարկային պայմանները (ջերմաստիճանն ըստ չոր ջերմաչափի. փակագծերում՝ ջերմաստիճանն ըստ խոնավ ջերմաչափի)</w:t>
      </w:r>
    </w:p>
    <w:tbl>
      <w:tblPr>
        <w:tblOverlap w:val="never"/>
        <w:tblW w:w="9768" w:type="dxa"/>
        <w:jc w:val="center"/>
        <w:tblLayout w:type="fixed"/>
        <w:tblCellMar>
          <w:left w:w="10" w:type="dxa"/>
          <w:right w:w="10" w:type="dxa"/>
        </w:tblCellMar>
        <w:tblLook w:val="0000" w:firstRow="0" w:lastRow="0" w:firstColumn="0" w:lastColumn="0" w:noHBand="0" w:noVBand="0"/>
      </w:tblPr>
      <w:tblGrid>
        <w:gridCol w:w="1912"/>
        <w:gridCol w:w="1918"/>
        <w:gridCol w:w="2026"/>
        <w:gridCol w:w="1795"/>
        <w:gridCol w:w="2117"/>
      </w:tblGrid>
      <w:tr w:rsidR="009338B9" w:rsidRPr="00F90B4C" w14:paraId="25B8994E" w14:textId="77777777" w:rsidTr="00F90B4C">
        <w:trPr>
          <w:tblHeader/>
          <w:jc w:val="center"/>
        </w:trPr>
        <w:tc>
          <w:tcPr>
            <w:tcW w:w="1912" w:type="dxa"/>
            <w:tcBorders>
              <w:top w:val="single" w:sz="4" w:space="0" w:color="auto"/>
              <w:left w:val="single" w:sz="4" w:space="0" w:color="auto"/>
            </w:tcBorders>
            <w:shd w:val="clear" w:color="auto" w:fill="FFFFFF"/>
            <w:vAlign w:val="center"/>
          </w:tcPr>
          <w:p w14:paraId="6E770907" w14:textId="77777777" w:rsidR="009338B9" w:rsidRPr="00F90B4C" w:rsidRDefault="009338B9" w:rsidP="008E78DD">
            <w:pPr>
              <w:pStyle w:val="Bodytext20"/>
              <w:spacing w:after="120" w:line="240" w:lineRule="auto"/>
              <w:ind w:left="58"/>
              <w:rPr>
                <w:rFonts w:ascii="Sylfaen" w:hAnsi="Sylfaen"/>
                <w:sz w:val="20"/>
                <w:szCs w:val="20"/>
              </w:rPr>
            </w:pPr>
            <w:r w:rsidRPr="00F90B4C">
              <w:rPr>
                <w:rStyle w:val="Bodytext211pt"/>
                <w:rFonts w:ascii="Sylfaen" w:hAnsi="Sylfaen"/>
                <w:sz w:val="20"/>
                <w:szCs w:val="20"/>
              </w:rPr>
              <w:t>Ֆունկցիա/սեզոն</w:t>
            </w:r>
          </w:p>
        </w:tc>
        <w:tc>
          <w:tcPr>
            <w:tcW w:w="1918" w:type="dxa"/>
            <w:tcBorders>
              <w:top w:val="single" w:sz="4" w:space="0" w:color="auto"/>
              <w:left w:val="single" w:sz="4" w:space="0" w:color="auto"/>
            </w:tcBorders>
            <w:shd w:val="clear" w:color="auto" w:fill="FFFFFF"/>
            <w:vAlign w:val="center"/>
          </w:tcPr>
          <w:p w14:paraId="67A23C50"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Օդի ջերմաստիճանը տարածքում, °C T</w:t>
            </w:r>
            <w:r w:rsidRPr="00F90B4C">
              <w:rPr>
                <w:rStyle w:val="Bodytext211pt"/>
                <w:rFonts w:ascii="Sylfaen" w:hAnsi="Sylfaen"/>
                <w:sz w:val="20"/>
                <w:szCs w:val="20"/>
                <w:vertAlign w:val="subscript"/>
              </w:rPr>
              <w:t>in</w:t>
            </w:r>
          </w:p>
        </w:tc>
        <w:tc>
          <w:tcPr>
            <w:tcW w:w="2026" w:type="dxa"/>
            <w:tcBorders>
              <w:top w:val="single" w:sz="4" w:space="0" w:color="auto"/>
              <w:left w:val="single" w:sz="4" w:space="0" w:color="auto"/>
            </w:tcBorders>
            <w:shd w:val="clear" w:color="auto" w:fill="FFFFFF"/>
            <w:vAlign w:val="center"/>
          </w:tcPr>
          <w:p w14:paraId="55F0C31F"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Արտաքին օդի ջերմաստիճանը, °C T</w:t>
            </w:r>
            <w:r w:rsidRPr="00F90B4C">
              <w:rPr>
                <w:rStyle w:val="Bodytext211pt"/>
                <w:rFonts w:ascii="Sylfaen" w:hAnsi="Sylfaen"/>
                <w:sz w:val="20"/>
                <w:szCs w:val="20"/>
                <w:vertAlign w:val="subscript"/>
              </w:rPr>
              <w:t>designC</w:t>
            </w:r>
            <w:r w:rsidRPr="00F90B4C">
              <w:rPr>
                <w:rStyle w:val="Bodytext211pt"/>
                <w:rFonts w:ascii="Sylfaen" w:hAnsi="Sylfaen"/>
                <w:sz w:val="20"/>
                <w:szCs w:val="20"/>
              </w:rPr>
              <w:t>/T</w:t>
            </w:r>
            <w:r w:rsidRPr="00F90B4C">
              <w:rPr>
                <w:rStyle w:val="Bodytext211pt"/>
                <w:rFonts w:ascii="Sylfaen" w:hAnsi="Sylfaen"/>
                <w:sz w:val="20"/>
                <w:szCs w:val="20"/>
                <w:vertAlign w:val="subscript"/>
              </w:rPr>
              <w:t>designH</w:t>
            </w:r>
          </w:p>
        </w:tc>
        <w:tc>
          <w:tcPr>
            <w:tcW w:w="1795" w:type="dxa"/>
            <w:tcBorders>
              <w:top w:val="single" w:sz="4" w:space="0" w:color="auto"/>
              <w:left w:val="single" w:sz="4" w:space="0" w:color="auto"/>
            </w:tcBorders>
            <w:shd w:val="clear" w:color="auto" w:fill="FFFFFF"/>
            <w:vAlign w:val="center"/>
          </w:tcPr>
          <w:p w14:paraId="107A51FC"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Ռեզերվային տաքացման ջերմաստիճանը, °C T</w:t>
            </w:r>
            <w:r w:rsidRPr="00F90B4C">
              <w:rPr>
                <w:rStyle w:val="Bodytext211pt"/>
                <w:rFonts w:ascii="Sylfaen" w:hAnsi="Sylfaen"/>
                <w:sz w:val="20"/>
                <w:szCs w:val="20"/>
                <w:vertAlign w:val="subscript"/>
              </w:rPr>
              <w:t>biv</w:t>
            </w:r>
          </w:p>
        </w:tc>
        <w:tc>
          <w:tcPr>
            <w:tcW w:w="2117" w:type="dxa"/>
            <w:tcBorders>
              <w:top w:val="single" w:sz="4" w:space="0" w:color="auto"/>
              <w:left w:val="single" w:sz="4" w:space="0" w:color="auto"/>
              <w:right w:val="single" w:sz="4" w:space="0" w:color="auto"/>
            </w:tcBorders>
            <w:shd w:val="clear" w:color="auto" w:fill="FFFFFF"/>
            <w:vAlign w:val="center"/>
          </w:tcPr>
          <w:p w14:paraId="3FA7DC3B" w14:textId="77777777" w:rsidR="009338B9" w:rsidRPr="00F90B4C" w:rsidRDefault="009338B9" w:rsidP="00F90B4C">
            <w:pPr>
              <w:pStyle w:val="Bodytext20"/>
              <w:spacing w:after="120" w:line="240" w:lineRule="auto"/>
              <w:rPr>
                <w:rFonts w:ascii="Sylfaen" w:hAnsi="Sylfaen"/>
                <w:sz w:val="20"/>
                <w:szCs w:val="20"/>
              </w:rPr>
            </w:pPr>
            <w:r w:rsidRPr="00F90B4C">
              <w:rPr>
                <w:rStyle w:val="Bodytext211pt"/>
                <w:rFonts w:ascii="Sylfaen" w:hAnsi="Sylfaen"/>
                <w:sz w:val="20"/>
                <w:szCs w:val="20"/>
              </w:rPr>
              <w:t>Աշխատանքային ջերմաստիճանի սահմանային արժեքը, °C T</w:t>
            </w:r>
            <w:r w:rsidRPr="00F90B4C">
              <w:rPr>
                <w:rStyle w:val="Bodytext211pt"/>
                <w:rFonts w:ascii="Sylfaen" w:hAnsi="Sylfaen"/>
                <w:sz w:val="20"/>
                <w:szCs w:val="20"/>
                <w:vertAlign w:val="subscript"/>
              </w:rPr>
              <w:t>ol</w:t>
            </w:r>
          </w:p>
        </w:tc>
      </w:tr>
      <w:tr w:rsidR="009338B9" w:rsidRPr="00F90B4C" w14:paraId="5CB57BE5" w14:textId="77777777" w:rsidTr="008E78DD">
        <w:trPr>
          <w:jc w:val="center"/>
        </w:trPr>
        <w:tc>
          <w:tcPr>
            <w:tcW w:w="1912" w:type="dxa"/>
            <w:tcBorders>
              <w:top w:val="single" w:sz="4" w:space="0" w:color="auto"/>
              <w:left w:val="single" w:sz="4" w:space="0" w:color="auto"/>
            </w:tcBorders>
            <w:shd w:val="clear" w:color="auto" w:fill="FFFFFF"/>
            <w:vAlign w:val="center"/>
          </w:tcPr>
          <w:p w14:paraId="35DDFEF5"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Հովացում</w:t>
            </w:r>
          </w:p>
        </w:tc>
        <w:tc>
          <w:tcPr>
            <w:tcW w:w="1918" w:type="dxa"/>
            <w:tcBorders>
              <w:top w:val="single" w:sz="4" w:space="0" w:color="auto"/>
              <w:left w:val="single" w:sz="4" w:space="0" w:color="auto"/>
            </w:tcBorders>
            <w:shd w:val="clear" w:color="auto" w:fill="FFFFFF"/>
            <w:vAlign w:val="center"/>
          </w:tcPr>
          <w:p w14:paraId="208ACAA2"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27 (19)</w:t>
            </w:r>
          </w:p>
        </w:tc>
        <w:tc>
          <w:tcPr>
            <w:tcW w:w="2026" w:type="dxa"/>
            <w:tcBorders>
              <w:top w:val="single" w:sz="4" w:space="0" w:color="auto"/>
              <w:left w:val="single" w:sz="4" w:space="0" w:color="auto"/>
            </w:tcBorders>
            <w:shd w:val="clear" w:color="auto" w:fill="FFFFFF"/>
            <w:vAlign w:val="center"/>
          </w:tcPr>
          <w:p w14:paraId="078C6339" w14:textId="77777777" w:rsidR="009338B9" w:rsidRPr="00F90B4C" w:rsidRDefault="009338B9" w:rsidP="008E78DD">
            <w:pPr>
              <w:pStyle w:val="Bodytext20"/>
              <w:spacing w:after="120" w:line="240" w:lineRule="auto"/>
              <w:ind w:left="200"/>
              <w:rPr>
                <w:rFonts w:ascii="Sylfaen" w:hAnsi="Sylfaen"/>
                <w:sz w:val="20"/>
                <w:szCs w:val="20"/>
              </w:rPr>
            </w:pPr>
            <w:r w:rsidRPr="00F90B4C">
              <w:rPr>
                <w:rStyle w:val="Bodytext211pt"/>
                <w:rFonts w:ascii="Sylfaen" w:hAnsi="Sylfaen"/>
                <w:sz w:val="20"/>
                <w:szCs w:val="20"/>
              </w:rPr>
              <w:t>T</w:t>
            </w:r>
            <w:r w:rsidRPr="00F90B4C">
              <w:rPr>
                <w:rStyle w:val="Bodytext211pt"/>
                <w:rFonts w:ascii="Sylfaen" w:hAnsi="Sylfaen"/>
                <w:sz w:val="20"/>
                <w:szCs w:val="20"/>
                <w:vertAlign w:val="subscript"/>
              </w:rPr>
              <w:t>designC</w:t>
            </w:r>
            <w:r w:rsidRPr="00F90B4C">
              <w:rPr>
                <w:rStyle w:val="Bodytext211pt"/>
                <w:rFonts w:ascii="Sylfaen" w:hAnsi="Sylfaen"/>
                <w:sz w:val="20"/>
                <w:szCs w:val="20"/>
              </w:rPr>
              <w:t xml:space="preserve"> = 35 (24)</w:t>
            </w:r>
          </w:p>
        </w:tc>
        <w:tc>
          <w:tcPr>
            <w:tcW w:w="1795" w:type="dxa"/>
            <w:tcBorders>
              <w:top w:val="single" w:sz="4" w:space="0" w:color="auto"/>
              <w:left w:val="single" w:sz="4" w:space="0" w:color="auto"/>
            </w:tcBorders>
            <w:shd w:val="clear" w:color="auto" w:fill="FFFFFF"/>
            <w:vAlign w:val="center"/>
          </w:tcPr>
          <w:p w14:paraId="2FC7484A"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w:t>
            </w:r>
          </w:p>
        </w:tc>
        <w:tc>
          <w:tcPr>
            <w:tcW w:w="2117" w:type="dxa"/>
            <w:tcBorders>
              <w:top w:val="single" w:sz="4" w:space="0" w:color="auto"/>
              <w:left w:val="single" w:sz="4" w:space="0" w:color="auto"/>
              <w:right w:val="single" w:sz="4" w:space="0" w:color="auto"/>
            </w:tcBorders>
            <w:shd w:val="clear" w:color="auto" w:fill="FFFFFF"/>
            <w:vAlign w:val="center"/>
          </w:tcPr>
          <w:p w14:paraId="0B2D1CC6"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w:t>
            </w:r>
          </w:p>
        </w:tc>
      </w:tr>
      <w:tr w:rsidR="009338B9" w:rsidRPr="00F90B4C" w14:paraId="0212C56F" w14:textId="77777777" w:rsidTr="008E78DD">
        <w:trPr>
          <w:jc w:val="center"/>
        </w:trPr>
        <w:tc>
          <w:tcPr>
            <w:tcW w:w="1912" w:type="dxa"/>
            <w:tcBorders>
              <w:top w:val="single" w:sz="4" w:space="0" w:color="auto"/>
              <w:left w:val="single" w:sz="4" w:space="0" w:color="auto"/>
            </w:tcBorders>
            <w:shd w:val="clear" w:color="auto" w:fill="FFFFFF"/>
            <w:vAlign w:val="center"/>
          </w:tcPr>
          <w:p w14:paraId="395EE139" w14:textId="77777777" w:rsidR="009338B9" w:rsidRPr="00F90B4C" w:rsidRDefault="009338B9" w:rsidP="008E78DD">
            <w:pPr>
              <w:pStyle w:val="Bodytext20"/>
              <w:spacing w:after="120" w:line="240" w:lineRule="auto"/>
              <w:ind w:left="160"/>
              <w:rPr>
                <w:rFonts w:ascii="Sylfaen" w:hAnsi="Sylfaen"/>
                <w:sz w:val="20"/>
                <w:szCs w:val="20"/>
              </w:rPr>
            </w:pPr>
            <w:r w:rsidRPr="00F90B4C">
              <w:rPr>
                <w:rStyle w:val="Bodytext211pt"/>
                <w:rFonts w:ascii="Sylfaen" w:hAnsi="Sylfaen"/>
                <w:sz w:val="20"/>
                <w:szCs w:val="20"/>
              </w:rPr>
              <w:t>Տաքացում/միջին</w:t>
            </w:r>
          </w:p>
        </w:tc>
        <w:tc>
          <w:tcPr>
            <w:tcW w:w="1918" w:type="dxa"/>
            <w:vMerge w:val="restart"/>
            <w:tcBorders>
              <w:top w:val="single" w:sz="4" w:space="0" w:color="auto"/>
              <w:left w:val="single" w:sz="4" w:space="0" w:color="auto"/>
            </w:tcBorders>
            <w:shd w:val="clear" w:color="auto" w:fill="FFFFFF"/>
            <w:vAlign w:val="center"/>
          </w:tcPr>
          <w:p w14:paraId="07F32A2B"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20 (15)</w:t>
            </w:r>
          </w:p>
        </w:tc>
        <w:tc>
          <w:tcPr>
            <w:tcW w:w="2026" w:type="dxa"/>
            <w:tcBorders>
              <w:top w:val="single" w:sz="4" w:space="0" w:color="auto"/>
              <w:left w:val="single" w:sz="4" w:space="0" w:color="auto"/>
            </w:tcBorders>
            <w:shd w:val="clear" w:color="auto" w:fill="FFFFFF"/>
            <w:vAlign w:val="center"/>
          </w:tcPr>
          <w:p w14:paraId="16A55AA9"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T</w:t>
            </w:r>
            <w:r w:rsidRPr="00F90B4C">
              <w:rPr>
                <w:rStyle w:val="Bodytext211pt"/>
                <w:rFonts w:ascii="Sylfaen" w:hAnsi="Sylfaen"/>
                <w:sz w:val="20"/>
                <w:szCs w:val="20"/>
                <w:vertAlign w:val="subscript"/>
              </w:rPr>
              <w:t>designH</w:t>
            </w:r>
            <w:r w:rsidRPr="00F90B4C">
              <w:rPr>
                <w:rStyle w:val="Bodytext211pt"/>
                <w:rFonts w:ascii="Sylfaen" w:hAnsi="Sylfaen"/>
                <w:sz w:val="20"/>
                <w:szCs w:val="20"/>
              </w:rPr>
              <w:t xml:space="preserve"> = -10 (-11)</w:t>
            </w:r>
          </w:p>
        </w:tc>
        <w:tc>
          <w:tcPr>
            <w:tcW w:w="1795" w:type="dxa"/>
            <w:tcBorders>
              <w:top w:val="single" w:sz="4" w:space="0" w:color="auto"/>
              <w:left w:val="single" w:sz="4" w:space="0" w:color="auto"/>
            </w:tcBorders>
            <w:shd w:val="clear" w:color="auto" w:fill="FFFFFF"/>
            <w:vAlign w:val="center"/>
          </w:tcPr>
          <w:p w14:paraId="6093D138"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առավել. 2</w:t>
            </w:r>
          </w:p>
        </w:tc>
        <w:tc>
          <w:tcPr>
            <w:tcW w:w="2117" w:type="dxa"/>
            <w:tcBorders>
              <w:top w:val="single" w:sz="4" w:space="0" w:color="auto"/>
              <w:left w:val="single" w:sz="4" w:space="0" w:color="auto"/>
              <w:right w:val="single" w:sz="4" w:space="0" w:color="auto"/>
            </w:tcBorders>
            <w:shd w:val="clear" w:color="auto" w:fill="FFFFFF"/>
            <w:vAlign w:val="center"/>
          </w:tcPr>
          <w:p w14:paraId="21CE4AA8"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առավել. -7</w:t>
            </w:r>
          </w:p>
        </w:tc>
      </w:tr>
      <w:tr w:rsidR="009338B9" w:rsidRPr="00F90B4C" w14:paraId="77EBFB15" w14:textId="77777777" w:rsidTr="008E78DD">
        <w:trPr>
          <w:jc w:val="center"/>
        </w:trPr>
        <w:tc>
          <w:tcPr>
            <w:tcW w:w="1912" w:type="dxa"/>
            <w:tcBorders>
              <w:top w:val="single" w:sz="4" w:space="0" w:color="auto"/>
              <w:left w:val="single" w:sz="4" w:space="0" w:color="auto"/>
            </w:tcBorders>
            <w:shd w:val="clear" w:color="auto" w:fill="FFFFFF"/>
            <w:vAlign w:val="center"/>
          </w:tcPr>
          <w:p w14:paraId="252CE1DB" w14:textId="77777777" w:rsidR="009338B9" w:rsidRPr="00F90B4C" w:rsidRDefault="009338B9" w:rsidP="008E78DD">
            <w:pPr>
              <w:pStyle w:val="Bodytext20"/>
              <w:spacing w:after="120" w:line="240" w:lineRule="auto"/>
              <w:ind w:left="160"/>
              <w:rPr>
                <w:rFonts w:ascii="Sylfaen" w:hAnsi="Sylfaen"/>
                <w:sz w:val="20"/>
                <w:szCs w:val="20"/>
              </w:rPr>
            </w:pPr>
            <w:r w:rsidRPr="00F90B4C">
              <w:rPr>
                <w:rStyle w:val="Bodytext211pt"/>
                <w:rFonts w:ascii="Sylfaen" w:hAnsi="Sylfaen"/>
                <w:sz w:val="20"/>
                <w:szCs w:val="20"/>
              </w:rPr>
              <w:t>Տաքացում/ավելի տաք</w:t>
            </w:r>
          </w:p>
        </w:tc>
        <w:tc>
          <w:tcPr>
            <w:tcW w:w="1918" w:type="dxa"/>
            <w:vMerge/>
            <w:tcBorders>
              <w:left w:val="single" w:sz="4" w:space="0" w:color="auto"/>
            </w:tcBorders>
            <w:shd w:val="clear" w:color="auto" w:fill="FFFFFF"/>
            <w:vAlign w:val="center"/>
          </w:tcPr>
          <w:p w14:paraId="45E160AF" w14:textId="77777777" w:rsidR="009338B9" w:rsidRPr="00F90B4C" w:rsidRDefault="009338B9" w:rsidP="008E78DD">
            <w:pPr>
              <w:spacing w:after="120"/>
              <w:jc w:val="center"/>
              <w:rPr>
                <w:rFonts w:ascii="Sylfaen" w:hAnsi="Sylfaen"/>
                <w:sz w:val="20"/>
                <w:szCs w:val="20"/>
              </w:rPr>
            </w:pPr>
          </w:p>
        </w:tc>
        <w:tc>
          <w:tcPr>
            <w:tcW w:w="2026" w:type="dxa"/>
            <w:tcBorders>
              <w:top w:val="single" w:sz="4" w:space="0" w:color="auto"/>
              <w:left w:val="single" w:sz="4" w:space="0" w:color="auto"/>
            </w:tcBorders>
            <w:shd w:val="clear" w:color="auto" w:fill="FFFFFF"/>
            <w:vAlign w:val="center"/>
          </w:tcPr>
          <w:p w14:paraId="7246E70C" w14:textId="77777777" w:rsidR="009338B9" w:rsidRPr="00F90B4C" w:rsidRDefault="009338B9" w:rsidP="008E78DD">
            <w:pPr>
              <w:pStyle w:val="Bodytext20"/>
              <w:spacing w:after="120" w:line="240" w:lineRule="auto"/>
              <w:ind w:left="480" w:hanging="100"/>
              <w:rPr>
                <w:rFonts w:ascii="Sylfaen" w:hAnsi="Sylfaen"/>
                <w:sz w:val="20"/>
                <w:szCs w:val="20"/>
              </w:rPr>
            </w:pPr>
            <w:r w:rsidRPr="00F90B4C">
              <w:rPr>
                <w:rStyle w:val="Bodytext211pt"/>
                <w:rFonts w:ascii="Sylfaen" w:hAnsi="Sylfaen"/>
                <w:sz w:val="20"/>
                <w:szCs w:val="20"/>
              </w:rPr>
              <w:t>T</w:t>
            </w:r>
            <w:r w:rsidRPr="00F90B4C">
              <w:rPr>
                <w:rStyle w:val="Bodytext211pt"/>
                <w:rFonts w:ascii="Sylfaen" w:hAnsi="Sylfaen"/>
                <w:sz w:val="20"/>
                <w:szCs w:val="20"/>
                <w:vertAlign w:val="subscript"/>
              </w:rPr>
              <w:t>designH</w:t>
            </w:r>
            <w:r w:rsidRPr="00F90B4C">
              <w:rPr>
                <w:rStyle w:val="Bodytext211pt"/>
                <w:rFonts w:ascii="Sylfaen" w:hAnsi="Sylfaen"/>
                <w:sz w:val="20"/>
                <w:szCs w:val="20"/>
              </w:rPr>
              <w:t xml:space="preserve"> = 2 (1)</w:t>
            </w:r>
          </w:p>
        </w:tc>
        <w:tc>
          <w:tcPr>
            <w:tcW w:w="1795" w:type="dxa"/>
            <w:tcBorders>
              <w:top w:val="single" w:sz="4" w:space="0" w:color="auto"/>
              <w:left w:val="single" w:sz="4" w:space="0" w:color="auto"/>
            </w:tcBorders>
            <w:shd w:val="clear" w:color="auto" w:fill="FFFFFF"/>
            <w:vAlign w:val="center"/>
          </w:tcPr>
          <w:p w14:paraId="251AB085"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առավել. 7</w:t>
            </w:r>
          </w:p>
        </w:tc>
        <w:tc>
          <w:tcPr>
            <w:tcW w:w="2117" w:type="dxa"/>
            <w:tcBorders>
              <w:top w:val="single" w:sz="4" w:space="0" w:color="auto"/>
              <w:left w:val="single" w:sz="4" w:space="0" w:color="auto"/>
              <w:right w:val="single" w:sz="4" w:space="0" w:color="auto"/>
            </w:tcBorders>
            <w:shd w:val="clear" w:color="auto" w:fill="FFFFFF"/>
            <w:vAlign w:val="center"/>
          </w:tcPr>
          <w:p w14:paraId="0BF2AD38"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առավել. 2</w:t>
            </w:r>
          </w:p>
        </w:tc>
      </w:tr>
      <w:tr w:rsidR="009338B9" w:rsidRPr="00F90B4C" w14:paraId="4BEAAD10" w14:textId="77777777" w:rsidTr="008E78DD">
        <w:trPr>
          <w:jc w:val="center"/>
        </w:trPr>
        <w:tc>
          <w:tcPr>
            <w:tcW w:w="1912" w:type="dxa"/>
            <w:tcBorders>
              <w:top w:val="single" w:sz="4" w:space="0" w:color="auto"/>
              <w:left w:val="single" w:sz="4" w:space="0" w:color="auto"/>
              <w:bottom w:val="single" w:sz="4" w:space="0" w:color="auto"/>
            </w:tcBorders>
            <w:shd w:val="clear" w:color="auto" w:fill="FFFFFF"/>
            <w:vAlign w:val="center"/>
          </w:tcPr>
          <w:p w14:paraId="330C483F" w14:textId="77777777" w:rsidR="009338B9" w:rsidRPr="00F90B4C" w:rsidRDefault="009338B9" w:rsidP="008E78DD">
            <w:pPr>
              <w:pStyle w:val="Bodytext20"/>
              <w:spacing w:after="120" w:line="240" w:lineRule="auto"/>
              <w:ind w:left="160"/>
              <w:rPr>
                <w:rFonts w:ascii="Sylfaen" w:hAnsi="Sylfaen"/>
                <w:sz w:val="20"/>
                <w:szCs w:val="20"/>
              </w:rPr>
            </w:pPr>
            <w:r w:rsidRPr="00F90B4C">
              <w:rPr>
                <w:rStyle w:val="Bodytext211pt"/>
                <w:rFonts w:ascii="Sylfaen" w:hAnsi="Sylfaen"/>
                <w:sz w:val="20"/>
                <w:szCs w:val="20"/>
              </w:rPr>
              <w:t>Տաքացում/ավելի ցուրտ</w:t>
            </w:r>
          </w:p>
        </w:tc>
        <w:tc>
          <w:tcPr>
            <w:tcW w:w="1918" w:type="dxa"/>
            <w:vMerge/>
            <w:tcBorders>
              <w:left w:val="single" w:sz="4" w:space="0" w:color="auto"/>
              <w:bottom w:val="single" w:sz="4" w:space="0" w:color="auto"/>
            </w:tcBorders>
            <w:shd w:val="clear" w:color="auto" w:fill="FFFFFF"/>
            <w:vAlign w:val="center"/>
          </w:tcPr>
          <w:p w14:paraId="793C56D9" w14:textId="77777777" w:rsidR="009338B9" w:rsidRPr="00F90B4C" w:rsidRDefault="009338B9" w:rsidP="008E78DD">
            <w:pPr>
              <w:spacing w:after="120"/>
              <w:jc w:val="center"/>
              <w:rPr>
                <w:rFonts w:ascii="Sylfaen" w:hAnsi="Sylfaen"/>
                <w:sz w:val="20"/>
                <w:szCs w:val="20"/>
              </w:rPr>
            </w:pPr>
          </w:p>
        </w:tc>
        <w:tc>
          <w:tcPr>
            <w:tcW w:w="2026" w:type="dxa"/>
            <w:tcBorders>
              <w:top w:val="single" w:sz="4" w:space="0" w:color="auto"/>
              <w:left w:val="single" w:sz="4" w:space="0" w:color="auto"/>
              <w:bottom w:val="single" w:sz="4" w:space="0" w:color="auto"/>
            </w:tcBorders>
            <w:shd w:val="clear" w:color="auto" w:fill="FFFFFF"/>
            <w:vAlign w:val="center"/>
          </w:tcPr>
          <w:p w14:paraId="1ADCCB5B"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T</w:t>
            </w:r>
            <w:r w:rsidRPr="00F90B4C">
              <w:rPr>
                <w:rStyle w:val="Bodytext211pt"/>
                <w:rFonts w:ascii="Sylfaen" w:hAnsi="Sylfaen"/>
                <w:sz w:val="20"/>
                <w:szCs w:val="20"/>
                <w:vertAlign w:val="subscript"/>
              </w:rPr>
              <w:t>designH</w:t>
            </w:r>
            <w:r w:rsidRPr="00F90B4C">
              <w:rPr>
                <w:rStyle w:val="Bodytext211pt"/>
                <w:rFonts w:ascii="Sylfaen" w:hAnsi="Sylfaen"/>
                <w:sz w:val="20"/>
                <w:szCs w:val="20"/>
              </w:rPr>
              <w:t xml:space="preserve"> = -22 (-23)</w:t>
            </w:r>
          </w:p>
        </w:tc>
        <w:tc>
          <w:tcPr>
            <w:tcW w:w="1795" w:type="dxa"/>
            <w:tcBorders>
              <w:top w:val="single" w:sz="4" w:space="0" w:color="auto"/>
              <w:left w:val="single" w:sz="4" w:space="0" w:color="auto"/>
              <w:bottom w:val="single" w:sz="4" w:space="0" w:color="auto"/>
            </w:tcBorders>
            <w:shd w:val="clear" w:color="auto" w:fill="FFFFFF"/>
            <w:vAlign w:val="center"/>
          </w:tcPr>
          <w:p w14:paraId="237213BD"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առավել. -7</w:t>
            </w:r>
          </w:p>
        </w:tc>
        <w:tc>
          <w:tcPr>
            <w:tcW w:w="2117" w:type="dxa"/>
            <w:tcBorders>
              <w:top w:val="single" w:sz="4" w:space="0" w:color="auto"/>
              <w:left w:val="single" w:sz="4" w:space="0" w:color="auto"/>
              <w:bottom w:val="single" w:sz="4" w:space="0" w:color="auto"/>
              <w:right w:val="single" w:sz="4" w:space="0" w:color="auto"/>
            </w:tcBorders>
            <w:shd w:val="clear" w:color="auto" w:fill="FFFFFF"/>
            <w:vAlign w:val="center"/>
          </w:tcPr>
          <w:p w14:paraId="6A6BFD8B" w14:textId="77777777" w:rsidR="009338B9" w:rsidRPr="00F90B4C" w:rsidRDefault="009338B9" w:rsidP="008E78DD">
            <w:pPr>
              <w:pStyle w:val="Bodytext20"/>
              <w:spacing w:after="120" w:line="240" w:lineRule="auto"/>
              <w:rPr>
                <w:rFonts w:ascii="Sylfaen" w:hAnsi="Sylfaen"/>
                <w:sz w:val="20"/>
                <w:szCs w:val="20"/>
              </w:rPr>
            </w:pPr>
            <w:r w:rsidRPr="00F90B4C">
              <w:rPr>
                <w:rStyle w:val="Bodytext211pt"/>
                <w:rFonts w:ascii="Sylfaen" w:hAnsi="Sylfaen"/>
                <w:sz w:val="20"/>
                <w:szCs w:val="20"/>
              </w:rPr>
              <w:t>առավել. -15</w:t>
            </w:r>
          </w:p>
        </w:tc>
      </w:tr>
    </w:tbl>
    <w:p w14:paraId="04FE2A6A" w14:textId="77777777" w:rsidR="009338B9" w:rsidRPr="00CF39EE" w:rsidRDefault="009338B9" w:rsidP="009338B9">
      <w:pPr>
        <w:spacing w:after="160" w:line="360" w:lineRule="auto"/>
        <w:rPr>
          <w:rFonts w:ascii="Sylfaen" w:hAnsi="Sylfaen"/>
        </w:rPr>
      </w:pPr>
    </w:p>
    <w:p w14:paraId="25ADD1B1" w14:textId="77777777" w:rsidR="009338B9" w:rsidRPr="00CF39EE"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 xml:space="preserve">Հովացման </w:t>
      </w:r>
      <w:r>
        <w:rPr>
          <w:rFonts w:ascii="Sylfaen" w:hAnsi="Sylfaen"/>
          <w:sz w:val="24"/>
          <w:szCs w:val="24"/>
        </w:rPr>
        <w:t>եւ</w:t>
      </w:r>
      <w:r w:rsidRPr="00CF39EE">
        <w:rPr>
          <w:rFonts w:ascii="Sylfaen" w:hAnsi="Sylfaen"/>
          <w:sz w:val="24"/>
          <w:szCs w:val="24"/>
        </w:rPr>
        <w:t xml:space="preserve"> (կամ) տաքացման ռեժիմում էներգասպառումը հաշվարկելիս հարկ է հաշվի առնել էներգասպառումը բոլոր համապատասխան աշխատանքի </w:t>
      </w:r>
      <w:r w:rsidRPr="00CF39EE">
        <w:rPr>
          <w:rFonts w:ascii="Sylfaen" w:hAnsi="Sylfaen"/>
          <w:sz w:val="24"/>
          <w:szCs w:val="24"/>
        </w:rPr>
        <w:lastRenderedPageBreak/>
        <w:t>ռեժիմներում՝ 5-րդ աղյուսակին համապատասխան՝ հաշվի առնելով յուրաքանչյուր ռեժիմի համար 6-րդ աղյուսակում բերված շահագործման ժամանակը:</w:t>
      </w:r>
    </w:p>
    <w:p w14:paraId="18523B16" w14:textId="77777777" w:rsidR="009338B9" w:rsidRPr="003D2C38" w:rsidRDefault="009338B9" w:rsidP="009338B9">
      <w:pPr>
        <w:pStyle w:val="Bodytext20"/>
        <w:spacing w:after="160" w:line="360" w:lineRule="auto"/>
        <w:ind w:right="-8" w:firstLine="567"/>
        <w:jc w:val="both"/>
        <w:rPr>
          <w:rFonts w:ascii="Sylfaen" w:hAnsi="Sylfaen"/>
          <w:sz w:val="24"/>
          <w:szCs w:val="24"/>
        </w:rPr>
      </w:pPr>
      <w:r w:rsidRPr="00CF39EE">
        <w:rPr>
          <w:rFonts w:ascii="Sylfaen" w:hAnsi="Sylfaen"/>
          <w:sz w:val="24"/>
          <w:szCs w:val="24"/>
        </w:rPr>
        <w:t>COP</w:t>
      </w:r>
      <w:r w:rsidRPr="00CF39EE">
        <w:rPr>
          <w:rFonts w:ascii="Sylfaen" w:hAnsi="Sylfaen"/>
          <w:sz w:val="24"/>
          <w:szCs w:val="24"/>
          <w:vertAlign w:val="subscript"/>
        </w:rPr>
        <w:t>rated</w:t>
      </w:r>
      <w:r w:rsidRPr="00CF39EE">
        <w:rPr>
          <w:rFonts w:ascii="Sylfaen" w:hAnsi="Sylfaen"/>
          <w:sz w:val="24"/>
          <w:szCs w:val="24"/>
        </w:rPr>
        <w:t xml:space="preserve"> հովացման ռեժիմում </w:t>
      </w:r>
      <w:r>
        <w:rPr>
          <w:rFonts w:ascii="Sylfaen" w:hAnsi="Sylfaen"/>
          <w:sz w:val="24"/>
          <w:szCs w:val="24"/>
        </w:rPr>
        <w:t>եւ</w:t>
      </w:r>
      <w:r w:rsidRPr="00CF39EE">
        <w:rPr>
          <w:rFonts w:ascii="Sylfaen" w:hAnsi="Sylfaen"/>
          <w:sz w:val="24"/>
          <w:szCs w:val="24"/>
        </w:rPr>
        <w:t>, անհրաժեշտության դեպքում, EER</w:t>
      </w:r>
      <w:r w:rsidRPr="00CF39EE">
        <w:rPr>
          <w:rFonts w:ascii="Sylfaen" w:hAnsi="Sylfaen"/>
          <w:sz w:val="24"/>
          <w:szCs w:val="24"/>
          <w:vertAlign w:val="subscript"/>
        </w:rPr>
        <w:t>rated</w:t>
      </w:r>
      <w:r w:rsidRPr="00CF39EE">
        <w:rPr>
          <w:rFonts w:ascii="Sylfaen" w:hAnsi="Sylfaen"/>
          <w:sz w:val="24"/>
          <w:szCs w:val="24"/>
        </w:rPr>
        <w:t xml:space="preserve"> տաքացման ռեժիմում սեզոնային անվանական էներգաարդյունավետությունը որոշվում է մի- </w:t>
      </w:r>
      <w:r>
        <w:rPr>
          <w:rFonts w:ascii="Sylfaen" w:hAnsi="Sylfaen"/>
          <w:sz w:val="24"/>
          <w:szCs w:val="24"/>
        </w:rPr>
        <w:t>եւ</w:t>
      </w:r>
      <w:r w:rsidRPr="00CF39EE">
        <w:rPr>
          <w:rFonts w:ascii="Sylfaen" w:hAnsi="Sylfaen"/>
          <w:sz w:val="24"/>
          <w:szCs w:val="24"/>
        </w:rPr>
        <w:t xml:space="preserve"> երկուղի օդորակիչների համար՝ 7-րդ աղյուսակում բերված ստանդարտ անվանական պայմանների համար:</w:t>
      </w:r>
    </w:p>
    <w:p w14:paraId="25B16EEB" w14:textId="77777777" w:rsidR="008E78DD" w:rsidRPr="003D2C38" w:rsidRDefault="008E78DD" w:rsidP="009338B9">
      <w:pPr>
        <w:pStyle w:val="Bodytext20"/>
        <w:spacing w:after="160" w:line="360" w:lineRule="auto"/>
        <w:ind w:right="-8" w:firstLine="567"/>
        <w:jc w:val="both"/>
        <w:rPr>
          <w:rFonts w:ascii="Sylfaen" w:hAnsi="Sylfaen"/>
          <w:sz w:val="24"/>
          <w:szCs w:val="24"/>
        </w:rPr>
      </w:pPr>
    </w:p>
    <w:p w14:paraId="22F9027E" w14:textId="77777777" w:rsidR="009338B9" w:rsidRPr="00CF39EE" w:rsidRDefault="009338B9" w:rsidP="008E78DD">
      <w:pPr>
        <w:pStyle w:val="Heading10"/>
        <w:spacing w:after="160" w:line="360" w:lineRule="auto"/>
        <w:ind w:right="142"/>
        <w:jc w:val="right"/>
        <w:rPr>
          <w:rFonts w:ascii="Sylfaen" w:hAnsi="Sylfaen"/>
          <w:sz w:val="24"/>
          <w:szCs w:val="24"/>
        </w:rPr>
      </w:pPr>
      <w:r w:rsidRPr="00CF39EE">
        <w:rPr>
          <w:rFonts w:ascii="Sylfaen" w:hAnsi="Sylfaen"/>
          <w:sz w:val="24"/>
          <w:szCs w:val="24"/>
        </w:rPr>
        <w:t>Աղյուսակ 6</w:t>
      </w:r>
    </w:p>
    <w:p w14:paraId="45E15C70" w14:textId="77777777" w:rsidR="009338B9" w:rsidRPr="00CF39EE" w:rsidRDefault="009338B9" w:rsidP="009338B9">
      <w:pPr>
        <w:pStyle w:val="Bodytext20"/>
        <w:spacing w:after="160" w:line="360" w:lineRule="auto"/>
        <w:ind w:right="60"/>
        <w:rPr>
          <w:rFonts w:ascii="Sylfaen" w:hAnsi="Sylfaen"/>
          <w:sz w:val="24"/>
          <w:szCs w:val="24"/>
        </w:rPr>
      </w:pPr>
      <w:r w:rsidRPr="00CF39EE">
        <w:rPr>
          <w:rFonts w:ascii="Sylfaen" w:hAnsi="Sylfaen"/>
          <w:sz w:val="24"/>
          <w:szCs w:val="24"/>
        </w:rPr>
        <w:t xml:space="preserve">Շահագործման ժամանակը՝ յուրաքանչյուր տիպի օդորակիչների </w:t>
      </w:r>
      <w:r>
        <w:rPr>
          <w:rFonts w:ascii="Sylfaen" w:hAnsi="Sylfaen"/>
          <w:sz w:val="24"/>
          <w:szCs w:val="24"/>
        </w:rPr>
        <w:t>եւ</w:t>
      </w:r>
      <w:r w:rsidRPr="00CF39EE">
        <w:rPr>
          <w:rFonts w:ascii="Sylfaen" w:hAnsi="Sylfaen"/>
          <w:sz w:val="24"/>
          <w:szCs w:val="24"/>
        </w:rPr>
        <w:t xml:space="preserve"> էներգասպառումը հաշվարկելու համար օգտագործվող ֆունկցիաների համար </w:t>
      </w:r>
    </w:p>
    <w:tbl>
      <w:tblPr>
        <w:tblOverlap w:val="never"/>
        <w:tblW w:w="9763" w:type="dxa"/>
        <w:jc w:val="center"/>
        <w:tblLayout w:type="fixed"/>
        <w:tblCellMar>
          <w:left w:w="10" w:type="dxa"/>
          <w:right w:w="10" w:type="dxa"/>
        </w:tblCellMar>
        <w:tblLook w:val="0000" w:firstRow="0" w:lastRow="0" w:firstColumn="0" w:lastColumn="0" w:noHBand="0" w:noVBand="0"/>
      </w:tblPr>
      <w:tblGrid>
        <w:gridCol w:w="1848"/>
        <w:gridCol w:w="576"/>
        <w:gridCol w:w="1045"/>
        <w:gridCol w:w="1276"/>
        <w:gridCol w:w="1417"/>
        <w:gridCol w:w="992"/>
        <w:gridCol w:w="993"/>
        <w:gridCol w:w="850"/>
        <w:gridCol w:w="766"/>
      </w:tblGrid>
      <w:tr w:rsidR="009338B9" w:rsidRPr="008E78DD" w14:paraId="4E215AC1" w14:textId="77777777" w:rsidTr="008E78DD">
        <w:trPr>
          <w:tblHeader/>
          <w:jc w:val="center"/>
        </w:trPr>
        <w:tc>
          <w:tcPr>
            <w:tcW w:w="2424" w:type="dxa"/>
            <w:gridSpan w:val="2"/>
            <w:tcBorders>
              <w:top w:val="single" w:sz="4" w:space="0" w:color="auto"/>
              <w:left w:val="single" w:sz="4" w:space="0" w:color="auto"/>
            </w:tcBorders>
            <w:shd w:val="clear" w:color="auto" w:fill="FFFFFF"/>
            <w:vAlign w:val="center"/>
          </w:tcPr>
          <w:p w14:paraId="71A4052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Օդորակիչի տիպը/ֆունկցիա (առկայության դեպքում)</w:t>
            </w:r>
          </w:p>
        </w:tc>
        <w:tc>
          <w:tcPr>
            <w:tcW w:w="1045" w:type="dxa"/>
            <w:tcBorders>
              <w:top w:val="single" w:sz="4" w:space="0" w:color="auto"/>
              <w:left w:val="single" w:sz="4" w:space="0" w:color="auto"/>
            </w:tcBorders>
            <w:shd w:val="clear" w:color="auto" w:fill="FFFFFF"/>
            <w:vAlign w:val="center"/>
          </w:tcPr>
          <w:p w14:paraId="3C66D2E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Չափման միավոր</w:t>
            </w:r>
          </w:p>
        </w:tc>
        <w:tc>
          <w:tcPr>
            <w:tcW w:w="1276" w:type="dxa"/>
            <w:tcBorders>
              <w:top w:val="single" w:sz="4" w:space="0" w:color="auto"/>
              <w:left w:val="single" w:sz="4" w:space="0" w:color="auto"/>
            </w:tcBorders>
            <w:shd w:val="clear" w:color="auto" w:fill="FFFFFF"/>
            <w:vAlign w:val="center"/>
          </w:tcPr>
          <w:p w14:paraId="4FB4EB9C" w14:textId="77777777" w:rsidR="009338B9" w:rsidRPr="008E78DD" w:rsidRDefault="009338B9" w:rsidP="008E78DD">
            <w:pPr>
              <w:pStyle w:val="Bodytext20"/>
              <w:spacing w:after="120" w:line="240" w:lineRule="auto"/>
              <w:ind w:left="21"/>
              <w:rPr>
                <w:rFonts w:ascii="Sylfaen" w:hAnsi="Sylfaen"/>
                <w:sz w:val="20"/>
                <w:szCs w:val="20"/>
              </w:rPr>
            </w:pPr>
            <w:r w:rsidRPr="008E78DD">
              <w:rPr>
                <w:rStyle w:val="Bodytext211pt"/>
                <w:rFonts w:ascii="Sylfaen" w:hAnsi="Sylfaen"/>
                <w:sz w:val="20"/>
                <w:szCs w:val="20"/>
              </w:rPr>
              <w:t>Ջեռուցման սեզոն</w:t>
            </w:r>
          </w:p>
        </w:tc>
        <w:tc>
          <w:tcPr>
            <w:tcW w:w="1417" w:type="dxa"/>
            <w:tcBorders>
              <w:top w:val="single" w:sz="4" w:space="0" w:color="auto"/>
              <w:left w:val="single" w:sz="4" w:space="0" w:color="auto"/>
            </w:tcBorders>
            <w:shd w:val="clear" w:color="auto" w:fill="FFFFFF"/>
            <w:vAlign w:val="center"/>
          </w:tcPr>
          <w:p w14:paraId="6ABFB2C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Ակտիվ ռեժիմ, H</w:t>
            </w:r>
            <w:r w:rsidRPr="008E78DD">
              <w:rPr>
                <w:rStyle w:val="Bodytext211pt"/>
                <w:rFonts w:ascii="Sylfaen" w:hAnsi="Sylfaen"/>
                <w:sz w:val="20"/>
                <w:szCs w:val="20"/>
                <w:vertAlign w:val="subscript"/>
              </w:rPr>
              <w:t>CE</w:t>
            </w:r>
            <w:r w:rsidRPr="008E78DD">
              <w:rPr>
                <w:rStyle w:val="Bodytext211pt"/>
                <w:rFonts w:ascii="Sylfaen" w:hAnsi="Sylfaen"/>
                <w:sz w:val="20"/>
                <w:szCs w:val="20"/>
                <w:vertAlign w:val="superscript"/>
              </w:rPr>
              <w:t>1)</w:t>
            </w:r>
            <w:r w:rsidRPr="008E78DD">
              <w:rPr>
                <w:rStyle w:val="Bodytext211pt"/>
                <w:rFonts w:ascii="Sylfaen" w:hAnsi="Sylfaen"/>
                <w:sz w:val="20"/>
                <w:szCs w:val="20"/>
              </w:rPr>
              <w:t xml:space="preserve"> </w:t>
            </w:r>
            <w:r w:rsidRPr="008E78DD">
              <w:rPr>
                <w:rStyle w:val="Bodytext211pt"/>
                <w:rFonts w:ascii="Sylfaen" w:hAnsi="Sylfaen"/>
                <w:smallCaps/>
                <w:sz w:val="20"/>
                <w:szCs w:val="20"/>
              </w:rPr>
              <w:t>եւ</w:t>
            </w:r>
            <w:r w:rsidRPr="008E78DD">
              <w:rPr>
                <w:rStyle w:val="Bodytext211pt"/>
                <w:rFonts w:ascii="Sylfaen" w:hAnsi="Sylfaen"/>
                <w:sz w:val="20"/>
                <w:szCs w:val="20"/>
              </w:rPr>
              <w:t xml:space="preserve"> H</w:t>
            </w:r>
            <w:r w:rsidRPr="008E78DD">
              <w:rPr>
                <w:rStyle w:val="Bodytext211pt"/>
                <w:rFonts w:ascii="Sylfaen" w:hAnsi="Sylfaen"/>
                <w:sz w:val="20"/>
                <w:szCs w:val="20"/>
                <w:vertAlign w:val="subscript"/>
              </w:rPr>
              <w:t>HE</w:t>
            </w:r>
            <w:r w:rsidRPr="008E78DD">
              <w:rPr>
                <w:rStyle w:val="Bodytext211pt"/>
                <w:rFonts w:ascii="Sylfaen" w:hAnsi="Sylfaen"/>
                <w:sz w:val="20"/>
                <w:szCs w:val="20"/>
                <w:vertAlign w:val="superscript"/>
              </w:rPr>
              <w:t>2)</w:t>
            </w:r>
          </w:p>
        </w:tc>
        <w:tc>
          <w:tcPr>
            <w:tcW w:w="992" w:type="dxa"/>
            <w:tcBorders>
              <w:top w:val="single" w:sz="4" w:space="0" w:color="auto"/>
              <w:left w:val="single" w:sz="4" w:space="0" w:color="auto"/>
            </w:tcBorders>
            <w:shd w:val="clear" w:color="auto" w:fill="FFFFFF"/>
            <w:vAlign w:val="center"/>
          </w:tcPr>
          <w:p w14:paraId="5739BCAE" w14:textId="77777777" w:rsidR="009338B9" w:rsidRPr="008E78DD" w:rsidRDefault="009338B9" w:rsidP="008E78DD">
            <w:pPr>
              <w:pStyle w:val="Bodytext20"/>
              <w:spacing w:after="120" w:line="240" w:lineRule="auto"/>
              <w:ind w:left="15"/>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TO</w:t>
            </w:r>
            <w:r w:rsidRPr="008E78DD">
              <w:rPr>
                <w:rFonts w:ascii="Sylfaen" w:hAnsi="Sylfaen"/>
                <w:sz w:val="20"/>
                <w:szCs w:val="20"/>
                <w:vertAlign w:val="superscript"/>
              </w:rPr>
              <w:t>3)</w:t>
            </w:r>
          </w:p>
        </w:tc>
        <w:tc>
          <w:tcPr>
            <w:tcW w:w="993" w:type="dxa"/>
            <w:tcBorders>
              <w:top w:val="single" w:sz="4" w:space="0" w:color="auto"/>
              <w:left w:val="single" w:sz="4" w:space="0" w:color="auto"/>
            </w:tcBorders>
            <w:shd w:val="clear" w:color="auto" w:fill="FFFFFF"/>
            <w:vAlign w:val="center"/>
          </w:tcPr>
          <w:p w14:paraId="5D0830E2" w14:textId="77777777" w:rsidR="009338B9" w:rsidRPr="008E78DD" w:rsidRDefault="009338B9" w:rsidP="008E78DD">
            <w:pPr>
              <w:pStyle w:val="Bodytext20"/>
              <w:spacing w:after="120" w:line="240" w:lineRule="auto"/>
              <w:ind w:left="-11"/>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SB</w:t>
            </w:r>
            <w:r w:rsidRPr="008E78DD">
              <w:rPr>
                <w:rFonts w:ascii="Sylfaen" w:hAnsi="Sylfaen"/>
                <w:sz w:val="20"/>
                <w:szCs w:val="20"/>
                <w:vertAlign w:val="superscript"/>
              </w:rPr>
              <w:t>4)</w:t>
            </w:r>
          </w:p>
        </w:tc>
        <w:tc>
          <w:tcPr>
            <w:tcW w:w="850" w:type="dxa"/>
            <w:tcBorders>
              <w:top w:val="single" w:sz="4" w:space="0" w:color="auto"/>
              <w:left w:val="single" w:sz="4" w:space="0" w:color="auto"/>
            </w:tcBorders>
            <w:shd w:val="clear" w:color="auto" w:fill="FFFFFF"/>
            <w:vAlign w:val="center"/>
          </w:tcPr>
          <w:p w14:paraId="1E48277E" w14:textId="77777777" w:rsidR="009338B9" w:rsidRPr="008E78DD" w:rsidRDefault="008E78DD" w:rsidP="008E78DD">
            <w:pPr>
              <w:pStyle w:val="Bodytext20"/>
              <w:spacing w:after="120" w:line="240" w:lineRule="auto"/>
              <w:ind w:left="180"/>
              <w:rPr>
                <w:rFonts w:ascii="Sylfaen" w:hAnsi="Sylfaen"/>
                <w:sz w:val="20"/>
                <w:szCs w:val="20"/>
              </w:rPr>
            </w:pPr>
            <w:r>
              <w:rPr>
                <w:rFonts w:ascii="Sylfaen" w:hAnsi="Sylfaen"/>
                <w:sz w:val="20"/>
                <w:szCs w:val="20"/>
                <w:lang w:val="en-US"/>
              </w:rPr>
              <w:t>H</w:t>
            </w:r>
            <w:r w:rsidR="009338B9" w:rsidRPr="008E78DD">
              <w:rPr>
                <w:rFonts w:ascii="Sylfaen" w:hAnsi="Sylfaen"/>
                <w:sz w:val="20"/>
                <w:szCs w:val="20"/>
                <w:vertAlign w:val="subscript"/>
              </w:rPr>
              <w:t>OFF</w:t>
            </w:r>
            <w:r w:rsidR="009338B9" w:rsidRPr="008E78DD">
              <w:rPr>
                <w:rFonts w:ascii="Sylfaen" w:hAnsi="Sylfaen"/>
                <w:sz w:val="20"/>
                <w:szCs w:val="20"/>
                <w:vertAlign w:val="superscript"/>
              </w:rPr>
              <w:t>5)</w:t>
            </w:r>
          </w:p>
        </w:tc>
        <w:tc>
          <w:tcPr>
            <w:tcW w:w="766" w:type="dxa"/>
            <w:tcBorders>
              <w:top w:val="single" w:sz="4" w:space="0" w:color="auto"/>
              <w:left w:val="single" w:sz="4" w:space="0" w:color="auto"/>
              <w:right w:val="single" w:sz="4" w:space="0" w:color="auto"/>
            </w:tcBorders>
            <w:shd w:val="clear" w:color="auto" w:fill="FFFFFF"/>
            <w:vAlign w:val="center"/>
          </w:tcPr>
          <w:p w14:paraId="511FDAFF" w14:textId="77777777" w:rsidR="009338B9" w:rsidRPr="008E78DD" w:rsidRDefault="009338B9" w:rsidP="008E78DD">
            <w:pPr>
              <w:pStyle w:val="Bodytext20"/>
              <w:spacing w:after="120" w:line="240" w:lineRule="auto"/>
              <w:ind w:left="-20"/>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CK</w:t>
            </w:r>
            <w:r w:rsidRPr="008E78DD">
              <w:rPr>
                <w:rFonts w:ascii="Sylfaen" w:hAnsi="Sylfaen"/>
                <w:sz w:val="20"/>
                <w:szCs w:val="20"/>
                <w:vertAlign w:val="superscript"/>
              </w:rPr>
              <w:t>6)</w:t>
            </w:r>
          </w:p>
        </w:tc>
      </w:tr>
      <w:tr w:rsidR="009338B9" w:rsidRPr="008E78DD" w14:paraId="51D5C46F" w14:textId="77777777" w:rsidTr="008E78DD">
        <w:trPr>
          <w:trHeight w:val="139"/>
          <w:tblHeader/>
          <w:jc w:val="center"/>
        </w:trPr>
        <w:tc>
          <w:tcPr>
            <w:tcW w:w="2424" w:type="dxa"/>
            <w:gridSpan w:val="2"/>
            <w:tcBorders>
              <w:top w:val="single" w:sz="4" w:space="0" w:color="auto"/>
              <w:left w:val="single" w:sz="4" w:space="0" w:color="auto"/>
            </w:tcBorders>
            <w:shd w:val="clear" w:color="auto" w:fill="FFFFFF"/>
            <w:vAlign w:val="center"/>
          </w:tcPr>
          <w:p w14:paraId="70A36A1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1045" w:type="dxa"/>
            <w:tcBorders>
              <w:top w:val="single" w:sz="4" w:space="0" w:color="auto"/>
              <w:left w:val="single" w:sz="4" w:space="0" w:color="auto"/>
            </w:tcBorders>
            <w:shd w:val="clear" w:color="auto" w:fill="FFFFFF"/>
            <w:vAlign w:val="center"/>
          </w:tcPr>
          <w:p w14:paraId="4829D53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w:t>
            </w:r>
          </w:p>
        </w:tc>
        <w:tc>
          <w:tcPr>
            <w:tcW w:w="1276" w:type="dxa"/>
            <w:tcBorders>
              <w:top w:val="single" w:sz="4" w:space="0" w:color="auto"/>
              <w:left w:val="single" w:sz="4" w:space="0" w:color="auto"/>
            </w:tcBorders>
            <w:shd w:val="clear" w:color="auto" w:fill="FFFFFF"/>
            <w:vAlign w:val="center"/>
          </w:tcPr>
          <w:p w14:paraId="07E659C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w:t>
            </w:r>
          </w:p>
        </w:tc>
        <w:tc>
          <w:tcPr>
            <w:tcW w:w="1417" w:type="dxa"/>
            <w:tcBorders>
              <w:top w:val="single" w:sz="4" w:space="0" w:color="auto"/>
              <w:left w:val="single" w:sz="4" w:space="0" w:color="auto"/>
            </w:tcBorders>
            <w:shd w:val="clear" w:color="auto" w:fill="FFFFFF"/>
            <w:vAlign w:val="center"/>
          </w:tcPr>
          <w:p w14:paraId="2B0E1DB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4</w:t>
            </w:r>
          </w:p>
        </w:tc>
        <w:tc>
          <w:tcPr>
            <w:tcW w:w="992" w:type="dxa"/>
            <w:tcBorders>
              <w:top w:val="single" w:sz="4" w:space="0" w:color="auto"/>
              <w:left w:val="single" w:sz="4" w:space="0" w:color="auto"/>
            </w:tcBorders>
            <w:shd w:val="clear" w:color="auto" w:fill="FFFFFF"/>
            <w:vAlign w:val="center"/>
          </w:tcPr>
          <w:p w14:paraId="57972F8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5</w:t>
            </w:r>
          </w:p>
        </w:tc>
        <w:tc>
          <w:tcPr>
            <w:tcW w:w="993" w:type="dxa"/>
            <w:tcBorders>
              <w:top w:val="single" w:sz="4" w:space="0" w:color="auto"/>
              <w:left w:val="single" w:sz="4" w:space="0" w:color="auto"/>
            </w:tcBorders>
            <w:shd w:val="clear" w:color="auto" w:fill="FFFFFF"/>
            <w:vAlign w:val="center"/>
          </w:tcPr>
          <w:p w14:paraId="5E07286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6</w:t>
            </w:r>
          </w:p>
        </w:tc>
        <w:tc>
          <w:tcPr>
            <w:tcW w:w="850" w:type="dxa"/>
            <w:tcBorders>
              <w:top w:val="single" w:sz="4" w:space="0" w:color="auto"/>
              <w:left w:val="single" w:sz="4" w:space="0" w:color="auto"/>
            </w:tcBorders>
            <w:shd w:val="clear" w:color="auto" w:fill="FFFFFF"/>
            <w:vAlign w:val="center"/>
          </w:tcPr>
          <w:p w14:paraId="53A5F9D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7</w:t>
            </w:r>
          </w:p>
        </w:tc>
        <w:tc>
          <w:tcPr>
            <w:tcW w:w="766" w:type="dxa"/>
            <w:tcBorders>
              <w:top w:val="single" w:sz="4" w:space="0" w:color="auto"/>
              <w:left w:val="single" w:sz="4" w:space="0" w:color="auto"/>
              <w:right w:val="single" w:sz="4" w:space="0" w:color="auto"/>
            </w:tcBorders>
            <w:shd w:val="clear" w:color="auto" w:fill="FFFFFF"/>
            <w:vAlign w:val="center"/>
          </w:tcPr>
          <w:p w14:paraId="216F9C8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8</w:t>
            </w:r>
          </w:p>
        </w:tc>
      </w:tr>
      <w:tr w:rsidR="009338B9" w:rsidRPr="008E78DD" w14:paraId="23ADAD94" w14:textId="77777777" w:rsidTr="009338B9">
        <w:trPr>
          <w:jc w:val="center"/>
        </w:trPr>
        <w:tc>
          <w:tcPr>
            <w:tcW w:w="9763" w:type="dxa"/>
            <w:gridSpan w:val="9"/>
            <w:tcBorders>
              <w:top w:val="single" w:sz="4" w:space="0" w:color="auto"/>
              <w:left w:val="single" w:sz="4" w:space="0" w:color="auto"/>
              <w:right w:val="single" w:sz="4" w:space="0" w:color="auto"/>
            </w:tcBorders>
            <w:shd w:val="clear" w:color="auto" w:fill="FFFFFF"/>
          </w:tcPr>
          <w:p w14:paraId="10DDAFC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I. Օդորակիչներ (բացառությամբ մի- եւ երկուղի օդորակիչների)</w:t>
            </w:r>
          </w:p>
        </w:tc>
      </w:tr>
      <w:tr w:rsidR="009338B9" w:rsidRPr="008E78DD" w14:paraId="1AC059DB" w14:textId="77777777" w:rsidTr="008E78DD">
        <w:trPr>
          <w:jc w:val="center"/>
        </w:trPr>
        <w:tc>
          <w:tcPr>
            <w:tcW w:w="2424" w:type="dxa"/>
            <w:gridSpan w:val="2"/>
            <w:tcBorders>
              <w:top w:val="single" w:sz="4" w:space="0" w:color="auto"/>
              <w:left w:val="single" w:sz="4" w:space="0" w:color="auto"/>
            </w:tcBorders>
            <w:shd w:val="clear" w:color="auto" w:fill="FFFFFF"/>
            <w:vAlign w:val="center"/>
          </w:tcPr>
          <w:p w14:paraId="58E8CE6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Ռեժիմ H</w:t>
            </w:r>
            <w:r w:rsidRPr="008E78DD">
              <w:rPr>
                <w:rStyle w:val="Bodytext211pt"/>
                <w:rFonts w:ascii="Sylfaen" w:hAnsi="Sylfaen"/>
                <w:sz w:val="20"/>
                <w:szCs w:val="20"/>
                <w:vertAlign w:val="subscript"/>
              </w:rPr>
              <w:t>CE</w:t>
            </w:r>
            <w:r w:rsidRPr="008E78DD">
              <w:rPr>
                <w:rStyle w:val="Bodytext211pt"/>
                <w:rFonts w:ascii="Sylfaen" w:hAnsi="Sylfaen"/>
                <w:sz w:val="20"/>
                <w:szCs w:val="20"/>
              </w:rPr>
              <w:t>, եթե առկա է միայն H</w:t>
            </w:r>
            <w:r w:rsidRPr="008E78DD">
              <w:rPr>
                <w:rStyle w:val="Bodytext211pt"/>
                <w:rFonts w:ascii="Sylfaen" w:hAnsi="Sylfaen"/>
                <w:sz w:val="20"/>
                <w:szCs w:val="20"/>
                <w:vertAlign w:val="subscript"/>
              </w:rPr>
              <w:t>CE</w:t>
            </w:r>
          </w:p>
        </w:tc>
        <w:tc>
          <w:tcPr>
            <w:tcW w:w="1045" w:type="dxa"/>
            <w:tcBorders>
              <w:top w:val="single" w:sz="4" w:space="0" w:color="auto"/>
              <w:left w:val="single" w:sz="4" w:space="0" w:color="auto"/>
            </w:tcBorders>
            <w:shd w:val="clear" w:color="auto" w:fill="FFFFFF"/>
            <w:vAlign w:val="center"/>
          </w:tcPr>
          <w:p w14:paraId="7642EB6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ժ/տարի</w:t>
            </w:r>
          </w:p>
        </w:tc>
        <w:tc>
          <w:tcPr>
            <w:tcW w:w="1276" w:type="dxa"/>
            <w:tcBorders>
              <w:top w:val="single" w:sz="4" w:space="0" w:color="auto"/>
              <w:left w:val="single" w:sz="4" w:space="0" w:color="auto"/>
            </w:tcBorders>
            <w:shd w:val="clear" w:color="auto" w:fill="FFFFFF"/>
            <w:vAlign w:val="center"/>
          </w:tcPr>
          <w:p w14:paraId="004DD225" w14:textId="77777777" w:rsidR="009338B9" w:rsidRPr="008E78DD" w:rsidRDefault="009338B9" w:rsidP="008E78DD">
            <w:pPr>
              <w:spacing w:after="120"/>
              <w:jc w:val="center"/>
              <w:rPr>
                <w:rFonts w:ascii="Sylfaen" w:hAnsi="Sylfaen"/>
                <w:sz w:val="20"/>
                <w:szCs w:val="20"/>
              </w:rPr>
            </w:pPr>
          </w:p>
        </w:tc>
        <w:tc>
          <w:tcPr>
            <w:tcW w:w="1417" w:type="dxa"/>
            <w:tcBorders>
              <w:top w:val="single" w:sz="4" w:space="0" w:color="auto"/>
              <w:left w:val="single" w:sz="4" w:space="0" w:color="auto"/>
            </w:tcBorders>
            <w:shd w:val="clear" w:color="auto" w:fill="FFFFFF"/>
            <w:vAlign w:val="center"/>
          </w:tcPr>
          <w:p w14:paraId="4483958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350</w:t>
            </w:r>
          </w:p>
        </w:tc>
        <w:tc>
          <w:tcPr>
            <w:tcW w:w="992" w:type="dxa"/>
            <w:tcBorders>
              <w:top w:val="single" w:sz="4" w:space="0" w:color="auto"/>
              <w:left w:val="single" w:sz="4" w:space="0" w:color="auto"/>
            </w:tcBorders>
            <w:shd w:val="clear" w:color="auto" w:fill="FFFFFF"/>
            <w:vAlign w:val="center"/>
          </w:tcPr>
          <w:p w14:paraId="070B5B5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221</w:t>
            </w:r>
          </w:p>
        </w:tc>
        <w:tc>
          <w:tcPr>
            <w:tcW w:w="993" w:type="dxa"/>
            <w:tcBorders>
              <w:top w:val="single" w:sz="4" w:space="0" w:color="auto"/>
              <w:left w:val="single" w:sz="4" w:space="0" w:color="auto"/>
            </w:tcBorders>
            <w:shd w:val="clear" w:color="auto" w:fill="FFFFFF"/>
            <w:vAlign w:val="center"/>
          </w:tcPr>
          <w:p w14:paraId="59BB186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2142</w:t>
            </w:r>
          </w:p>
        </w:tc>
        <w:tc>
          <w:tcPr>
            <w:tcW w:w="850" w:type="dxa"/>
            <w:tcBorders>
              <w:top w:val="single" w:sz="4" w:space="0" w:color="auto"/>
              <w:left w:val="single" w:sz="4" w:space="0" w:color="auto"/>
            </w:tcBorders>
            <w:shd w:val="clear" w:color="auto" w:fill="FFFFFF"/>
            <w:vAlign w:val="center"/>
          </w:tcPr>
          <w:p w14:paraId="79A4096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5088</w:t>
            </w:r>
          </w:p>
        </w:tc>
        <w:tc>
          <w:tcPr>
            <w:tcW w:w="766" w:type="dxa"/>
            <w:tcBorders>
              <w:top w:val="single" w:sz="4" w:space="0" w:color="auto"/>
              <w:left w:val="single" w:sz="4" w:space="0" w:color="auto"/>
              <w:right w:val="single" w:sz="4" w:space="0" w:color="auto"/>
            </w:tcBorders>
            <w:shd w:val="clear" w:color="auto" w:fill="FFFFFF"/>
            <w:vAlign w:val="center"/>
          </w:tcPr>
          <w:p w14:paraId="250A648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7760</w:t>
            </w:r>
          </w:p>
        </w:tc>
      </w:tr>
      <w:tr w:rsidR="009338B9" w:rsidRPr="008E78DD" w14:paraId="5C33A805" w14:textId="77777777" w:rsidTr="008E78DD">
        <w:trPr>
          <w:jc w:val="center"/>
        </w:trPr>
        <w:tc>
          <w:tcPr>
            <w:tcW w:w="1848" w:type="dxa"/>
            <w:vMerge w:val="restart"/>
            <w:tcBorders>
              <w:top w:val="single" w:sz="4" w:space="0" w:color="auto"/>
              <w:left w:val="single" w:sz="4" w:space="0" w:color="auto"/>
            </w:tcBorders>
            <w:shd w:val="clear" w:color="auto" w:fill="FFFFFF"/>
            <w:vAlign w:val="center"/>
          </w:tcPr>
          <w:p w14:paraId="6043D7D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Ռեժիմ</w:t>
            </w:r>
            <w:r w:rsidRPr="008E78DD">
              <w:rPr>
                <w:rFonts w:ascii="Sylfaen" w:hAnsi="Sylfaen"/>
                <w:sz w:val="20"/>
                <w:szCs w:val="20"/>
              </w:rPr>
              <w:t xml:space="preserve"> H</w:t>
            </w:r>
            <w:r w:rsidRPr="008E78DD">
              <w:rPr>
                <w:rFonts w:ascii="Sylfaen" w:hAnsi="Sylfaen"/>
                <w:sz w:val="20"/>
                <w:szCs w:val="20"/>
                <w:vertAlign w:val="subscript"/>
              </w:rPr>
              <w:t>CE</w:t>
            </w:r>
            <w:r w:rsidRPr="008E78DD">
              <w:rPr>
                <w:rFonts w:ascii="Sylfaen" w:hAnsi="Sylfaen"/>
                <w:sz w:val="20"/>
                <w:szCs w:val="20"/>
              </w:rPr>
              <w:t xml:space="preserve"> եւ H</w:t>
            </w:r>
            <w:r w:rsidRPr="008E78DD">
              <w:rPr>
                <w:rFonts w:ascii="Sylfaen" w:hAnsi="Sylfaen"/>
                <w:sz w:val="20"/>
                <w:szCs w:val="20"/>
                <w:vertAlign w:val="subscript"/>
              </w:rPr>
              <w:t>HE</w:t>
            </w:r>
            <w:r w:rsidRPr="008E78DD">
              <w:rPr>
                <w:rFonts w:ascii="Sylfaen" w:hAnsi="Sylfaen"/>
                <w:sz w:val="20"/>
                <w:szCs w:val="20"/>
              </w:rPr>
              <w:t xml:space="preserve"> (առկայության դեպքում)</w:t>
            </w:r>
            <w:r w:rsidRPr="008E78DD">
              <w:rPr>
                <w:rFonts w:ascii="Sylfaen" w:hAnsi="Sylfaen"/>
                <w:sz w:val="20"/>
                <w:szCs w:val="20"/>
                <w:vertAlign w:val="superscript"/>
              </w:rPr>
              <w:t>)</w:t>
            </w:r>
          </w:p>
        </w:tc>
        <w:tc>
          <w:tcPr>
            <w:tcW w:w="576" w:type="dxa"/>
            <w:tcBorders>
              <w:top w:val="single" w:sz="4" w:space="0" w:color="auto"/>
              <w:left w:val="single" w:sz="4" w:space="0" w:color="auto"/>
            </w:tcBorders>
            <w:shd w:val="clear" w:color="auto" w:fill="FFFFFF"/>
            <w:vAlign w:val="center"/>
          </w:tcPr>
          <w:p w14:paraId="25BD00B2"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CE</w:t>
            </w:r>
          </w:p>
        </w:tc>
        <w:tc>
          <w:tcPr>
            <w:tcW w:w="1045" w:type="dxa"/>
            <w:tcBorders>
              <w:top w:val="single" w:sz="4" w:space="0" w:color="auto"/>
              <w:left w:val="single" w:sz="4" w:space="0" w:color="auto"/>
            </w:tcBorders>
            <w:shd w:val="clear" w:color="auto" w:fill="FFFFFF"/>
            <w:vAlign w:val="center"/>
          </w:tcPr>
          <w:p w14:paraId="5ED0641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ժ/տարի</w:t>
            </w:r>
          </w:p>
        </w:tc>
        <w:tc>
          <w:tcPr>
            <w:tcW w:w="1276" w:type="dxa"/>
            <w:tcBorders>
              <w:top w:val="single" w:sz="4" w:space="0" w:color="auto"/>
              <w:left w:val="single" w:sz="4" w:space="0" w:color="auto"/>
            </w:tcBorders>
            <w:shd w:val="clear" w:color="auto" w:fill="FFFFFF"/>
            <w:vAlign w:val="center"/>
          </w:tcPr>
          <w:p w14:paraId="7B9D6FE4" w14:textId="77777777" w:rsidR="009338B9" w:rsidRPr="008E78DD" w:rsidRDefault="009338B9" w:rsidP="008E78DD">
            <w:pPr>
              <w:spacing w:after="120"/>
              <w:jc w:val="center"/>
              <w:rPr>
                <w:rFonts w:ascii="Sylfaen" w:hAnsi="Sylfaen"/>
                <w:sz w:val="20"/>
                <w:szCs w:val="20"/>
              </w:rPr>
            </w:pPr>
          </w:p>
        </w:tc>
        <w:tc>
          <w:tcPr>
            <w:tcW w:w="1417" w:type="dxa"/>
            <w:tcBorders>
              <w:top w:val="single" w:sz="4" w:space="0" w:color="auto"/>
              <w:left w:val="single" w:sz="4" w:space="0" w:color="auto"/>
            </w:tcBorders>
            <w:shd w:val="clear" w:color="auto" w:fill="FFFFFF"/>
            <w:vAlign w:val="center"/>
          </w:tcPr>
          <w:p w14:paraId="61DA895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350</w:t>
            </w:r>
          </w:p>
        </w:tc>
        <w:tc>
          <w:tcPr>
            <w:tcW w:w="992" w:type="dxa"/>
            <w:tcBorders>
              <w:top w:val="single" w:sz="4" w:space="0" w:color="auto"/>
              <w:left w:val="single" w:sz="4" w:space="0" w:color="auto"/>
            </w:tcBorders>
            <w:shd w:val="clear" w:color="auto" w:fill="FFFFFF"/>
            <w:vAlign w:val="center"/>
          </w:tcPr>
          <w:p w14:paraId="17D3D73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221</w:t>
            </w:r>
          </w:p>
        </w:tc>
        <w:tc>
          <w:tcPr>
            <w:tcW w:w="993" w:type="dxa"/>
            <w:tcBorders>
              <w:top w:val="single" w:sz="4" w:space="0" w:color="auto"/>
              <w:left w:val="single" w:sz="4" w:space="0" w:color="auto"/>
            </w:tcBorders>
            <w:shd w:val="clear" w:color="auto" w:fill="FFFFFF"/>
            <w:vAlign w:val="center"/>
          </w:tcPr>
          <w:p w14:paraId="34F39E6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2142</w:t>
            </w:r>
          </w:p>
        </w:tc>
        <w:tc>
          <w:tcPr>
            <w:tcW w:w="850" w:type="dxa"/>
            <w:tcBorders>
              <w:top w:val="single" w:sz="4" w:space="0" w:color="auto"/>
              <w:left w:val="single" w:sz="4" w:space="0" w:color="auto"/>
            </w:tcBorders>
            <w:shd w:val="clear" w:color="auto" w:fill="FFFFFF"/>
            <w:vAlign w:val="center"/>
          </w:tcPr>
          <w:p w14:paraId="01101429"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766" w:type="dxa"/>
            <w:tcBorders>
              <w:top w:val="single" w:sz="4" w:space="0" w:color="auto"/>
              <w:left w:val="single" w:sz="4" w:space="0" w:color="auto"/>
              <w:right w:val="single" w:sz="4" w:space="0" w:color="auto"/>
            </w:tcBorders>
            <w:shd w:val="clear" w:color="auto" w:fill="FFFFFF"/>
            <w:vAlign w:val="center"/>
          </w:tcPr>
          <w:p w14:paraId="60E2145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2672</w:t>
            </w:r>
          </w:p>
        </w:tc>
      </w:tr>
      <w:tr w:rsidR="009338B9" w:rsidRPr="008E78DD" w14:paraId="584D81DF" w14:textId="77777777" w:rsidTr="008E78DD">
        <w:trPr>
          <w:jc w:val="center"/>
        </w:trPr>
        <w:tc>
          <w:tcPr>
            <w:tcW w:w="1848" w:type="dxa"/>
            <w:vMerge/>
            <w:tcBorders>
              <w:left w:val="single" w:sz="4" w:space="0" w:color="auto"/>
            </w:tcBorders>
            <w:shd w:val="clear" w:color="auto" w:fill="FFFFFF"/>
          </w:tcPr>
          <w:p w14:paraId="44C1BFA0" w14:textId="77777777" w:rsidR="009338B9" w:rsidRPr="008E78DD" w:rsidRDefault="009338B9" w:rsidP="008E78DD">
            <w:pPr>
              <w:spacing w:after="120"/>
              <w:rPr>
                <w:rFonts w:ascii="Sylfaen" w:hAnsi="Sylfaen"/>
                <w:sz w:val="20"/>
                <w:szCs w:val="20"/>
              </w:rPr>
            </w:pPr>
          </w:p>
        </w:tc>
        <w:tc>
          <w:tcPr>
            <w:tcW w:w="576" w:type="dxa"/>
            <w:vMerge w:val="restart"/>
            <w:tcBorders>
              <w:top w:val="single" w:sz="4" w:space="0" w:color="auto"/>
              <w:left w:val="single" w:sz="4" w:space="0" w:color="auto"/>
            </w:tcBorders>
            <w:shd w:val="clear" w:color="auto" w:fill="FFFFFF"/>
            <w:vAlign w:val="center"/>
          </w:tcPr>
          <w:p w14:paraId="57E147F9"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HE</w:t>
            </w:r>
          </w:p>
        </w:tc>
        <w:tc>
          <w:tcPr>
            <w:tcW w:w="1045" w:type="dxa"/>
            <w:vMerge w:val="restart"/>
            <w:tcBorders>
              <w:top w:val="single" w:sz="4" w:space="0" w:color="auto"/>
              <w:left w:val="single" w:sz="4" w:space="0" w:color="auto"/>
            </w:tcBorders>
            <w:shd w:val="clear" w:color="auto" w:fill="FFFFFF"/>
            <w:vAlign w:val="center"/>
          </w:tcPr>
          <w:p w14:paraId="7892F60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ժ/տարի</w:t>
            </w:r>
          </w:p>
        </w:tc>
        <w:tc>
          <w:tcPr>
            <w:tcW w:w="1276" w:type="dxa"/>
            <w:tcBorders>
              <w:top w:val="single" w:sz="4" w:space="0" w:color="auto"/>
              <w:left w:val="single" w:sz="4" w:space="0" w:color="auto"/>
            </w:tcBorders>
            <w:shd w:val="clear" w:color="auto" w:fill="FFFFFF"/>
            <w:vAlign w:val="center"/>
          </w:tcPr>
          <w:p w14:paraId="38F5F4F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միջին</w:t>
            </w:r>
          </w:p>
        </w:tc>
        <w:tc>
          <w:tcPr>
            <w:tcW w:w="1417" w:type="dxa"/>
            <w:tcBorders>
              <w:top w:val="single" w:sz="4" w:space="0" w:color="auto"/>
              <w:left w:val="single" w:sz="4" w:space="0" w:color="auto"/>
            </w:tcBorders>
            <w:shd w:val="clear" w:color="auto" w:fill="FFFFFF"/>
            <w:vAlign w:val="center"/>
          </w:tcPr>
          <w:p w14:paraId="4EC4647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1400</w:t>
            </w:r>
          </w:p>
        </w:tc>
        <w:tc>
          <w:tcPr>
            <w:tcW w:w="992" w:type="dxa"/>
            <w:tcBorders>
              <w:top w:val="single" w:sz="4" w:space="0" w:color="auto"/>
              <w:left w:val="single" w:sz="4" w:space="0" w:color="auto"/>
            </w:tcBorders>
            <w:shd w:val="clear" w:color="auto" w:fill="FFFFFF"/>
            <w:vAlign w:val="center"/>
          </w:tcPr>
          <w:p w14:paraId="5F4E881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179</w:t>
            </w:r>
          </w:p>
        </w:tc>
        <w:tc>
          <w:tcPr>
            <w:tcW w:w="993" w:type="dxa"/>
            <w:tcBorders>
              <w:top w:val="single" w:sz="4" w:space="0" w:color="auto"/>
              <w:left w:val="single" w:sz="4" w:space="0" w:color="auto"/>
            </w:tcBorders>
            <w:shd w:val="clear" w:color="auto" w:fill="FFFFFF"/>
            <w:vAlign w:val="center"/>
          </w:tcPr>
          <w:p w14:paraId="62C88F6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850" w:type="dxa"/>
            <w:tcBorders>
              <w:top w:val="single" w:sz="4" w:space="0" w:color="auto"/>
              <w:left w:val="single" w:sz="4" w:space="0" w:color="auto"/>
            </w:tcBorders>
            <w:shd w:val="clear" w:color="auto" w:fill="FFFFFF"/>
            <w:vAlign w:val="center"/>
          </w:tcPr>
          <w:p w14:paraId="4333796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766" w:type="dxa"/>
            <w:tcBorders>
              <w:top w:val="single" w:sz="4" w:space="0" w:color="auto"/>
              <w:left w:val="single" w:sz="4" w:space="0" w:color="auto"/>
              <w:right w:val="single" w:sz="4" w:space="0" w:color="auto"/>
            </w:tcBorders>
            <w:shd w:val="clear" w:color="auto" w:fill="FFFFFF"/>
            <w:vAlign w:val="center"/>
          </w:tcPr>
          <w:p w14:paraId="28C63E3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179</w:t>
            </w:r>
          </w:p>
        </w:tc>
      </w:tr>
      <w:tr w:rsidR="009338B9" w:rsidRPr="008E78DD" w14:paraId="7626ACAD" w14:textId="77777777" w:rsidTr="008E78DD">
        <w:trPr>
          <w:jc w:val="center"/>
        </w:trPr>
        <w:tc>
          <w:tcPr>
            <w:tcW w:w="1848" w:type="dxa"/>
            <w:vMerge/>
            <w:tcBorders>
              <w:left w:val="single" w:sz="4" w:space="0" w:color="auto"/>
            </w:tcBorders>
            <w:shd w:val="clear" w:color="auto" w:fill="FFFFFF"/>
          </w:tcPr>
          <w:p w14:paraId="307C2333" w14:textId="77777777" w:rsidR="009338B9" w:rsidRPr="008E78DD" w:rsidRDefault="009338B9" w:rsidP="008E78DD">
            <w:pPr>
              <w:spacing w:after="120"/>
              <w:rPr>
                <w:rFonts w:ascii="Sylfaen" w:hAnsi="Sylfaen"/>
                <w:sz w:val="20"/>
                <w:szCs w:val="20"/>
              </w:rPr>
            </w:pPr>
          </w:p>
        </w:tc>
        <w:tc>
          <w:tcPr>
            <w:tcW w:w="576" w:type="dxa"/>
            <w:vMerge/>
            <w:tcBorders>
              <w:left w:val="single" w:sz="4" w:space="0" w:color="auto"/>
            </w:tcBorders>
            <w:shd w:val="clear" w:color="auto" w:fill="FFFFFF"/>
            <w:vAlign w:val="center"/>
          </w:tcPr>
          <w:p w14:paraId="255F378B" w14:textId="77777777" w:rsidR="009338B9" w:rsidRPr="008E78DD" w:rsidRDefault="009338B9" w:rsidP="008E78DD">
            <w:pPr>
              <w:spacing w:after="120"/>
              <w:jc w:val="center"/>
              <w:rPr>
                <w:rFonts w:ascii="Sylfaen" w:hAnsi="Sylfaen"/>
                <w:sz w:val="20"/>
                <w:szCs w:val="20"/>
              </w:rPr>
            </w:pPr>
          </w:p>
        </w:tc>
        <w:tc>
          <w:tcPr>
            <w:tcW w:w="1045" w:type="dxa"/>
            <w:vMerge/>
            <w:tcBorders>
              <w:left w:val="single" w:sz="4" w:space="0" w:color="auto"/>
            </w:tcBorders>
            <w:shd w:val="clear" w:color="auto" w:fill="FFFFFF"/>
            <w:vAlign w:val="center"/>
          </w:tcPr>
          <w:p w14:paraId="50E28512" w14:textId="77777777" w:rsidR="009338B9" w:rsidRPr="008E78DD" w:rsidRDefault="009338B9" w:rsidP="008E78DD">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vAlign w:val="center"/>
          </w:tcPr>
          <w:p w14:paraId="1D17D88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ավելի տաք</w:t>
            </w:r>
          </w:p>
        </w:tc>
        <w:tc>
          <w:tcPr>
            <w:tcW w:w="1417" w:type="dxa"/>
            <w:tcBorders>
              <w:top w:val="single" w:sz="4" w:space="0" w:color="auto"/>
              <w:left w:val="single" w:sz="4" w:space="0" w:color="auto"/>
            </w:tcBorders>
            <w:shd w:val="clear" w:color="auto" w:fill="FFFFFF"/>
            <w:vAlign w:val="center"/>
          </w:tcPr>
          <w:p w14:paraId="36D9CC5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1400</w:t>
            </w:r>
          </w:p>
        </w:tc>
        <w:tc>
          <w:tcPr>
            <w:tcW w:w="992" w:type="dxa"/>
            <w:tcBorders>
              <w:top w:val="single" w:sz="4" w:space="0" w:color="auto"/>
              <w:left w:val="single" w:sz="4" w:space="0" w:color="auto"/>
            </w:tcBorders>
            <w:shd w:val="clear" w:color="auto" w:fill="FFFFFF"/>
            <w:vAlign w:val="center"/>
          </w:tcPr>
          <w:p w14:paraId="5C80182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755</w:t>
            </w:r>
          </w:p>
        </w:tc>
        <w:tc>
          <w:tcPr>
            <w:tcW w:w="993" w:type="dxa"/>
            <w:tcBorders>
              <w:top w:val="single" w:sz="4" w:space="0" w:color="auto"/>
              <w:left w:val="single" w:sz="4" w:space="0" w:color="auto"/>
            </w:tcBorders>
            <w:shd w:val="clear" w:color="auto" w:fill="FFFFFF"/>
            <w:vAlign w:val="center"/>
          </w:tcPr>
          <w:p w14:paraId="392AF95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850" w:type="dxa"/>
            <w:tcBorders>
              <w:top w:val="single" w:sz="4" w:space="0" w:color="auto"/>
              <w:left w:val="single" w:sz="4" w:space="0" w:color="auto"/>
            </w:tcBorders>
            <w:shd w:val="clear" w:color="auto" w:fill="FFFFFF"/>
            <w:vAlign w:val="center"/>
          </w:tcPr>
          <w:p w14:paraId="40AB62E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766" w:type="dxa"/>
            <w:tcBorders>
              <w:top w:val="single" w:sz="4" w:space="0" w:color="auto"/>
              <w:left w:val="single" w:sz="4" w:space="0" w:color="auto"/>
              <w:right w:val="single" w:sz="4" w:space="0" w:color="auto"/>
            </w:tcBorders>
            <w:shd w:val="clear" w:color="auto" w:fill="FFFFFF"/>
            <w:vAlign w:val="center"/>
          </w:tcPr>
          <w:p w14:paraId="09FE26E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755</w:t>
            </w:r>
          </w:p>
        </w:tc>
      </w:tr>
      <w:tr w:rsidR="009338B9" w:rsidRPr="008E78DD" w14:paraId="7807F3DB" w14:textId="77777777" w:rsidTr="008E78DD">
        <w:trPr>
          <w:jc w:val="center"/>
        </w:trPr>
        <w:tc>
          <w:tcPr>
            <w:tcW w:w="1848" w:type="dxa"/>
            <w:vMerge/>
            <w:tcBorders>
              <w:left w:val="single" w:sz="4" w:space="0" w:color="auto"/>
            </w:tcBorders>
            <w:shd w:val="clear" w:color="auto" w:fill="FFFFFF"/>
          </w:tcPr>
          <w:p w14:paraId="44BB5D5C" w14:textId="77777777" w:rsidR="009338B9" w:rsidRPr="008E78DD" w:rsidRDefault="009338B9" w:rsidP="008E78DD">
            <w:pPr>
              <w:spacing w:after="120"/>
              <w:rPr>
                <w:rFonts w:ascii="Sylfaen" w:hAnsi="Sylfaen"/>
                <w:sz w:val="20"/>
                <w:szCs w:val="20"/>
              </w:rPr>
            </w:pPr>
          </w:p>
        </w:tc>
        <w:tc>
          <w:tcPr>
            <w:tcW w:w="576" w:type="dxa"/>
            <w:vMerge/>
            <w:tcBorders>
              <w:left w:val="single" w:sz="4" w:space="0" w:color="auto"/>
            </w:tcBorders>
            <w:shd w:val="clear" w:color="auto" w:fill="FFFFFF"/>
            <w:vAlign w:val="center"/>
          </w:tcPr>
          <w:p w14:paraId="62F97DA4" w14:textId="77777777" w:rsidR="009338B9" w:rsidRPr="008E78DD" w:rsidRDefault="009338B9" w:rsidP="008E78DD">
            <w:pPr>
              <w:spacing w:after="120"/>
              <w:jc w:val="center"/>
              <w:rPr>
                <w:rFonts w:ascii="Sylfaen" w:hAnsi="Sylfaen"/>
                <w:sz w:val="20"/>
                <w:szCs w:val="20"/>
              </w:rPr>
            </w:pPr>
          </w:p>
        </w:tc>
        <w:tc>
          <w:tcPr>
            <w:tcW w:w="1045" w:type="dxa"/>
            <w:vMerge/>
            <w:tcBorders>
              <w:left w:val="single" w:sz="4" w:space="0" w:color="auto"/>
            </w:tcBorders>
            <w:shd w:val="clear" w:color="auto" w:fill="FFFFFF"/>
            <w:vAlign w:val="center"/>
          </w:tcPr>
          <w:p w14:paraId="1855FA03" w14:textId="77777777" w:rsidR="009338B9" w:rsidRPr="008E78DD" w:rsidRDefault="009338B9" w:rsidP="008E78DD">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vAlign w:val="center"/>
          </w:tcPr>
          <w:p w14:paraId="3564FB1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ավելի ցուրտ</w:t>
            </w:r>
          </w:p>
        </w:tc>
        <w:tc>
          <w:tcPr>
            <w:tcW w:w="1417" w:type="dxa"/>
            <w:tcBorders>
              <w:top w:val="single" w:sz="4" w:space="0" w:color="auto"/>
              <w:left w:val="single" w:sz="4" w:space="0" w:color="auto"/>
            </w:tcBorders>
            <w:shd w:val="clear" w:color="auto" w:fill="FFFFFF"/>
            <w:vAlign w:val="center"/>
          </w:tcPr>
          <w:p w14:paraId="7E025FF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2100</w:t>
            </w:r>
          </w:p>
        </w:tc>
        <w:tc>
          <w:tcPr>
            <w:tcW w:w="992" w:type="dxa"/>
            <w:tcBorders>
              <w:top w:val="single" w:sz="4" w:space="0" w:color="auto"/>
              <w:left w:val="single" w:sz="4" w:space="0" w:color="auto"/>
            </w:tcBorders>
            <w:shd w:val="clear" w:color="auto" w:fill="FFFFFF"/>
            <w:vAlign w:val="center"/>
          </w:tcPr>
          <w:p w14:paraId="3C27D40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131</w:t>
            </w:r>
          </w:p>
        </w:tc>
        <w:tc>
          <w:tcPr>
            <w:tcW w:w="993" w:type="dxa"/>
            <w:tcBorders>
              <w:top w:val="single" w:sz="4" w:space="0" w:color="auto"/>
              <w:left w:val="single" w:sz="4" w:space="0" w:color="auto"/>
            </w:tcBorders>
            <w:shd w:val="clear" w:color="auto" w:fill="FFFFFF"/>
            <w:vAlign w:val="center"/>
          </w:tcPr>
          <w:p w14:paraId="5EFD0566"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850" w:type="dxa"/>
            <w:tcBorders>
              <w:top w:val="single" w:sz="4" w:space="0" w:color="auto"/>
              <w:left w:val="single" w:sz="4" w:space="0" w:color="auto"/>
            </w:tcBorders>
            <w:shd w:val="clear" w:color="auto" w:fill="FFFFFF"/>
            <w:vAlign w:val="center"/>
          </w:tcPr>
          <w:p w14:paraId="2BC50E7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766" w:type="dxa"/>
            <w:tcBorders>
              <w:top w:val="single" w:sz="4" w:space="0" w:color="auto"/>
              <w:left w:val="single" w:sz="4" w:space="0" w:color="auto"/>
              <w:right w:val="single" w:sz="4" w:space="0" w:color="auto"/>
            </w:tcBorders>
            <w:shd w:val="clear" w:color="auto" w:fill="FFFFFF"/>
            <w:vAlign w:val="center"/>
          </w:tcPr>
          <w:p w14:paraId="41C9DBF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131</w:t>
            </w:r>
          </w:p>
        </w:tc>
      </w:tr>
      <w:tr w:rsidR="009338B9" w:rsidRPr="008E78DD" w14:paraId="75A13CC3" w14:textId="77777777" w:rsidTr="008E78DD">
        <w:trPr>
          <w:jc w:val="center"/>
        </w:trPr>
        <w:tc>
          <w:tcPr>
            <w:tcW w:w="2424" w:type="dxa"/>
            <w:gridSpan w:val="2"/>
            <w:vMerge w:val="restart"/>
            <w:tcBorders>
              <w:top w:val="single" w:sz="4" w:space="0" w:color="auto"/>
              <w:left w:val="single" w:sz="4" w:space="0" w:color="auto"/>
            </w:tcBorders>
            <w:shd w:val="clear" w:color="auto" w:fill="FFFFFF"/>
            <w:vAlign w:val="center"/>
          </w:tcPr>
          <w:p w14:paraId="64231F0E"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Ռեժիմ H</w:t>
            </w:r>
            <w:r w:rsidRPr="008E78DD">
              <w:rPr>
                <w:rFonts w:ascii="Sylfaen" w:hAnsi="Sylfaen"/>
                <w:sz w:val="20"/>
                <w:szCs w:val="20"/>
                <w:vertAlign w:val="subscript"/>
              </w:rPr>
              <w:t>HE</w:t>
            </w:r>
            <w:r w:rsidRPr="008E78DD">
              <w:rPr>
                <w:rFonts w:ascii="Sylfaen" w:hAnsi="Sylfaen"/>
                <w:sz w:val="20"/>
                <w:szCs w:val="20"/>
              </w:rPr>
              <w:t>, եթե տաքացման ֆունկցիան է միայն առկա</w:t>
            </w:r>
          </w:p>
        </w:tc>
        <w:tc>
          <w:tcPr>
            <w:tcW w:w="1045" w:type="dxa"/>
            <w:vMerge w:val="restart"/>
            <w:tcBorders>
              <w:top w:val="single" w:sz="4" w:space="0" w:color="auto"/>
              <w:left w:val="single" w:sz="4" w:space="0" w:color="auto"/>
            </w:tcBorders>
            <w:shd w:val="clear" w:color="auto" w:fill="FFFFFF"/>
            <w:vAlign w:val="center"/>
          </w:tcPr>
          <w:p w14:paraId="326B37B9"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ժ/տարի</w:t>
            </w:r>
          </w:p>
        </w:tc>
        <w:tc>
          <w:tcPr>
            <w:tcW w:w="1276" w:type="dxa"/>
            <w:tcBorders>
              <w:top w:val="single" w:sz="4" w:space="0" w:color="auto"/>
              <w:left w:val="single" w:sz="4" w:space="0" w:color="auto"/>
            </w:tcBorders>
            <w:shd w:val="clear" w:color="auto" w:fill="FFFFFF"/>
            <w:vAlign w:val="center"/>
          </w:tcPr>
          <w:p w14:paraId="564593A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միջին</w:t>
            </w:r>
          </w:p>
        </w:tc>
        <w:tc>
          <w:tcPr>
            <w:tcW w:w="1417" w:type="dxa"/>
            <w:tcBorders>
              <w:top w:val="single" w:sz="4" w:space="0" w:color="auto"/>
              <w:left w:val="single" w:sz="4" w:space="0" w:color="auto"/>
            </w:tcBorders>
            <w:shd w:val="clear" w:color="auto" w:fill="FFFFFF"/>
            <w:vAlign w:val="center"/>
          </w:tcPr>
          <w:p w14:paraId="463ECA5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1400</w:t>
            </w:r>
          </w:p>
        </w:tc>
        <w:tc>
          <w:tcPr>
            <w:tcW w:w="992" w:type="dxa"/>
            <w:tcBorders>
              <w:top w:val="single" w:sz="4" w:space="0" w:color="auto"/>
              <w:left w:val="single" w:sz="4" w:space="0" w:color="auto"/>
            </w:tcBorders>
            <w:shd w:val="clear" w:color="auto" w:fill="FFFFFF"/>
            <w:vAlign w:val="center"/>
          </w:tcPr>
          <w:p w14:paraId="71E4F61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179</w:t>
            </w:r>
          </w:p>
        </w:tc>
        <w:tc>
          <w:tcPr>
            <w:tcW w:w="993" w:type="dxa"/>
            <w:tcBorders>
              <w:top w:val="single" w:sz="4" w:space="0" w:color="auto"/>
              <w:left w:val="single" w:sz="4" w:space="0" w:color="auto"/>
            </w:tcBorders>
            <w:shd w:val="clear" w:color="auto" w:fill="FFFFFF"/>
            <w:vAlign w:val="center"/>
          </w:tcPr>
          <w:p w14:paraId="77C1E10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850" w:type="dxa"/>
            <w:tcBorders>
              <w:top w:val="single" w:sz="4" w:space="0" w:color="auto"/>
              <w:left w:val="single" w:sz="4" w:space="0" w:color="auto"/>
            </w:tcBorders>
            <w:shd w:val="clear" w:color="auto" w:fill="FFFFFF"/>
            <w:vAlign w:val="center"/>
          </w:tcPr>
          <w:p w14:paraId="63E3333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3672</w:t>
            </w:r>
          </w:p>
        </w:tc>
        <w:tc>
          <w:tcPr>
            <w:tcW w:w="766" w:type="dxa"/>
            <w:tcBorders>
              <w:top w:val="single" w:sz="4" w:space="0" w:color="auto"/>
              <w:left w:val="single" w:sz="4" w:space="0" w:color="auto"/>
              <w:right w:val="single" w:sz="4" w:space="0" w:color="auto"/>
            </w:tcBorders>
            <w:shd w:val="clear" w:color="auto" w:fill="FFFFFF"/>
            <w:vAlign w:val="center"/>
          </w:tcPr>
          <w:p w14:paraId="1E31C00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3851</w:t>
            </w:r>
          </w:p>
        </w:tc>
      </w:tr>
      <w:tr w:rsidR="009338B9" w:rsidRPr="008E78DD" w14:paraId="2D4F7D9A" w14:textId="77777777" w:rsidTr="008E78DD">
        <w:trPr>
          <w:jc w:val="center"/>
        </w:trPr>
        <w:tc>
          <w:tcPr>
            <w:tcW w:w="2424" w:type="dxa"/>
            <w:gridSpan w:val="2"/>
            <w:vMerge/>
            <w:tcBorders>
              <w:left w:val="single" w:sz="4" w:space="0" w:color="auto"/>
            </w:tcBorders>
            <w:shd w:val="clear" w:color="auto" w:fill="FFFFFF"/>
            <w:vAlign w:val="center"/>
          </w:tcPr>
          <w:p w14:paraId="45A4EBB7" w14:textId="77777777" w:rsidR="009338B9" w:rsidRPr="008E78DD" w:rsidRDefault="009338B9" w:rsidP="008E78DD">
            <w:pPr>
              <w:spacing w:after="120"/>
              <w:jc w:val="center"/>
              <w:rPr>
                <w:rFonts w:ascii="Sylfaen" w:hAnsi="Sylfaen"/>
                <w:sz w:val="20"/>
                <w:szCs w:val="20"/>
              </w:rPr>
            </w:pPr>
          </w:p>
        </w:tc>
        <w:tc>
          <w:tcPr>
            <w:tcW w:w="1045" w:type="dxa"/>
            <w:vMerge/>
            <w:tcBorders>
              <w:left w:val="single" w:sz="4" w:space="0" w:color="auto"/>
            </w:tcBorders>
            <w:shd w:val="clear" w:color="auto" w:fill="FFFFFF"/>
            <w:vAlign w:val="center"/>
          </w:tcPr>
          <w:p w14:paraId="62F3B474" w14:textId="77777777" w:rsidR="009338B9" w:rsidRPr="008E78DD" w:rsidRDefault="009338B9" w:rsidP="008E78DD">
            <w:pPr>
              <w:spacing w:after="120"/>
              <w:jc w:val="center"/>
              <w:rPr>
                <w:rFonts w:ascii="Sylfaen" w:hAnsi="Sylfaen"/>
                <w:sz w:val="20"/>
                <w:szCs w:val="20"/>
              </w:rPr>
            </w:pPr>
          </w:p>
        </w:tc>
        <w:tc>
          <w:tcPr>
            <w:tcW w:w="1276" w:type="dxa"/>
            <w:tcBorders>
              <w:top w:val="single" w:sz="4" w:space="0" w:color="auto"/>
              <w:left w:val="single" w:sz="4" w:space="0" w:color="auto"/>
            </w:tcBorders>
            <w:shd w:val="clear" w:color="auto" w:fill="FFFFFF"/>
            <w:vAlign w:val="center"/>
          </w:tcPr>
          <w:p w14:paraId="3A5EB256"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ավելի տաք</w:t>
            </w:r>
          </w:p>
        </w:tc>
        <w:tc>
          <w:tcPr>
            <w:tcW w:w="1417" w:type="dxa"/>
            <w:tcBorders>
              <w:top w:val="single" w:sz="4" w:space="0" w:color="auto"/>
              <w:left w:val="single" w:sz="4" w:space="0" w:color="auto"/>
            </w:tcBorders>
            <w:shd w:val="clear" w:color="auto" w:fill="FFFFFF"/>
            <w:vAlign w:val="center"/>
          </w:tcPr>
          <w:p w14:paraId="5DEC722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1400</w:t>
            </w:r>
          </w:p>
        </w:tc>
        <w:tc>
          <w:tcPr>
            <w:tcW w:w="992" w:type="dxa"/>
            <w:tcBorders>
              <w:top w:val="single" w:sz="4" w:space="0" w:color="auto"/>
              <w:left w:val="single" w:sz="4" w:space="0" w:color="auto"/>
            </w:tcBorders>
            <w:shd w:val="clear" w:color="auto" w:fill="FFFFFF"/>
            <w:vAlign w:val="center"/>
          </w:tcPr>
          <w:p w14:paraId="52E4CF29"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755</w:t>
            </w:r>
          </w:p>
        </w:tc>
        <w:tc>
          <w:tcPr>
            <w:tcW w:w="993" w:type="dxa"/>
            <w:tcBorders>
              <w:top w:val="single" w:sz="4" w:space="0" w:color="auto"/>
              <w:left w:val="single" w:sz="4" w:space="0" w:color="auto"/>
            </w:tcBorders>
            <w:shd w:val="clear" w:color="auto" w:fill="FFFFFF"/>
            <w:vAlign w:val="center"/>
          </w:tcPr>
          <w:p w14:paraId="2EEC352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850" w:type="dxa"/>
            <w:tcBorders>
              <w:top w:val="single" w:sz="4" w:space="0" w:color="auto"/>
              <w:left w:val="single" w:sz="4" w:space="0" w:color="auto"/>
            </w:tcBorders>
            <w:shd w:val="clear" w:color="auto" w:fill="FFFFFF"/>
            <w:vAlign w:val="center"/>
          </w:tcPr>
          <w:p w14:paraId="36C1050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4345</w:t>
            </w:r>
          </w:p>
        </w:tc>
        <w:tc>
          <w:tcPr>
            <w:tcW w:w="766" w:type="dxa"/>
            <w:tcBorders>
              <w:top w:val="single" w:sz="4" w:space="0" w:color="auto"/>
              <w:left w:val="single" w:sz="4" w:space="0" w:color="auto"/>
              <w:right w:val="single" w:sz="4" w:space="0" w:color="auto"/>
            </w:tcBorders>
            <w:shd w:val="clear" w:color="auto" w:fill="FFFFFF"/>
            <w:vAlign w:val="center"/>
          </w:tcPr>
          <w:p w14:paraId="25EA6C7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4476</w:t>
            </w:r>
          </w:p>
        </w:tc>
      </w:tr>
      <w:tr w:rsidR="009338B9" w:rsidRPr="008E78DD" w14:paraId="12D888A2" w14:textId="77777777" w:rsidTr="008E78DD">
        <w:trPr>
          <w:jc w:val="center"/>
        </w:trPr>
        <w:tc>
          <w:tcPr>
            <w:tcW w:w="2424" w:type="dxa"/>
            <w:gridSpan w:val="2"/>
            <w:vMerge/>
            <w:tcBorders>
              <w:left w:val="single" w:sz="4" w:space="0" w:color="auto"/>
            </w:tcBorders>
            <w:shd w:val="clear" w:color="auto" w:fill="FFFFFF"/>
          </w:tcPr>
          <w:p w14:paraId="5D924028" w14:textId="77777777" w:rsidR="009338B9" w:rsidRPr="008E78DD" w:rsidRDefault="009338B9" w:rsidP="008E78DD">
            <w:pPr>
              <w:spacing w:after="120"/>
              <w:rPr>
                <w:rFonts w:ascii="Sylfaen" w:hAnsi="Sylfaen"/>
                <w:sz w:val="20"/>
                <w:szCs w:val="20"/>
              </w:rPr>
            </w:pPr>
          </w:p>
        </w:tc>
        <w:tc>
          <w:tcPr>
            <w:tcW w:w="1045" w:type="dxa"/>
            <w:vMerge/>
            <w:tcBorders>
              <w:left w:val="single" w:sz="4" w:space="0" w:color="auto"/>
            </w:tcBorders>
            <w:shd w:val="clear" w:color="auto" w:fill="FFFFFF"/>
          </w:tcPr>
          <w:p w14:paraId="4EB415BF" w14:textId="77777777" w:rsidR="009338B9" w:rsidRPr="008E78DD" w:rsidRDefault="009338B9" w:rsidP="008E78DD">
            <w:pPr>
              <w:spacing w:after="120"/>
              <w:rPr>
                <w:rFonts w:ascii="Sylfaen" w:hAnsi="Sylfaen"/>
                <w:sz w:val="20"/>
                <w:szCs w:val="20"/>
              </w:rPr>
            </w:pPr>
          </w:p>
        </w:tc>
        <w:tc>
          <w:tcPr>
            <w:tcW w:w="1276" w:type="dxa"/>
            <w:tcBorders>
              <w:top w:val="single" w:sz="4" w:space="0" w:color="auto"/>
              <w:left w:val="single" w:sz="4" w:space="0" w:color="auto"/>
            </w:tcBorders>
            <w:shd w:val="clear" w:color="auto" w:fill="FFFFFF"/>
          </w:tcPr>
          <w:p w14:paraId="6DB32AB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ավելի ցուրտ</w:t>
            </w:r>
          </w:p>
        </w:tc>
        <w:tc>
          <w:tcPr>
            <w:tcW w:w="1417" w:type="dxa"/>
            <w:tcBorders>
              <w:top w:val="single" w:sz="4" w:space="0" w:color="auto"/>
              <w:left w:val="single" w:sz="4" w:space="0" w:color="auto"/>
            </w:tcBorders>
            <w:shd w:val="clear" w:color="auto" w:fill="FFFFFF"/>
          </w:tcPr>
          <w:p w14:paraId="0D7A584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2100</w:t>
            </w:r>
          </w:p>
        </w:tc>
        <w:tc>
          <w:tcPr>
            <w:tcW w:w="992" w:type="dxa"/>
            <w:tcBorders>
              <w:top w:val="single" w:sz="4" w:space="0" w:color="auto"/>
              <w:left w:val="single" w:sz="4" w:space="0" w:color="auto"/>
            </w:tcBorders>
            <w:shd w:val="clear" w:color="auto" w:fill="FFFFFF"/>
          </w:tcPr>
          <w:p w14:paraId="2999F68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131</w:t>
            </w:r>
          </w:p>
        </w:tc>
        <w:tc>
          <w:tcPr>
            <w:tcW w:w="993" w:type="dxa"/>
            <w:tcBorders>
              <w:top w:val="single" w:sz="4" w:space="0" w:color="auto"/>
              <w:left w:val="single" w:sz="4" w:space="0" w:color="auto"/>
            </w:tcBorders>
            <w:shd w:val="clear" w:color="auto" w:fill="FFFFFF"/>
          </w:tcPr>
          <w:p w14:paraId="1292BB16"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0</w:t>
            </w:r>
          </w:p>
        </w:tc>
        <w:tc>
          <w:tcPr>
            <w:tcW w:w="850" w:type="dxa"/>
            <w:tcBorders>
              <w:top w:val="single" w:sz="4" w:space="0" w:color="auto"/>
              <w:left w:val="single" w:sz="4" w:space="0" w:color="auto"/>
            </w:tcBorders>
            <w:shd w:val="clear" w:color="auto" w:fill="FFFFFF"/>
          </w:tcPr>
          <w:p w14:paraId="221FF70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2189</w:t>
            </w:r>
          </w:p>
        </w:tc>
        <w:tc>
          <w:tcPr>
            <w:tcW w:w="766" w:type="dxa"/>
            <w:tcBorders>
              <w:top w:val="single" w:sz="4" w:space="0" w:color="auto"/>
              <w:left w:val="single" w:sz="4" w:space="0" w:color="auto"/>
              <w:right w:val="single" w:sz="4" w:space="0" w:color="auto"/>
            </w:tcBorders>
            <w:shd w:val="clear" w:color="auto" w:fill="FFFFFF"/>
          </w:tcPr>
          <w:p w14:paraId="3F53F486"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2944</w:t>
            </w:r>
          </w:p>
        </w:tc>
      </w:tr>
      <w:tr w:rsidR="009338B9" w:rsidRPr="008E78DD" w14:paraId="13F82EBC" w14:textId="77777777" w:rsidTr="009338B9">
        <w:trPr>
          <w:jc w:val="center"/>
        </w:trPr>
        <w:tc>
          <w:tcPr>
            <w:tcW w:w="9763" w:type="dxa"/>
            <w:gridSpan w:val="9"/>
            <w:tcBorders>
              <w:top w:val="single" w:sz="4" w:space="0" w:color="auto"/>
              <w:left w:val="single" w:sz="4" w:space="0" w:color="auto"/>
              <w:right w:val="single" w:sz="4" w:space="0" w:color="auto"/>
            </w:tcBorders>
            <w:shd w:val="clear" w:color="auto" w:fill="FFFFFF"/>
          </w:tcPr>
          <w:p w14:paraId="17FE5B1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II. Երկուղի օդորակիչներ</w:t>
            </w:r>
          </w:p>
        </w:tc>
      </w:tr>
      <w:tr w:rsidR="009338B9" w:rsidRPr="008E78DD" w14:paraId="3EC06170" w14:textId="77777777" w:rsidTr="008E78DD">
        <w:trPr>
          <w:jc w:val="center"/>
        </w:trPr>
        <w:tc>
          <w:tcPr>
            <w:tcW w:w="2424" w:type="dxa"/>
            <w:gridSpan w:val="2"/>
            <w:tcBorders>
              <w:top w:val="single" w:sz="4" w:space="0" w:color="auto"/>
              <w:left w:val="single" w:sz="4" w:space="0" w:color="auto"/>
            </w:tcBorders>
            <w:shd w:val="clear" w:color="auto" w:fill="FFFFFF"/>
            <w:vAlign w:val="center"/>
          </w:tcPr>
          <w:p w14:paraId="3325A56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Ռեժիմ H</w:t>
            </w:r>
            <w:r w:rsidRPr="008E78DD">
              <w:rPr>
                <w:rStyle w:val="Bodytext211pt"/>
                <w:rFonts w:ascii="Sylfaen" w:hAnsi="Sylfaen"/>
                <w:sz w:val="20"/>
                <w:szCs w:val="20"/>
                <w:vertAlign w:val="subscript"/>
              </w:rPr>
              <w:t>CE</w:t>
            </w:r>
            <w:r w:rsidRPr="008E78DD">
              <w:rPr>
                <w:rStyle w:val="Bodytext211pt"/>
                <w:rFonts w:ascii="Sylfaen" w:hAnsi="Sylfaen"/>
                <w:sz w:val="20"/>
                <w:szCs w:val="20"/>
              </w:rPr>
              <w:t>, եթե առկա է միայն H</w:t>
            </w:r>
            <w:r w:rsidRPr="008E78DD">
              <w:rPr>
                <w:rStyle w:val="Bodytext211pt"/>
                <w:rFonts w:ascii="Sylfaen" w:hAnsi="Sylfaen"/>
                <w:sz w:val="20"/>
                <w:szCs w:val="20"/>
                <w:vertAlign w:val="subscript"/>
              </w:rPr>
              <w:t>CE</w:t>
            </w:r>
          </w:p>
        </w:tc>
        <w:tc>
          <w:tcPr>
            <w:tcW w:w="1045" w:type="dxa"/>
            <w:tcBorders>
              <w:top w:val="single" w:sz="4" w:space="0" w:color="auto"/>
              <w:left w:val="single" w:sz="4" w:space="0" w:color="auto"/>
            </w:tcBorders>
            <w:shd w:val="clear" w:color="auto" w:fill="FFFFFF"/>
            <w:vAlign w:val="center"/>
          </w:tcPr>
          <w:p w14:paraId="4648639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60 ժ/րոպե</w:t>
            </w:r>
          </w:p>
        </w:tc>
        <w:tc>
          <w:tcPr>
            <w:tcW w:w="1276" w:type="dxa"/>
            <w:tcBorders>
              <w:top w:val="single" w:sz="4" w:space="0" w:color="auto"/>
              <w:left w:val="single" w:sz="4" w:space="0" w:color="auto"/>
            </w:tcBorders>
            <w:shd w:val="clear" w:color="auto" w:fill="FFFFFF"/>
          </w:tcPr>
          <w:p w14:paraId="6220C67B" w14:textId="77777777" w:rsidR="009338B9" w:rsidRPr="008E78DD" w:rsidRDefault="009338B9" w:rsidP="008E78DD">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1E6B52D9"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992" w:type="dxa"/>
            <w:tcBorders>
              <w:top w:val="single" w:sz="4" w:space="0" w:color="auto"/>
              <w:left w:val="single" w:sz="4" w:space="0" w:color="auto"/>
            </w:tcBorders>
            <w:shd w:val="clear" w:color="auto" w:fill="FFFFFF"/>
          </w:tcPr>
          <w:p w14:paraId="1656137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F35A4C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850" w:type="dxa"/>
            <w:tcBorders>
              <w:top w:val="single" w:sz="4" w:space="0" w:color="auto"/>
              <w:left w:val="single" w:sz="4" w:space="0" w:color="auto"/>
            </w:tcBorders>
            <w:shd w:val="clear" w:color="auto" w:fill="FFFFFF"/>
          </w:tcPr>
          <w:p w14:paraId="47FE68D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766" w:type="dxa"/>
            <w:tcBorders>
              <w:top w:val="single" w:sz="4" w:space="0" w:color="auto"/>
              <w:left w:val="single" w:sz="4" w:space="0" w:color="auto"/>
              <w:right w:val="single" w:sz="4" w:space="0" w:color="auto"/>
            </w:tcBorders>
            <w:shd w:val="clear" w:color="auto" w:fill="FFFFFF"/>
          </w:tcPr>
          <w:p w14:paraId="0609BDB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r>
      <w:tr w:rsidR="009338B9" w:rsidRPr="008E78DD" w14:paraId="09540A1B" w14:textId="77777777" w:rsidTr="008E78DD">
        <w:trPr>
          <w:jc w:val="center"/>
        </w:trPr>
        <w:tc>
          <w:tcPr>
            <w:tcW w:w="1848" w:type="dxa"/>
            <w:vMerge w:val="restart"/>
            <w:tcBorders>
              <w:top w:val="single" w:sz="4" w:space="0" w:color="auto"/>
              <w:left w:val="single" w:sz="4" w:space="0" w:color="auto"/>
            </w:tcBorders>
            <w:shd w:val="clear" w:color="auto" w:fill="FFFFFF"/>
            <w:vAlign w:val="center"/>
          </w:tcPr>
          <w:p w14:paraId="7566C97F"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cs="Sylfaen"/>
                <w:sz w:val="20"/>
                <w:szCs w:val="20"/>
              </w:rPr>
              <w:t>Ռեժիմ</w:t>
            </w:r>
            <w:r w:rsidRPr="008E78DD">
              <w:rPr>
                <w:rFonts w:ascii="Sylfaen" w:hAnsi="Sylfaen"/>
                <w:sz w:val="20"/>
                <w:szCs w:val="20"/>
              </w:rPr>
              <w:t xml:space="preserve"> H</w:t>
            </w:r>
            <w:r w:rsidRPr="008E78DD">
              <w:rPr>
                <w:rFonts w:ascii="Sylfaen" w:hAnsi="Sylfaen"/>
                <w:sz w:val="20"/>
                <w:szCs w:val="20"/>
                <w:vertAlign w:val="subscript"/>
              </w:rPr>
              <w:t>CE</w:t>
            </w:r>
            <w:r w:rsidRPr="008E78DD">
              <w:rPr>
                <w:rFonts w:ascii="Sylfaen" w:hAnsi="Sylfaen"/>
                <w:sz w:val="20"/>
                <w:szCs w:val="20"/>
              </w:rPr>
              <w:t xml:space="preserve"> </w:t>
            </w:r>
            <w:r w:rsidRPr="008E78DD">
              <w:rPr>
                <w:rFonts w:ascii="Sylfaen" w:hAnsi="Sylfaen" w:cs="Sylfaen"/>
                <w:sz w:val="20"/>
                <w:szCs w:val="20"/>
              </w:rPr>
              <w:t>եւ</w:t>
            </w:r>
            <w:r w:rsidRPr="008E78DD">
              <w:rPr>
                <w:rFonts w:ascii="Sylfaen" w:hAnsi="Sylfaen"/>
                <w:sz w:val="20"/>
                <w:szCs w:val="20"/>
              </w:rPr>
              <w:t xml:space="preserve"> H</w:t>
            </w:r>
            <w:r w:rsidRPr="008E78DD">
              <w:rPr>
                <w:rFonts w:ascii="Sylfaen" w:hAnsi="Sylfaen"/>
                <w:sz w:val="20"/>
                <w:szCs w:val="20"/>
                <w:vertAlign w:val="subscript"/>
              </w:rPr>
              <w:t>HE</w:t>
            </w:r>
            <w:r w:rsidRPr="008E78DD">
              <w:rPr>
                <w:rFonts w:ascii="Sylfaen" w:hAnsi="Sylfaen"/>
                <w:sz w:val="20"/>
                <w:szCs w:val="20"/>
              </w:rPr>
              <w:t xml:space="preserve"> (առկայության դեպքում)</w:t>
            </w:r>
          </w:p>
        </w:tc>
        <w:tc>
          <w:tcPr>
            <w:tcW w:w="576" w:type="dxa"/>
            <w:tcBorders>
              <w:top w:val="single" w:sz="4" w:space="0" w:color="auto"/>
              <w:left w:val="single" w:sz="4" w:space="0" w:color="auto"/>
            </w:tcBorders>
            <w:shd w:val="clear" w:color="auto" w:fill="FFFFFF"/>
            <w:vAlign w:val="center"/>
          </w:tcPr>
          <w:p w14:paraId="034CF5BE"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CE</w:t>
            </w:r>
          </w:p>
        </w:tc>
        <w:tc>
          <w:tcPr>
            <w:tcW w:w="1045" w:type="dxa"/>
            <w:tcBorders>
              <w:top w:val="single" w:sz="4" w:space="0" w:color="auto"/>
              <w:left w:val="single" w:sz="4" w:space="0" w:color="auto"/>
            </w:tcBorders>
            <w:shd w:val="clear" w:color="auto" w:fill="FFFFFF"/>
            <w:vAlign w:val="center"/>
          </w:tcPr>
          <w:p w14:paraId="3A7C1D0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60 ժ/րոպե</w:t>
            </w:r>
          </w:p>
        </w:tc>
        <w:tc>
          <w:tcPr>
            <w:tcW w:w="1276" w:type="dxa"/>
            <w:tcBorders>
              <w:top w:val="single" w:sz="4" w:space="0" w:color="auto"/>
              <w:left w:val="single" w:sz="4" w:space="0" w:color="auto"/>
            </w:tcBorders>
            <w:shd w:val="clear" w:color="auto" w:fill="FFFFFF"/>
          </w:tcPr>
          <w:p w14:paraId="4671F5A0" w14:textId="77777777" w:rsidR="009338B9" w:rsidRPr="008E78DD" w:rsidRDefault="009338B9" w:rsidP="008E78DD">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1CE8DD6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992" w:type="dxa"/>
            <w:tcBorders>
              <w:top w:val="single" w:sz="4" w:space="0" w:color="auto"/>
              <w:left w:val="single" w:sz="4" w:space="0" w:color="auto"/>
            </w:tcBorders>
            <w:shd w:val="clear" w:color="auto" w:fill="FFFFFF"/>
          </w:tcPr>
          <w:p w14:paraId="2C83AAC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523BDB7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850" w:type="dxa"/>
            <w:tcBorders>
              <w:top w:val="single" w:sz="4" w:space="0" w:color="auto"/>
              <w:left w:val="single" w:sz="4" w:space="0" w:color="auto"/>
            </w:tcBorders>
            <w:shd w:val="clear" w:color="auto" w:fill="FFFFFF"/>
          </w:tcPr>
          <w:p w14:paraId="5D5EC356"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766" w:type="dxa"/>
            <w:tcBorders>
              <w:top w:val="single" w:sz="4" w:space="0" w:color="auto"/>
              <w:left w:val="single" w:sz="4" w:space="0" w:color="auto"/>
              <w:right w:val="single" w:sz="4" w:space="0" w:color="auto"/>
            </w:tcBorders>
            <w:shd w:val="clear" w:color="auto" w:fill="FFFFFF"/>
          </w:tcPr>
          <w:p w14:paraId="17789E0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r>
      <w:tr w:rsidR="009338B9" w:rsidRPr="008E78DD" w14:paraId="330345EA" w14:textId="77777777" w:rsidTr="008E78DD">
        <w:trPr>
          <w:jc w:val="center"/>
        </w:trPr>
        <w:tc>
          <w:tcPr>
            <w:tcW w:w="1848" w:type="dxa"/>
            <w:vMerge/>
            <w:tcBorders>
              <w:left w:val="single" w:sz="4" w:space="0" w:color="auto"/>
            </w:tcBorders>
            <w:shd w:val="clear" w:color="auto" w:fill="FFFFFF"/>
            <w:vAlign w:val="center"/>
          </w:tcPr>
          <w:p w14:paraId="781455D1" w14:textId="77777777" w:rsidR="009338B9" w:rsidRPr="008E78DD" w:rsidRDefault="009338B9" w:rsidP="008E78DD">
            <w:pPr>
              <w:spacing w:after="120"/>
              <w:jc w:val="center"/>
              <w:rPr>
                <w:rFonts w:ascii="Sylfaen" w:hAnsi="Sylfaen"/>
                <w:sz w:val="20"/>
                <w:szCs w:val="20"/>
              </w:rPr>
            </w:pPr>
          </w:p>
        </w:tc>
        <w:tc>
          <w:tcPr>
            <w:tcW w:w="576" w:type="dxa"/>
            <w:tcBorders>
              <w:top w:val="single" w:sz="4" w:space="0" w:color="auto"/>
              <w:left w:val="single" w:sz="4" w:space="0" w:color="auto"/>
            </w:tcBorders>
            <w:shd w:val="clear" w:color="auto" w:fill="FFFFFF"/>
            <w:vAlign w:val="center"/>
          </w:tcPr>
          <w:p w14:paraId="3F2D32FB"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H</w:t>
            </w:r>
            <w:r w:rsidRPr="008E78DD">
              <w:rPr>
                <w:rFonts w:ascii="Sylfaen" w:hAnsi="Sylfaen"/>
                <w:sz w:val="20"/>
                <w:szCs w:val="20"/>
                <w:vertAlign w:val="subscript"/>
              </w:rPr>
              <w:t>HE</w:t>
            </w:r>
          </w:p>
        </w:tc>
        <w:tc>
          <w:tcPr>
            <w:tcW w:w="1045" w:type="dxa"/>
            <w:tcBorders>
              <w:top w:val="single" w:sz="4" w:space="0" w:color="auto"/>
              <w:left w:val="single" w:sz="4" w:space="0" w:color="auto"/>
            </w:tcBorders>
            <w:shd w:val="clear" w:color="auto" w:fill="FFFFFF"/>
            <w:vAlign w:val="center"/>
          </w:tcPr>
          <w:p w14:paraId="44098AF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60 ժ/րոպե</w:t>
            </w:r>
          </w:p>
        </w:tc>
        <w:tc>
          <w:tcPr>
            <w:tcW w:w="1276" w:type="dxa"/>
            <w:tcBorders>
              <w:top w:val="single" w:sz="4" w:space="0" w:color="auto"/>
              <w:left w:val="single" w:sz="4" w:space="0" w:color="auto"/>
            </w:tcBorders>
            <w:shd w:val="clear" w:color="auto" w:fill="FFFFFF"/>
          </w:tcPr>
          <w:p w14:paraId="3D261AE0" w14:textId="77777777" w:rsidR="009338B9" w:rsidRPr="008E78DD" w:rsidRDefault="009338B9" w:rsidP="008E78DD">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79E1CCB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992" w:type="dxa"/>
            <w:tcBorders>
              <w:top w:val="single" w:sz="4" w:space="0" w:color="auto"/>
              <w:left w:val="single" w:sz="4" w:space="0" w:color="auto"/>
            </w:tcBorders>
            <w:shd w:val="clear" w:color="auto" w:fill="FFFFFF"/>
          </w:tcPr>
          <w:p w14:paraId="6677F51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2302D84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850" w:type="dxa"/>
            <w:tcBorders>
              <w:top w:val="single" w:sz="4" w:space="0" w:color="auto"/>
              <w:left w:val="single" w:sz="4" w:space="0" w:color="auto"/>
            </w:tcBorders>
            <w:shd w:val="clear" w:color="auto" w:fill="FFFFFF"/>
          </w:tcPr>
          <w:p w14:paraId="3F2F58C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766" w:type="dxa"/>
            <w:tcBorders>
              <w:top w:val="single" w:sz="4" w:space="0" w:color="auto"/>
              <w:left w:val="single" w:sz="4" w:space="0" w:color="auto"/>
              <w:right w:val="single" w:sz="4" w:space="0" w:color="auto"/>
            </w:tcBorders>
            <w:shd w:val="clear" w:color="auto" w:fill="FFFFFF"/>
          </w:tcPr>
          <w:p w14:paraId="166EC83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r>
      <w:tr w:rsidR="009338B9" w:rsidRPr="008E78DD" w14:paraId="48740498" w14:textId="77777777" w:rsidTr="008E78DD">
        <w:trPr>
          <w:jc w:val="center"/>
        </w:trPr>
        <w:tc>
          <w:tcPr>
            <w:tcW w:w="2424" w:type="dxa"/>
            <w:gridSpan w:val="2"/>
            <w:tcBorders>
              <w:top w:val="single" w:sz="4" w:space="0" w:color="auto"/>
              <w:left w:val="single" w:sz="4" w:space="0" w:color="auto"/>
              <w:bottom w:val="single" w:sz="4" w:space="0" w:color="auto"/>
            </w:tcBorders>
            <w:shd w:val="clear" w:color="auto" w:fill="FFFFFF"/>
            <w:vAlign w:val="center"/>
          </w:tcPr>
          <w:p w14:paraId="1F9DDF60"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Ռեժիմ H</w:t>
            </w:r>
            <w:r w:rsidRPr="008E78DD">
              <w:rPr>
                <w:rFonts w:ascii="Sylfaen" w:hAnsi="Sylfaen"/>
                <w:sz w:val="20"/>
                <w:szCs w:val="20"/>
                <w:vertAlign w:val="subscript"/>
              </w:rPr>
              <w:t>HE</w:t>
            </w:r>
            <w:r w:rsidRPr="008E78DD">
              <w:rPr>
                <w:rFonts w:ascii="Sylfaen" w:hAnsi="Sylfaen"/>
                <w:sz w:val="20"/>
                <w:szCs w:val="20"/>
              </w:rPr>
              <w:t>, եթե առկա է միայն H</w:t>
            </w:r>
            <w:r w:rsidRPr="008E78DD">
              <w:rPr>
                <w:rFonts w:ascii="Sylfaen" w:hAnsi="Sylfaen"/>
                <w:sz w:val="20"/>
                <w:szCs w:val="20"/>
                <w:vertAlign w:val="subscript"/>
              </w:rPr>
              <w:t>HE</w:t>
            </w:r>
          </w:p>
        </w:tc>
        <w:tc>
          <w:tcPr>
            <w:tcW w:w="1045" w:type="dxa"/>
            <w:tcBorders>
              <w:top w:val="single" w:sz="4" w:space="0" w:color="auto"/>
              <w:left w:val="single" w:sz="4" w:space="0" w:color="auto"/>
              <w:bottom w:val="single" w:sz="4" w:space="0" w:color="auto"/>
            </w:tcBorders>
            <w:shd w:val="clear" w:color="auto" w:fill="FFFFFF"/>
            <w:vAlign w:val="center"/>
          </w:tcPr>
          <w:p w14:paraId="068F36A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60 ժ/րոպե</w:t>
            </w:r>
          </w:p>
        </w:tc>
        <w:tc>
          <w:tcPr>
            <w:tcW w:w="1276" w:type="dxa"/>
            <w:tcBorders>
              <w:top w:val="single" w:sz="4" w:space="0" w:color="auto"/>
              <w:left w:val="single" w:sz="4" w:space="0" w:color="auto"/>
              <w:bottom w:val="single" w:sz="4" w:space="0" w:color="auto"/>
            </w:tcBorders>
            <w:shd w:val="clear" w:color="auto" w:fill="FFFFFF"/>
          </w:tcPr>
          <w:p w14:paraId="3F3050CD" w14:textId="77777777" w:rsidR="009338B9" w:rsidRPr="008E78DD" w:rsidRDefault="009338B9" w:rsidP="008E78DD">
            <w:pPr>
              <w:spacing w:after="120"/>
              <w:rPr>
                <w:rFonts w:ascii="Sylfaen" w:hAnsi="Sylfaen"/>
                <w:sz w:val="20"/>
                <w:szCs w:val="20"/>
              </w:rPr>
            </w:pPr>
          </w:p>
        </w:tc>
        <w:tc>
          <w:tcPr>
            <w:tcW w:w="1417" w:type="dxa"/>
            <w:tcBorders>
              <w:top w:val="single" w:sz="4" w:space="0" w:color="auto"/>
              <w:left w:val="single" w:sz="4" w:space="0" w:color="auto"/>
              <w:bottom w:val="single" w:sz="4" w:space="0" w:color="auto"/>
            </w:tcBorders>
            <w:shd w:val="clear" w:color="auto" w:fill="FFFFFF"/>
          </w:tcPr>
          <w:p w14:paraId="3B98A1C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992" w:type="dxa"/>
            <w:tcBorders>
              <w:top w:val="single" w:sz="4" w:space="0" w:color="auto"/>
              <w:left w:val="single" w:sz="4" w:space="0" w:color="auto"/>
              <w:bottom w:val="single" w:sz="4" w:space="0" w:color="auto"/>
            </w:tcBorders>
            <w:shd w:val="clear" w:color="auto" w:fill="FFFFFF"/>
          </w:tcPr>
          <w:p w14:paraId="698389A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7644287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850" w:type="dxa"/>
            <w:tcBorders>
              <w:top w:val="single" w:sz="4" w:space="0" w:color="auto"/>
              <w:left w:val="single" w:sz="4" w:space="0" w:color="auto"/>
              <w:bottom w:val="single" w:sz="4" w:space="0" w:color="auto"/>
            </w:tcBorders>
            <w:shd w:val="clear" w:color="auto" w:fill="FFFFFF"/>
          </w:tcPr>
          <w:p w14:paraId="2FD0B5B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766" w:type="dxa"/>
            <w:tcBorders>
              <w:top w:val="single" w:sz="4" w:space="0" w:color="auto"/>
              <w:left w:val="single" w:sz="4" w:space="0" w:color="auto"/>
              <w:bottom w:val="single" w:sz="4" w:space="0" w:color="auto"/>
              <w:right w:val="single" w:sz="4" w:space="0" w:color="auto"/>
            </w:tcBorders>
            <w:shd w:val="clear" w:color="auto" w:fill="FFFFFF"/>
          </w:tcPr>
          <w:p w14:paraId="74D91E8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r>
      <w:tr w:rsidR="009338B9" w:rsidRPr="008E78DD" w14:paraId="456AC3B6" w14:textId="77777777" w:rsidTr="009338B9">
        <w:trPr>
          <w:jc w:val="center"/>
        </w:trPr>
        <w:tc>
          <w:tcPr>
            <w:tcW w:w="9763" w:type="dxa"/>
            <w:gridSpan w:val="9"/>
            <w:tcBorders>
              <w:top w:val="single" w:sz="4" w:space="0" w:color="auto"/>
              <w:left w:val="single" w:sz="4" w:space="0" w:color="auto"/>
              <w:right w:val="single" w:sz="4" w:space="0" w:color="auto"/>
            </w:tcBorders>
            <w:shd w:val="clear" w:color="auto" w:fill="FFFFFF"/>
          </w:tcPr>
          <w:p w14:paraId="25E10AD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lastRenderedPageBreak/>
              <w:t>III. Միուղի օդորակիչներ</w:t>
            </w:r>
          </w:p>
        </w:tc>
      </w:tr>
      <w:tr w:rsidR="009338B9" w:rsidRPr="008E78DD" w14:paraId="7395C205" w14:textId="77777777" w:rsidTr="008E78DD">
        <w:trPr>
          <w:jc w:val="center"/>
        </w:trPr>
        <w:tc>
          <w:tcPr>
            <w:tcW w:w="2424" w:type="dxa"/>
            <w:gridSpan w:val="2"/>
            <w:tcBorders>
              <w:top w:val="single" w:sz="4" w:space="0" w:color="auto"/>
              <w:left w:val="single" w:sz="4" w:space="0" w:color="auto"/>
            </w:tcBorders>
            <w:shd w:val="clear" w:color="auto" w:fill="FFFFFF"/>
            <w:vAlign w:val="center"/>
          </w:tcPr>
          <w:p w14:paraId="2BE2E786" w14:textId="77777777" w:rsidR="009338B9" w:rsidRPr="008E78DD" w:rsidRDefault="009338B9" w:rsidP="008E78DD">
            <w:pPr>
              <w:pStyle w:val="Bodytext20"/>
              <w:spacing w:after="120" w:line="240" w:lineRule="auto"/>
              <w:ind w:left="56"/>
              <w:rPr>
                <w:rFonts w:ascii="Sylfaen" w:hAnsi="Sylfaen"/>
                <w:sz w:val="20"/>
                <w:szCs w:val="20"/>
              </w:rPr>
            </w:pPr>
            <w:r w:rsidRPr="008E78DD">
              <w:rPr>
                <w:rStyle w:val="Bodytext211pt"/>
                <w:rFonts w:ascii="Sylfaen" w:hAnsi="Sylfaen"/>
                <w:sz w:val="20"/>
                <w:szCs w:val="20"/>
              </w:rPr>
              <w:t>Հովացման ռեժիմ</w:t>
            </w:r>
          </w:p>
        </w:tc>
        <w:tc>
          <w:tcPr>
            <w:tcW w:w="1045" w:type="dxa"/>
            <w:tcBorders>
              <w:top w:val="single" w:sz="4" w:space="0" w:color="auto"/>
              <w:left w:val="single" w:sz="4" w:space="0" w:color="auto"/>
            </w:tcBorders>
            <w:shd w:val="clear" w:color="auto" w:fill="FFFFFF"/>
            <w:vAlign w:val="center"/>
          </w:tcPr>
          <w:p w14:paraId="3AD8C151" w14:textId="77777777" w:rsidR="009338B9" w:rsidRPr="008E78DD" w:rsidRDefault="009338B9" w:rsidP="008E78DD">
            <w:pPr>
              <w:pStyle w:val="Bodytext20"/>
              <w:spacing w:after="120" w:line="240" w:lineRule="auto"/>
              <w:ind w:left="56"/>
              <w:rPr>
                <w:rFonts w:ascii="Sylfaen" w:hAnsi="Sylfaen"/>
                <w:sz w:val="20"/>
                <w:szCs w:val="20"/>
              </w:rPr>
            </w:pPr>
            <w:r w:rsidRPr="008E78DD">
              <w:rPr>
                <w:rStyle w:val="Bodytext211pt"/>
                <w:rFonts w:ascii="Sylfaen" w:hAnsi="Sylfaen"/>
                <w:sz w:val="20"/>
                <w:szCs w:val="20"/>
              </w:rPr>
              <w:t>60 ժ/րոպե</w:t>
            </w:r>
          </w:p>
        </w:tc>
        <w:tc>
          <w:tcPr>
            <w:tcW w:w="1276" w:type="dxa"/>
            <w:tcBorders>
              <w:top w:val="single" w:sz="4" w:space="0" w:color="auto"/>
              <w:left w:val="single" w:sz="4" w:space="0" w:color="auto"/>
            </w:tcBorders>
            <w:shd w:val="clear" w:color="auto" w:fill="FFFFFF"/>
          </w:tcPr>
          <w:p w14:paraId="287D1EC3" w14:textId="77777777" w:rsidR="009338B9" w:rsidRPr="008E78DD" w:rsidRDefault="009338B9" w:rsidP="008E78DD">
            <w:pPr>
              <w:spacing w:after="120"/>
              <w:rPr>
                <w:rFonts w:ascii="Sylfaen" w:hAnsi="Sylfaen"/>
                <w:sz w:val="20"/>
                <w:szCs w:val="20"/>
              </w:rPr>
            </w:pPr>
          </w:p>
        </w:tc>
        <w:tc>
          <w:tcPr>
            <w:tcW w:w="1417" w:type="dxa"/>
            <w:tcBorders>
              <w:top w:val="single" w:sz="4" w:space="0" w:color="auto"/>
              <w:left w:val="single" w:sz="4" w:space="0" w:color="auto"/>
            </w:tcBorders>
            <w:shd w:val="clear" w:color="auto" w:fill="FFFFFF"/>
          </w:tcPr>
          <w:p w14:paraId="6311EC9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992" w:type="dxa"/>
            <w:tcBorders>
              <w:top w:val="single" w:sz="4" w:space="0" w:color="auto"/>
              <w:left w:val="single" w:sz="4" w:space="0" w:color="auto"/>
            </w:tcBorders>
            <w:shd w:val="clear" w:color="auto" w:fill="FFFFFF"/>
          </w:tcPr>
          <w:p w14:paraId="41AF31B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993" w:type="dxa"/>
            <w:tcBorders>
              <w:top w:val="single" w:sz="4" w:space="0" w:color="auto"/>
              <w:left w:val="single" w:sz="4" w:space="0" w:color="auto"/>
            </w:tcBorders>
            <w:shd w:val="clear" w:color="auto" w:fill="FFFFFF"/>
          </w:tcPr>
          <w:p w14:paraId="7912AB1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850" w:type="dxa"/>
            <w:tcBorders>
              <w:top w:val="single" w:sz="4" w:space="0" w:color="auto"/>
              <w:left w:val="single" w:sz="4" w:space="0" w:color="auto"/>
            </w:tcBorders>
            <w:shd w:val="clear" w:color="auto" w:fill="FFFFFF"/>
          </w:tcPr>
          <w:p w14:paraId="5C3A965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766" w:type="dxa"/>
            <w:tcBorders>
              <w:top w:val="single" w:sz="4" w:space="0" w:color="auto"/>
              <w:left w:val="single" w:sz="4" w:space="0" w:color="auto"/>
              <w:right w:val="single" w:sz="4" w:space="0" w:color="auto"/>
            </w:tcBorders>
            <w:shd w:val="clear" w:color="auto" w:fill="FFFFFF"/>
          </w:tcPr>
          <w:p w14:paraId="4EA6E46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r>
      <w:tr w:rsidR="009338B9" w:rsidRPr="008E78DD" w14:paraId="4B024E25" w14:textId="77777777" w:rsidTr="008E78DD">
        <w:trPr>
          <w:jc w:val="center"/>
        </w:trPr>
        <w:tc>
          <w:tcPr>
            <w:tcW w:w="2424" w:type="dxa"/>
            <w:gridSpan w:val="2"/>
            <w:tcBorders>
              <w:top w:val="single" w:sz="4" w:space="0" w:color="auto"/>
              <w:left w:val="single" w:sz="4" w:space="0" w:color="auto"/>
              <w:bottom w:val="single" w:sz="4" w:space="0" w:color="auto"/>
            </w:tcBorders>
            <w:shd w:val="clear" w:color="auto" w:fill="FFFFFF"/>
            <w:vAlign w:val="center"/>
          </w:tcPr>
          <w:p w14:paraId="53414243" w14:textId="77777777" w:rsidR="009338B9" w:rsidRPr="008E78DD" w:rsidRDefault="009338B9" w:rsidP="008E78DD">
            <w:pPr>
              <w:pStyle w:val="Bodytext20"/>
              <w:spacing w:after="120" w:line="240" w:lineRule="auto"/>
              <w:ind w:left="56"/>
              <w:rPr>
                <w:rFonts w:ascii="Sylfaen" w:hAnsi="Sylfaen"/>
                <w:sz w:val="20"/>
                <w:szCs w:val="20"/>
              </w:rPr>
            </w:pPr>
            <w:r w:rsidRPr="008E78DD">
              <w:rPr>
                <w:rStyle w:val="Bodytext211pt"/>
                <w:rFonts w:ascii="Sylfaen" w:hAnsi="Sylfaen"/>
                <w:sz w:val="20"/>
                <w:szCs w:val="20"/>
              </w:rPr>
              <w:t>Տաքացման ռեժիմ</w:t>
            </w:r>
          </w:p>
        </w:tc>
        <w:tc>
          <w:tcPr>
            <w:tcW w:w="1045" w:type="dxa"/>
            <w:tcBorders>
              <w:top w:val="single" w:sz="4" w:space="0" w:color="auto"/>
              <w:left w:val="single" w:sz="4" w:space="0" w:color="auto"/>
              <w:bottom w:val="single" w:sz="4" w:space="0" w:color="auto"/>
            </w:tcBorders>
            <w:shd w:val="clear" w:color="auto" w:fill="FFFFFF"/>
            <w:vAlign w:val="center"/>
          </w:tcPr>
          <w:p w14:paraId="0997D557" w14:textId="77777777" w:rsidR="009338B9" w:rsidRPr="008E78DD" w:rsidRDefault="009338B9" w:rsidP="008E78DD">
            <w:pPr>
              <w:pStyle w:val="Bodytext20"/>
              <w:spacing w:after="120" w:line="240" w:lineRule="auto"/>
              <w:ind w:left="56"/>
              <w:rPr>
                <w:rFonts w:ascii="Sylfaen" w:hAnsi="Sylfaen"/>
                <w:sz w:val="20"/>
                <w:szCs w:val="20"/>
              </w:rPr>
            </w:pPr>
            <w:r w:rsidRPr="008E78DD">
              <w:rPr>
                <w:rStyle w:val="Bodytext211pt"/>
                <w:rFonts w:ascii="Sylfaen" w:hAnsi="Sylfaen"/>
                <w:sz w:val="20"/>
                <w:szCs w:val="20"/>
              </w:rPr>
              <w:t>60 ժ/րոպե</w:t>
            </w:r>
          </w:p>
        </w:tc>
        <w:tc>
          <w:tcPr>
            <w:tcW w:w="1276" w:type="dxa"/>
            <w:tcBorders>
              <w:top w:val="single" w:sz="4" w:space="0" w:color="auto"/>
              <w:left w:val="single" w:sz="4" w:space="0" w:color="auto"/>
              <w:bottom w:val="single" w:sz="4" w:space="0" w:color="auto"/>
            </w:tcBorders>
            <w:shd w:val="clear" w:color="auto" w:fill="FFFFFF"/>
          </w:tcPr>
          <w:p w14:paraId="20E02BA5" w14:textId="77777777" w:rsidR="009338B9" w:rsidRPr="008E78DD" w:rsidRDefault="009338B9" w:rsidP="008E78DD">
            <w:pPr>
              <w:spacing w:after="120"/>
              <w:rPr>
                <w:rFonts w:ascii="Sylfaen" w:hAnsi="Sylfaen"/>
                <w:sz w:val="20"/>
                <w:szCs w:val="20"/>
              </w:rPr>
            </w:pPr>
          </w:p>
        </w:tc>
        <w:tc>
          <w:tcPr>
            <w:tcW w:w="1417" w:type="dxa"/>
            <w:tcBorders>
              <w:top w:val="single" w:sz="4" w:space="0" w:color="auto"/>
              <w:left w:val="single" w:sz="4" w:space="0" w:color="auto"/>
              <w:bottom w:val="single" w:sz="4" w:space="0" w:color="auto"/>
            </w:tcBorders>
            <w:shd w:val="clear" w:color="auto" w:fill="FFFFFF"/>
          </w:tcPr>
          <w:p w14:paraId="52F725E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1</w:t>
            </w:r>
          </w:p>
        </w:tc>
        <w:tc>
          <w:tcPr>
            <w:tcW w:w="992" w:type="dxa"/>
            <w:tcBorders>
              <w:top w:val="single" w:sz="4" w:space="0" w:color="auto"/>
              <w:left w:val="single" w:sz="4" w:space="0" w:color="auto"/>
              <w:bottom w:val="single" w:sz="4" w:space="0" w:color="auto"/>
            </w:tcBorders>
            <w:shd w:val="clear" w:color="auto" w:fill="FFFFFF"/>
          </w:tcPr>
          <w:p w14:paraId="6E758A9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993" w:type="dxa"/>
            <w:tcBorders>
              <w:top w:val="single" w:sz="4" w:space="0" w:color="auto"/>
              <w:left w:val="single" w:sz="4" w:space="0" w:color="auto"/>
              <w:bottom w:val="single" w:sz="4" w:space="0" w:color="auto"/>
            </w:tcBorders>
            <w:shd w:val="clear" w:color="auto" w:fill="FFFFFF"/>
          </w:tcPr>
          <w:p w14:paraId="2E51EEB6"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850" w:type="dxa"/>
            <w:tcBorders>
              <w:top w:val="single" w:sz="4" w:space="0" w:color="auto"/>
              <w:left w:val="single" w:sz="4" w:space="0" w:color="auto"/>
              <w:bottom w:val="single" w:sz="4" w:space="0" w:color="auto"/>
            </w:tcBorders>
            <w:shd w:val="clear" w:color="auto" w:fill="FFFFFF"/>
          </w:tcPr>
          <w:p w14:paraId="183F96B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c>
          <w:tcPr>
            <w:tcW w:w="766" w:type="dxa"/>
            <w:tcBorders>
              <w:top w:val="single" w:sz="4" w:space="0" w:color="auto"/>
              <w:left w:val="single" w:sz="4" w:space="0" w:color="auto"/>
              <w:bottom w:val="single" w:sz="4" w:space="0" w:color="auto"/>
              <w:right w:val="single" w:sz="4" w:space="0" w:color="auto"/>
            </w:tcBorders>
            <w:shd w:val="clear" w:color="auto" w:fill="FFFFFF"/>
          </w:tcPr>
          <w:p w14:paraId="5A85686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w:t>
            </w:r>
          </w:p>
        </w:tc>
      </w:tr>
    </w:tbl>
    <w:p w14:paraId="327CB36A" w14:textId="77777777" w:rsidR="009338B9" w:rsidRPr="008E78DD" w:rsidRDefault="009338B9" w:rsidP="008E78DD">
      <w:pPr>
        <w:spacing w:after="160" w:line="360" w:lineRule="auto"/>
        <w:jc w:val="both"/>
        <w:rPr>
          <w:rFonts w:ascii="Sylfaen" w:hAnsi="Sylfaen"/>
          <w:sz w:val="20"/>
          <w:szCs w:val="20"/>
        </w:rPr>
      </w:pPr>
    </w:p>
    <w:p w14:paraId="74FBB868" w14:textId="77777777" w:rsidR="009338B9" w:rsidRPr="008E78DD" w:rsidRDefault="009338B9" w:rsidP="008E78DD">
      <w:pPr>
        <w:pStyle w:val="Bodytext50"/>
        <w:tabs>
          <w:tab w:val="left" w:pos="567"/>
        </w:tabs>
        <w:spacing w:before="0" w:after="160" w:line="360" w:lineRule="auto"/>
        <w:rPr>
          <w:rFonts w:ascii="Sylfaen" w:hAnsi="Sylfaen"/>
          <w:sz w:val="20"/>
          <w:szCs w:val="20"/>
        </w:rPr>
      </w:pPr>
      <w:r w:rsidRPr="008E78DD">
        <w:rPr>
          <w:rFonts w:ascii="Sylfaen" w:hAnsi="Sylfaen"/>
          <w:sz w:val="20"/>
          <w:szCs w:val="20"/>
          <w:vertAlign w:val="superscript"/>
        </w:rPr>
        <w:t>1</w:t>
      </w:r>
      <w:r w:rsidR="005630B5">
        <w:rPr>
          <w:rFonts w:ascii="Sylfaen" w:hAnsi="Sylfaen"/>
          <w:sz w:val="20"/>
          <w:szCs w:val="20"/>
        </w:rPr>
        <w:t>)</w:t>
      </w:r>
      <w:r w:rsidR="008E78DD" w:rsidRPr="008E78DD">
        <w:rPr>
          <w:rFonts w:ascii="Sylfaen" w:hAnsi="Sylfaen"/>
          <w:sz w:val="20"/>
          <w:szCs w:val="20"/>
        </w:rPr>
        <w:tab/>
      </w:r>
      <w:r w:rsidRPr="008E78DD">
        <w:rPr>
          <w:rFonts w:ascii="Sylfaen" w:hAnsi="Sylfaen"/>
          <w:sz w:val="20"/>
          <w:szCs w:val="20"/>
        </w:rPr>
        <w:t>Հովացման ռեժիմ:</w:t>
      </w:r>
    </w:p>
    <w:p w14:paraId="77DE51E2" w14:textId="77777777" w:rsidR="009338B9" w:rsidRPr="008E78DD" w:rsidRDefault="009338B9" w:rsidP="008E78DD">
      <w:pPr>
        <w:pStyle w:val="Bodytext50"/>
        <w:tabs>
          <w:tab w:val="left" w:pos="567"/>
        </w:tabs>
        <w:spacing w:before="0" w:after="160" w:line="360" w:lineRule="auto"/>
        <w:rPr>
          <w:rFonts w:ascii="Sylfaen" w:hAnsi="Sylfaen"/>
          <w:sz w:val="20"/>
          <w:szCs w:val="20"/>
        </w:rPr>
      </w:pPr>
      <w:r w:rsidRPr="008E78DD">
        <w:rPr>
          <w:rFonts w:ascii="Sylfaen" w:hAnsi="Sylfaen"/>
          <w:sz w:val="20"/>
          <w:szCs w:val="20"/>
          <w:vertAlign w:val="superscript"/>
        </w:rPr>
        <w:t>2)</w:t>
      </w:r>
      <w:r w:rsidR="008E78DD" w:rsidRPr="008E78DD">
        <w:rPr>
          <w:rFonts w:ascii="Sylfaen" w:hAnsi="Sylfaen"/>
          <w:sz w:val="20"/>
          <w:szCs w:val="20"/>
        </w:rPr>
        <w:tab/>
      </w:r>
      <w:r w:rsidRPr="008E78DD">
        <w:rPr>
          <w:rFonts w:ascii="Sylfaen" w:hAnsi="Sylfaen"/>
          <w:sz w:val="20"/>
          <w:szCs w:val="20"/>
        </w:rPr>
        <w:t>Տաքացման ռեժիմ:</w:t>
      </w:r>
    </w:p>
    <w:p w14:paraId="26F83EB8" w14:textId="77777777" w:rsidR="009338B9" w:rsidRPr="008E78DD" w:rsidRDefault="009338B9" w:rsidP="008E78DD">
      <w:pPr>
        <w:pStyle w:val="Bodytext50"/>
        <w:tabs>
          <w:tab w:val="left" w:pos="567"/>
        </w:tabs>
        <w:spacing w:before="0" w:after="160" w:line="360" w:lineRule="auto"/>
        <w:rPr>
          <w:rFonts w:ascii="Sylfaen" w:hAnsi="Sylfaen"/>
          <w:sz w:val="20"/>
          <w:szCs w:val="20"/>
        </w:rPr>
      </w:pPr>
      <w:r w:rsidRPr="008E78DD">
        <w:rPr>
          <w:rFonts w:ascii="Sylfaen" w:hAnsi="Sylfaen"/>
          <w:sz w:val="20"/>
          <w:szCs w:val="20"/>
          <w:vertAlign w:val="superscript"/>
        </w:rPr>
        <w:t>3)</w:t>
      </w:r>
      <w:r w:rsidR="008E78DD" w:rsidRPr="008E78DD">
        <w:rPr>
          <w:rFonts w:ascii="Sylfaen" w:hAnsi="Sylfaen"/>
          <w:sz w:val="20"/>
          <w:szCs w:val="20"/>
        </w:rPr>
        <w:tab/>
      </w:r>
      <w:r w:rsidRPr="008E78DD">
        <w:rPr>
          <w:rFonts w:ascii="Sylfaen" w:hAnsi="Sylfaen"/>
          <w:sz w:val="20"/>
          <w:szCs w:val="20"/>
        </w:rPr>
        <w:t>Սպասման ռեժիմ:</w:t>
      </w:r>
    </w:p>
    <w:p w14:paraId="1C8AD6D0" w14:textId="77777777" w:rsidR="009338B9" w:rsidRPr="008E78DD" w:rsidRDefault="009338B9" w:rsidP="008E78DD">
      <w:pPr>
        <w:pStyle w:val="Bodytext50"/>
        <w:tabs>
          <w:tab w:val="left" w:pos="567"/>
        </w:tabs>
        <w:spacing w:before="0" w:after="160" w:line="360" w:lineRule="auto"/>
        <w:rPr>
          <w:rFonts w:ascii="Sylfaen" w:hAnsi="Sylfaen"/>
          <w:sz w:val="20"/>
          <w:szCs w:val="20"/>
        </w:rPr>
      </w:pPr>
      <w:r w:rsidRPr="008E78DD">
        <w:rPr>
          <w:rFonts w:ascii="Sylfaen" w:hAnsi="Sylfaen"/>
          <w:sz w:val="20"/>
          <w:szCs w:val="20"/>
          <w:vertAlign w:val="superscript"/>
        </w:rPr>
        <w:t>4)</w:t>
      </w:r>
      <w:r w:rsidR="008E78DD" w:rsidRPr="008E78DD">
        <w:rPr>
          <w:rFonts w:ascii="Sylfaen" w:hAnsi="Sylfaen"/>
          <w:sz w:val="20"/>
          <w:szCs w:val="20"/>
        </w:rPr>
        <w:tab/>
      </w:r>
      <w:r w:rsidRPr="008E78DD">
        <w:rPr>
          <w:rFonts w:ascii="Sylfaen" w:hAnsi="Sylfaen"/>
          <w:sz w:val="20"/>
          <w:szCs w:val="20"/>
        </w:rPr>
        <w:t>Անջատման ռեժիմ:</w:t>
      </w:r>
    </w:p>
    <w:p w14:paraId="155FA55C" w14:textId="77777777" w:rsidR="009338B9" w:rsidRPr="008E78DD" w:rsidRDefault="009338B9" w:rsidP="005630B5">
      <w:pPr>
        <w:pStyle w:val="Bodytext50"/>
        <w:tabs>
          <w:tab w:val="left" w:pos="567"/>
        </w:tabs>
        <w:spacing w:before="0" w:after="160" w:line="360" w:lineRule="auto"/>
        <w:rPr>
          <w:rFonts w:ascii="Sylfaen" w:hAnsi="Sylfaen"/>
          <w:sz w:val="20"/>
          <w:szCs w:val="20"/>
        </w:rPr>
      </w:pPr>
      <w:r w:rsidRPr="008E78DD">
        <w:rPr>
          <w:rFonts w:ascii="Sylfaen" w:hAnsi="Sylfaen"/>
          <w:sz w:val="20"/>
          <w:szCs w:val="20"/>
          <w:vertAlign w:val="superscript"/>
        </w:rPr>
        <w:t>5)</w:t>
      </w:r>
      <w:r w:rsidR="008E78DD" w:rsidRPr="008E78DD">
        <w:rPr>
          <w:rFonts w:ascii="Sylfaen" w:hAnsi="Sylfaen"/>
          <w:sz w:val="20"/>
          <w:szCs w:val="20"/>
        </w:rPr>
        <w:tab/>
      </w:r>
      <w:r w:rsidRPr="008E78DD">
        <w:rPr>
          <w:rFonts w:ascii="Sylfaen" w:hAnsi="Sylfaen"/>
          <w:sz w:val="20"/>
          <w:szCs w:val="20"/>
        </w:rPr>
        <w:t>Անջատված ջերմակարգավորիչով ռեժիմ:</w:t>
      </w:r>
    </w:p>
    <w:p w14:paraId="11576BF4" w14:textId="77777777" w:rsidR="009338B9" w:rsidRPr="008E78DD" w:rsidRDefault="009338B9" w:rsidP="008E78DD">
      <w:pPr>
        <w:pStyle w:val="Bodytext50"/>
        <w:tabs>
          <w:tab w:val="left" w:pos="567"/>
        </w:tabs>
        <w:spacing w:before="0" w:after="160" w:line="360" w:lineRule="auto"/>
        <w:rPr>
          <w:rFonts w:ascii="Sylfaen" w:hAnsi="Sylfaen"/>
          <w:sz w:val="20"/>
          <w:szCs w:val="20"/>
        </w:rPr>
      </w:pPr>
      <w:r w:rsidRPr="008E78DD">
        <w:rPr>
          <w:rFonts w:ascii="Sylfaen" w:hAnsi="Sylfaen"/>
          <w:sz w:val="20"/>
          <w:szCs w:val="20"/>
          <w:vertAlign w:val="superscript"/>
        </w:rPr>
        <w:t>6)</w:t>
      </w:r>
      <w:r w:rsidR="008E78DD" w:rsidRPr="008E78DD">
        <w:rPr>
          <w:rFonts w:ascii="Sylfaen" w:hAnsi="Sylfaen"/>
          <w:sz w:val="20"/>
          <w:szCs w:val="20"/>
          <w:lang w:val="en-US"/>
        </w:rPr>
        <w:tab/>
      </w:r>
      <w:r w:rsidRPr="008E78DD">
        <w:rPr>
          <w:rFonts w:ascii="Sylfaen" w:hAnsi="Sylfaen"/>
          <w:sz w:val="20"/>
          <w:szCs w:val="20"/>
        </w:rPr>
        <w:t>Հենատուփային տաքացմամբ ռեժիմ:</w:t>
      </w:r>
    </w:p>
    <w:p w14:paraId="61D52596" w14:textId="77777777" w:rsidR="008E78DD" w:rsidRDefault="008E78DD" w:rsidP="009338B9">
      <w:pPr>
        <w:pStyle w:val="Bodytext20"/>
        <w:spacing w:after="160" w:line="360" w:lineRule="auto"/>
        <w:jc w:val="right"/>
        <w:rPr>
          <w:rFonts w:ascii="Sylfaen" w:hAnsi="Sylfaen"/>
          <w:sz w:val="24"/>
          <w:szCs w:val="24"/>
          <w:lang w:val="en-US"/>
        </w:rPr>
      </w:pPr>
    </w:p>
    <w:p w14:paraId="490FE34D" w14:textId="77777777" w:rsidR="009338B9" w:rsidRPr="00CF39EE" w:rsidRDefault="009338B9" w:rsidP="009338B9">
      <w:pPr>
        <w:pStyle w:val="Bodytext20"/>
        <w:spacing w:after="160" w:line="360" w:lineRule="auto"/>
        <w:jc w:val="right"/>
        <w:rPr>
          <w:rFonts w:ascii="Sylfaen" w:hAnsi="Sylfaen"/>
          <w:sz w:val="24"/>
          <w:szCs w:val="24"/>
        </w:rPr>
      </w:pPr>
      <w:r w:rsidRPr="00CF39EE">
        <w:rPr>
          <w:rFonts w:ascii="Sylfaen" w:hAnsi="Sylfaen"/>
          <w:sz w:val="24"/>
          <w:szCs w:val="24"/>
        </w:rPr>
        <w:t>Աղյուսակ 7</w:t>
      </w:r>
    </w:p>
    <w:p w14:paraId="018FEBD3" w14:textId="77777777" w:rsidR="009338B9" w:rsidRPr="00CF39EE" w:rsidRDefault="009338B9" w:rsidP="009338B9">
      <w:pPr>
        <w:pStyle w:val="Bodytext20"/>
        <w:spacing w:after="160" w:line="360" w:lineRule="auto"/>
        <w:ind w:right="-8"/>
        <w:rPr>
          <w:rFonts w:ascii="Sylfaen" w:hAnsi="Sylfaen"/>
          <w:sz w:val="24"/>
          <w:szCs w:val="24"/>
        </w:rPr>
      </w:pPr>
      <w:r w:rsidRPr="00CF39EE">
        <w:rPr>
          <w:rFonts w:ascii="Sylfaen" w:hAnsi="Sylfaen"/>
          <w:sz w:val="24"/>
          <w:szCs w:val="24"/>
        </w:rPr>
        <w:t>Ստանդարտ անվանական պայմանները (ջերմաստիճանն ըստ չոր ջերմաչափի. փակագծերում՝ ջերմաստիճանն ըստ խոնավ ջերմաչափի)</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36"/>
        <w:gridCol w:w="1661"/>
        <w:gridCol w:w="2693"/>
        <w:gridCol w:w="2674"/>
      </w:tblGrid>
      <w:tr w:rsidR="009338B9" w:rsidRPr="008E78DD" w14:paraId="4F81897B" w14:textId="77777777" w:rsidTr="008E78DD">
        <w:trPr>
          <w:jc w:val="center"/>
        </w:trPr>
        <w:tc>
          <w:tcPr>
            <w:tcW w:w="2736" w:type="dxa"/>
            <w:tcBorders>
              <w:top w:val="single" w:sz="4" w:space="0" w:color="auto"/>
              <w:left w:val="single" w:sz="4" w:space="0" w:color="auto"/>
            </w:tcBorders>
            <w:shd w:val="clear" w:color="auto" w:fill="FFFFFF"/>
            <w:vAlign w:val="center"/>
          </w:tcPr>
          <w:p w14:paraId="0956B1E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Սարք</w:t>
            </w:r>
          </w:p>
        </w:tc>
        <w:tc>
          <w:tcPr>
            <w:tcW w:w="1661" w:type="dxa"/>
            <w:tcBorders>
              <w:top w:val="single" w:sz="4" w:space="0" w:color="auto"/>
              <w:left w:val="single" w:sz="4" w:space="0" w:color="auto"/>
            </w:tcBorders>
            <w:shd w:val="clear" w:color="auto" w:fill="FFFFFF"/>
            <w:vAlign w:val="center"/>
          </w:tcPr>
          <w:p w14:paraId="5DF2CF5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Ֆունկցիա</w:t>
            </w:r>
          </w:p>
        </w:tc>
        <w:tc>
          <w:tcPr>
            <w:tcW w:w="2693" w:type="dxa"/>
            <w:tcBorders>
              <w:top w:val="single" w:sz="4" w:space="0" w:color="auto"/>
              <w:left w:val="single" w:sz="4" w:space="0" w:color="auto"/>
            </w:tcBorders>
            <w:shd w:val="clear" w:color="auto" w:fill="FFFFFF"/>
            <w:vAlign w:val="center"/>
          </w:tcPr>
          <w:p w14:paraId="470A2B3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Օդի ջերմաստիճանը տարածքում, °С</w:t>
            </w:r>
          </w:p>
        </w:tc>
        <w:tc>
          <w:tcPr>
            <w:tcW w:w="2674" w:type="dxa"/>
            <w:tcBorders>
              <w:top w:val="single" w:sz="4" w:space="0" w:color="auto"/>
              <w:left w:val="single" w:sz="4" w:space="0" w:color="auto"/>
              <w:right w:val="single" w:sz="4" w:space="0" w:color="auto"/>
            </w:tcBorders>
            <w:shd w:val="clear" w:color="auto" w:fill="FFFFFF"/>
            <w:vAlign w:val="center"/>
          </w:tcPr>
          <w:p w14:paraId="6C27D77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Արտաքին օդի ջերմաստիճանը, °С</w:t>
            </w:r>
          </w:p>
        </w:tc>
      </w:tr>
      <w:tr w:rsidR="009338B9" w:rsidRPr="008E78DD" w14:paraId="7170CDAF" w14:textId="77777777" w:rsidTr="008E78DD">
        <w:trPr>
          <w:jc w:val="center"/>
        </w:trPr>
        <w:tc>
          <w:tcPr>
            <w:tcW w:w="2736" w:type="dxa"/>
            <w:vMerge w:val="restart"/>
            <w:tcBorders>
              <w:top w:val="single" w:sz="4" w:space="0" w:color="auto"/>
              <w:left w:val="single" w:sz="4" w:space="0" w:color="auto"/>
            </w:tcBorders>
            <w:shd w:val="clear" w:color="auto" w:fill="FFFFFF"/>
            <w:vAlign w:val="center"/>
          </w:tcPr>
          <w:p w14:paraId="378415C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Օդորակիչներ (բացի միուղիներից)</w:t>
            </w:r>
          </w:p>
        </w:tc>
        <w:tc>
          <w:tcPr>
            <w:tcW w:w="1661" w:type="dxa"/>
            <w:tcBorders>
              <w:top w:val="single" w:sz="4" w:space="0" w:color="auto"/>
              <w:left w:val="single" w:sz="4" w:space="0" w:color="auto"/>
            </w:tcBorders>
            <w:shd w:val="clear" w:color="auto" w:fill="FFFFFF"/>
            <w:vAlign w:val="center"/>
          </w:tcPr>
          <w:p w14:paraId="6143D12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հովացում</w:t>
            </w:r>
          </w:p>
        </w:tc>
        <w:tc>
          <w:tcPr>
            <w:tcW w:w="2693" w:type="dxa"/>
            <w:tcBorders>
              <w:top w:val="single" w:sz="4" w:space="0" w:color="auto"/>
              <w:left w:val="single" w:sz="4" w:space="0" w:color="auto"/>
            </w:tcBorders>
            <w:shd w:val="clear" w:color="auto" w:fill="FFFFFF"/>
            <w:vAlign w:val="center"/>
          </w:tcPr>
          <w:p w14:paraId="01BA991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27 (19)</w:t>
            </w:r>
          </w:p>
        </w:tc>
        <w:tc>
          <w:tcPr>
            <w:tcW w:w="2674" w:type="dxa"/>
            <w:tcBorders>
              <w:top w:val="single" w:sz="4" w:space="0" w:color="auto"/>
              <w:left w:val="single" w:sz="4" w:space="0" w:color="auto"/>
              <w:right w:val="single" w:sz="4" w:space="0" w:color="auto"/>
            </w:tcBorders>
            <w:shd w:val="clear" w:color="auto" w:fill="FFFFFF"/>
            <w:vAlign w:val="center"/>
          </w:tcPr>
          <w:p w14:paraId="6E8EA58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35 (24)</w:t>
            </w:r>
          </w:p>
        </w:tc>
      </w:tr>
      <w:tr w:rsidR="009338B9" w:rsidRPr="008E78DD" w14:paraId="1F82F1E3" w14:textId="77777777" w:rsidTr="008E78DD">
        <w:trPr>
          <w:jc w:val="center"/>
        </w:trPr>
        <w:tc>
          <w:tcPr>
            <w:tcW w:w="2736" w:type="dxa"/>
            <w:vMerge/>
            <w:tcBorders>
              <w:left w:val="single" w:sz="4" w:space="0" w:color="auto"/>
            </w:tcBorders>
            <w:shd w:val="clear" w:color="auto" w:fill="FFFFFF"/>
            <w:vAlign w:val="center"/>
          </w:tcPr>
          <w:p w14:paraId="0F8FB8C6" w14:textId="77777777" w:rsidR="009338B9" w:rsidRPr="008E78DD" w:rsidRDefault="009338B9" w:rsidP="008E78DD">
            <w:pPr>
              <w:spacing w:after="120"/>
              <w:jc w:val="center"/>
              <w:rPr>
                <w:rFonts w:ascii="Sylfaen" w:hAnsi="Sylfaen"/>
                <w:sz w:val="20"/>
                <w:szCs w:val="20"/>
              </w:rPr>
            </w:pPr>
          </w:p>
        </w:tc>
        <w:tc>
          <w:tcPr>
            <w:tcW w:w="1661" w:type="dxa"/>
            <w:tcBorders>
              <w:top w:val="single" w:sz="4" w:space="0" w:color="auto"/>
              <w:left w:val="single" w:sz="4" w:space="0" w:color="auto"/>
            </w:tcBorders>
            <w:shd w:val="clear" w:color="auto" w:fill="FFFFFF"/>
            <w:vAlign w:val="center"/>
          </w:tcPr>
          <w:p w14:paraId="17B043B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տաքացում</w:t>
            </w:r>
          </w:p>
        </w:tc>
        <w:tc>
          <w:tcPr>
            <w:tcW w:w="2693" w:type="dxa"/>
            <w:tcBorders>
              <w:top w:val="single" w:sz="4" w:space="0" w:color="auto"/>
              <w:left w:val="single" w:sz="4" w:space="0" w:color="auto"/>
            </w:tcBorders>
            <w:shd w:val="clear" w:color="auto" w:fill="FFFFFF"/>
            <w:vAlign w:val="center"/>
          </w:tcPr>
          <w:p w14:paraId="6021CD3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20 (առավել. 15)</w:t>
            </w:r>
          </w:p>
        </w:tc>
        <w:tc>
          <w:tcPr>
            <w:tcW w:w="2674" w:type="dxa"/>
            <w:tcBorders>
              <w:top w:val="single" w:sz="4" w:space="0" w:color="auto"/>
              <w:left w:val="single" w:sz="4" w:space="0" w:color="auto"/>
              <w:right w:val="single" w:sz="4" w:space="0" w:color="auto"/>
            </w:tcBorders>
            <w:shd w:val="clear" w:color="auto" w:fill="FFFFFF"/>
            <w:vAlign w:val="center"/>
          </w:tcPr>
          <w:p w14:paraId="0BCBAB9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7(6)</w:t>
            </w:r>
          </w:p>
        </w:tc>
      </w:tr>
      <w:tr w:rsidR="009338B9" w:rsidRPr="008E78DD" w14:paraId="76EEC0D4" w14:textId="77777777" w:rsidTr="008E78DD">
        <w:trPr>
          <w:jc w:val="center"/>
        </w:trPr>
        <w:tc>
          <w:tcPr>
            <w:tcW w:w="2736" w:type="dxa"/>
            <w:vMerge w:val="restart"/>
            <w:tcBorders>
              <w:top w:val="single" w:sz="4" w:space="0" w:color="auto"/>
              <w:left w:val="single" w:sz="4" w:space="0" w:color="auto"/>
            </w:tcBorders>
            <w:shd w:val="clear" w:color="auto" w:fill="FFFFFF"/>
            <w:vAlign w:val="center"/>
          </w:tcPr>
          <w:p w14:paraId="7D865B1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Միուղի</w:t>
            </w:r>
          </w:p>
          <w:p w14:paraId="26627CF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օդորակիչներ</w:t>
            </w:r>
          </w:p>
        </w:tc>
        <w:tc>
          <w:tcPr>
            <w:tcW w:w="1661" w:type="dxa"/>
            <w:tcBorders>
              <w:top w:val="single" w:sz="4" w:space="0" w:color="auto"/>
              <w:left w:val="single" w:sz="4" w:space="0" w:color="auto"/>
            </w:tcBorders>
            <w:shd w:val="clear" w:color="auto" w:fill="FFFFFF"/>
            <w:vAlign w:val="center"/>
          </w:tcPr>
          <w:p w14:paraId="2B600AE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հովացում</w:t>
            </w:r>
          </w:p>
        </w:tc>
        <w:tc>
          <w:tcPr>
            <w:tcW w:w="2693" w:type="dxa"/>
            <w:tcBorders>
              <w:top w:val="single" w:sz="4" w:space="0" w:color="auto"/>
              <w:left w:val="single" w:sz="4" w:space="0" w:color="auto"/>
            </w:tcBorders>
            <w:shd w:val="clear" w:color="auto" w:fill="FFFFFF"/>
            <w:vAlign w:val="center"/>
          </w:tcPr>
          <w:p w14:paraId="1E8E581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35 (24)*</w:t>
            </w:r>
          </w:p>
        </w:tc>
        <w:tc>
          <w:tcPr>
            <w:tcW w:w="2674" w:type="dxa"/>
            <w:tcBorders>
              <w:top w:val="single" w:sz="4" w:space="0" w:color="auto"/>
              <w:left w:val="single" w:sz="4" w:space="0" w:color="auto"/>
              <w:right w:val="single" w:sz="4" w:space="0" w:color="auto"/>
            </w:tcBorders>
            <w:shd w:val="clear" w:color="auto" w:fill="FFFFFF"/>
            <w:vAlign w:val="center"/>
          </w:tcPr>
          <w:p w14:paraId="55D5677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35 (24)*</w:t>
            </w:r>
          </w:p>
        </w:tc>
      </w:tr>
      <w:tr w:rsidR="009338B9" w:rsidRPr="008E78DD" w14:paraId="09A365EB" w14:textId="77777777" w:rsidTr="008E78DD">
        <w:trPr>
          <w:jc w:val="center"/>
        </w:trPr>
        <w:tc>
          <w:tcPr>
            <w:tcW w:w="2736" w:type="dxa"/>
            <w:vMerge/>
            <w:tcBorders>
              <w:left w:val="single" w:sz="4" w:space="0" w:color="auto"/>
              <w:bottom w:val="single" w:sz="4" w:space="0" w:color="auto"/>
            </w:tcBorders>
            <w:shd w:val="clear" w:color="auto" w:fill="FFFFFF"/>
            <w:vAlign w:val="center"/>
          </w:tcPr>
          <w:p w14:paraId="4068703D" w14:textId="77777777" w:rsidR="009338B9" w:rsidRPr="008E78DD" w:rsidRDefault="009338B9" w:rsidP="008E78DD">
            <w:pPr>
              <w:spacing w:after="120"/>
              <w:jc w:val="center"/>
              <w:rPr>
                <w:rFonts w:ascii="Sylfaen" w:hAnsi="Sylfaen"/>
                <w:sz w:val="20"/>
                <w:szCs w:val="20"/>
              </w:rPr>
            </w:pPr>
          </w:p>
        </w:tc>
        <w:tc>
          <w:tcPr>
            <w:tcW w:w="1661" w:type="dxa"/>
            <w:tcBorders>
              <w:top w:val="single" w:sz="4" w:space="0" w:color="auto"/>
              <w:left w:val="single" w:sz="4" w:space="0" w:color="auto"/>
              <w:bottom w:val="single" w:sz="4" w:space="0" w:color="auto"/>
            </w:tcBorders>
            <w:shd w:val="clear" w:color="auto" w:fill="FFFFFF"/>
            <w:vAlign w:val="center"/>
          </w:tcPr>
          <w:p w14:paraId="01A6AB4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տաքացում</w:t>
            </w:r>
          </w:p>
        </w:tc>
        <w:tc>
          <w:tcPr>
            <w:tcW w:w="2693" w:type="dxa"/>
            <w:tcBorders>
              <w:top w:val="single" w:sz="4" w:space="0" w:color="auto"/>
              <w:left w:val="single" w:sz="4" w:space="0" w:color="auto"/>
              <w:bottom w:val="single" w:sz="4" w:space="0" w:color="auto"/>
            </w:tcBorders>
            <w:shd w:val="clear" w:color="auto" w:fill="FFFFFF"/>
            <w:vAlign w:val="center"/>
          </w:tcPr>
          <w:p w14:paraId="72068C5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20 (12)*</w:t>
            </w:r>
          </w:p>
        </w:tc>
        <w:tc>
          <w:tcPr>
            <w:tcW w:w="2674" w:type="dxa"/>
            <w:tcBorders>
              <w:top w:val="single" w:sz="4" w:space="0" w:color="auto"/>
              <w:left w:val="single" w:sz="4" w:space="0" w:color="auto"/>
              <w:bottom w:val="single" w:sz="4" w:space="0" w:color="auto"/>
              <w:right w:val="single" w:sz="4" w:space="0" w:color="auto"/>
            </w:tcBorders>
            <w:shd w:val="clear" w:color="auto" w:fill="FFFFFF"/>
            <w:vAlign w:val="center"/>
          </w:tcPr>
          <w:p w14:paraId="004246D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20 (12)*</w:t>
            </w:r>
          </w:p>
        </w:tc>
      </w:tr>
    </w:tbl>
    <w:p w14:paraId="5C899F5E" w14:textId="77777777" w:rsidR="009338B9" w:rsidRPr="008E78DD" w:rsidRDefault="009338B9" w:rsidP="008E78DD">
      <w:pPr>
        <w:pStyle w:val="Bodytext50"/>
        <w:tabs>
          <w:tab w:val="left" w:pos="567"/>
        </w:tabs>
        <w:spacing w:before="0" w:after="160" w:line="360" w:lineRule="auto"/>
        <w:rPr>
          <w:rFonts w:ascii="Sylfaen" w:hAnsi="Sylfaen"/>
          <w:sz w:val="20"/>
          <w:szCs w:val="20"/>
        </w:rPr>
      </w:pPr>
      <w:r w:rsidRPr="008E78DD">
        <w:rPr>
          <w:rFonts w:ascii="Sylfaen" w:hAnsi="Sylfaen"/>
          <w:sz w:val="20"/>
          <w:szCs w:val="20"/>
        </w:rPr>
        <w:t>*</w:t>
      </w:r>
      <w:r w:rsidR="008E78DD" w:rsidRPr="008E78DD">
        <w:rPr>
          <w:rFonts w:ascii="Sylfaen" w:hAnsi="Sylfaen"/>
          <w:sz w:val="20"/>
          <w:szCs w:val="20"/>
        </w:rPr>
        <w:tab/>
      </w:r>
      <w:r w:rsidRPr="008E78DD">
        <w:rPr>
          <w:rFonts w:ascii="Sylfaen" w:hAnsi="Sylfaen"/>
          <w:sz w:val="20"/>
          <w:szCs w:val="20"/>
        </w:rPr>
        <w:t>Միուղի օդորակիչներում կոնդենսատորը կամ գոլորշիչը (համապատասխանաբար հովացման կամ տաքացման դեպքում) շրջափչվում է ոչ թե արտաքին օդով, այլ տարածքի օդով</w:t>
      </w:r>
    </w:p>
    <w:p w14:paraId="26B3CDCE" w14:textId="77777777" w:rsidR="008E78DD" w:rsidRPr="003D2C38" w:rsidRDefault="008E78DD" w:rsidP="008E78DD">
      <w:pPr>
        <w:pStyle w:val="Bodytext20"/>
        <w:spacing w:after="160" w:line="360" w:lineRule="auto"/>
        <w:ind w:firstLine="567"/>
        <w:jc w:val="both"/>
        <w:rPr>
          <w:rFonts w:ascii="Sylfaen" w:hAnsi="Sylfaen"/>
          <w:sz w:val="24"/>
          <w:szCs w:val="24"/>
        </w:rPr>
      </w:pPr>
    </w:p>
    <w:p w14:paraId="5AEB1B45"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Օդափոխիչների էներգետիկ արդյունավետությունը որոշվում է սպառվող անվանական հզորության նկատմամբ օդափոխիչի կողմից ստեղծվող օդի անվանական հոսքի հարաբերության հիման վրա:</w:t>
      </w:r>
    </w:p>
    <w:p w14:paraId="08821231" w14:textId="77777777" w:rsidR="009338B9" w:rsidRPr="00CF39EE" w:rsidRDefault="009338B9" w:rsidP="008E78DD">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lastRenderedPageBreak/>
        <w:t>5.</w:t>
      </w:r>
      <w:r w:rsidR="008E78DD" w:rsidRPr="008E78DD">
        <w:rPr>
          <w:rFonts w:ascii="Sylfaen" w:hAnsi="Sylfaen"/>
          <w:sz w:val="24"/>
          <w:szCs w:val="24"/>
        </w:rPr>
        <w:tab/>
      </w:r>
      <w:r w:rsidRPr="00CF39EE">
        <w:rPr>
          <w:rFonts w:ascii="Sylfaen" w:hAnsi="Sylfaen"/>
          <w:sz w:val="24"/>
          <w:szCs w:val="24"/>
        </w:rPr>
        <w:t xml:space="preserve">Օդորակիչներին </w:t>
      </w:r>
      <w:r>
        <w:rPr>
          <w:rFonts w:ascii="Sylfaen" w:hAnsi="Sylfaen"/>
          <w:sz w:val="24"/>
          <w:szCs w:val="24"/>
        </w:rPr>
        <w:t>եւ</w:t>
      </w:r>
      <w:r w:rsidRPr="00CF39EE">
        <w:rPr>
          <w:rFonts w:ascii="Sylfaen" w:hAnsi="Sylfaen"/>
          <w:sz w:val="24"/>
          <w:szCs w:val="24"/>
        </w:rPr>
        <w:t xml:space="preserve"> օդափոխիչներին կցվող շահագործման փա</w:t>
      </w:r>
      <w:r w:rsidR="008E78DD">
        <w:rPr>
          <w:rFonts w:ascii="Sylfaen" w:hAnsi="Sylfaen"/>
          <w:sz w:val="24"/>
          <w:szCs w:val="24"/>
        </w:rPr>
        <w:t>ստաթղթերը պետք է պարունակեն 8</w:t>
      </w:r>
      <w:r w:rsidR="008E78DD" w:rsidRPr="008E78DD">
        <w:rPr>
          <w:rFonts w:ascii="Sylfaen" w:hAnsi="Sylfaen"/>
          <w:sz w:val="24"/>
          <w:szCs w:val="24"/>
        </w:rPr>
        <w:t>-</w:t>
      </w:r>
      <w:r w:rsidRPr="00CF39EE">
        <w:rPr>
          <w:rFonts w:ascii="Sylfaen" w:hAnsi="Sylfaen"/>
          <w:sz w:val="24"/>
          <w:szCs w:val="24"/>
        </w:rPr>
        <w:t xml:space="preserve">10 աղյուսակներում բերված դրանց բնութագրերի </w:t>
      </w:r>
      <w:r>
        <w:rPr>
          <w:rFonts w:ascii="Sylfaen" w:hAnsi="Sylfaen"/>
          <w:sz w:val="24"/>
          <w:szCs w:val="24"/>
        </w:rPr>
        <w:t>եւ</w:t>
      </w:r>
      <w:r w:rsidRPr="00CF39EE">
        <w:rPr>
          <w:rFonts w:ascii="Sylfaen" w:hAnsi="Sylfaen"/>
          <w:sz w:val="24"/>
          <w:szCs w:val="24"/>
        </w:rPr>
        <w:t xml:space="preserve"> պարամետրերի մասին տեղեկությունները:</w:t>
      </w:r>
    </w:p>
    <w:p w14:paraId="01009967" w14:textId="77777777" w:rsidR="008E78DD" w:rsidRPr="003D2C38" w:rsidRDefault="008E78DD" w:rsidP="009338B9">
      <w:pPr>
        <w:pStyle w:val="Bodytext20"/>
        <w:spacing w:after="160" w:line="360" w:lineRule="auto"/>
        <w:ind w:right="-8"/>
        <w:jc w:val="right"/>
        <w:rPr>
          <w:rFonts w:ascii="Sylfaen" w:hAnsi="Sylfaen"/>
          <w:sz w:val="24"/>
          <w:szCs w:val="24"/>
        </w:rPr>
      </w:pPr>
    </w:p>
    <w:p w14:paraId="0F09AF5B" w14:textId="77777777" w:rsidR="009338B9" w:rsidRPr="00CF39EE" w:rsidRDefault="009338B9" w:rsidP="009338B9">
      <w:pPr>
        <w:pStyle w:val="Bodytext20"/>
        <w:spacing w:after="160" w:line="360" w:lineRule="auto"/>
        <w:ind w:right="-8"/>
        <w:jc w:val="right"/>
        <w:rPr>
          <w:rFonts w:ascii="Sylfaen" w:hAnsi="Sylfaen"/>
          <w:sz w:val="24"/>
          <w:szCs w:val="24"/>
        </w:rPr>
      </w:pPr>
      <w:r w:rsidRPr="00CF39EE">
        <w:rPr>
          <w:rFonts w:ascii="Sylfaen" w:hAnsi="Sylfaen"/>
          <w:sz w:val="24"/>
          <w:szCs w:val="24"/>
        </w:rPr>
        <w:t>Աղյուսակ 8</w:t>
      </w:r>
    </w:p>
    <w:p w14:paraId="0198EC9D" w14:textId="77777777" w:rsidR="009338B9" w:rsidRPr="00CF39EE" w:rsidRDefault="009338B9" w:rsidP="009338B9">
      <w:pPr>
        <w:pStyle w:val="Bodytext20"/>
        <w:spacing w:after="160" w:line="360" w:lineRule="auto"/>
        <w:ind w:right="-8"/>
        <w:rPr>
          <w:rFonts w:ascii="Sylfaen" w:hAnsi="Sylfaen"/>
          <w:sz w:val="24"/>
          <w:szCs w:val="24"/>
        </w:rPr>
      </w:pPr>
      <w:r w:rsidRPr="00CF39EE">
        <w:rPr>
          <w:rFonts w:ascii="Sylfaen" w:hAnsi="Sylfaen"/>
          <w:sz w:val="24"/>
          <w:szCs w:val="24"/>
        </w:rPr>
        <w:t>Ֆունկցիաների առկայությամբ պայմանավորված՝ շահագործման փաստաթղթերում նշելու ենթակա՝ օդափոխիչների մասին տեղեկատվությունը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5030"/>
        <w:gridCol w:w="1637"/>
        <w:gridCol w:w="1325"/>
        <w:gridCol w:w="1882"/>
      </w:tblGrid>
      <w:tr w:rsidR="009338B9" w:rsidRPr="008E78DD" w14:paraId="58951D5B" w14:textId="77777777" w:rsidTr="008E78DD">
        <w:trPr>
          <w:jc w:val="center"/>
        </w:trPr>
        <w:tc>
          <w:tcPr>
            <w:tcW w:w="5030" w:type="dxa"/>
            <w:tcBorders>
              <w:top w:val="single" w:sz="4" w:space="0" w:color="auto"/>
              <w:left w:val="single" w:sz="4" w:space="0" w:color="auto"/>
            </w:tcBorders>
            <w:shd w:val="clear" w:color="auto" w:fill="FFFFFF"/>
            <w:vAlign w:val="center"/>
          </w:tcPr>
          <w:p w14:paraId="62B9E4A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Պարամետր</w:t>
            </w:r>
          </w:p>
        </w:tc>
        <w:tc>
          <w:tcPr>
            <w:tcW w:w="1637" w:type="dxa"/>
            <w:tcBorders>
              <w:top w:val="single" w:sz="4" w:space="0" w:color="auto"/>
              <w:left w:val="single" w:sz="4" w:space="0" w:color="auto"/>
            </w:tcBorders>
            <w:shd w:val="clear" w:color="auto" w:fill="FFFFFF"/>
            <w:vAlign w:val="center"/>
          </w:tcPr>
          <w:p w14:paraId="1085401C" w14:textId="77777777" w:rsidR="009338B9" w:rsidRPr="008E78DD" w:rsidRDefault="009338B9" w:rsidP="008E78DD">
            <w:pPr>
              <w:pStyle w:val="Bodytext20"/>
              <w:spacing w:after="120" w:line="240" w:lineRule="auto"/>
              <w:ind w:left="160"/>
              <w:rPr>
                <w:rFonts w:ascii="Sylfaen" w:hAnsi="Sylfaen"/>
                <w:sz w:val="20"/>
                <w:szCs w:val="20"/>
              </w:rPr>
            </w:pPr>
            <w:r w:rsidRPr="008E78DD">
              <w:rPr>
                <w:rStyle w:val="Bodytext211pt"/>
                <w:rFonts w:ascii="Sylfaen" w:hAnsi="Sylfaen"/>
                <w:sz w:val="20"/>
                <w:szCs w:val="20"/>
              </w:rPr>
              <w:t>Նշագիրը</w:t>
            </w:r>
          </w:p>
        </w:tc>
        <w:tc>
          <w:tcPr>
            <w:tcW w:w="1325" w:type="dxa"/>
            <w:tcBorders>
              <w:top w:val="single" w:sz="4" w:space="0" w:color="auto"/>
              <w:left w:val="single" w:sz="4" w:space="0" w:color="auto"/>
            </w:tcBorders>
            <w:shd w:val="clear" w:color="auto" w:fill="FFFFFF"/>
            <w:vAlign w:val="center"/>
          </w:tcPr>
          <w:p w14:paraId="62F9354E" w14:textId="77777777" w:rsidR="009338B9" w:rsidRPr="008E78DD" w:rsidRDefault="009338B9" w:rsidP="008E78DD">
            <w:pPr>
              <w:pStyle w:val="Bodytext20"/>
              <w:spacing w:after="120" w:line="240" w:lineRule="auto"/>
              <w:ind w:left="200"/>
              <w:rPr>
                <w:rFonts w:ascii="Sylfaen" w:hAnsi="Sylfaen"/>
                <w:sz w:val="20"/>
                <w:szCs w:val="20"/>
              </w:rPr>
            </w:pPr>
            <w:r w:rsidRPr="008E78DD">
              <w:rPr>
                <w:rStyle w:val="Bodytext211pt"/>
                <w:rFonts w:ascii="Sylfaen" w:hAnsi="Sylfaen"/>
                <w:sz w:val="20"/>
                <w:szCs w:val="20"/>
              </w:rPr>
              <w:t>Արժեքը</w:t>
            </w:r>
          </w:p>
        </w:tc>
        <w:tc>
          <w:tcPr>
            <w:tcW w:w="1882" w:type="dxa"/>
            <w:tcBorders>
              <w:top w:val="single" w:sz="4" w:space="0" w:color="auto"/>
              <w:left w:val="single" w:sz="4" w:space="0" w:color="auto"/>
              <w:right w:val="single" w:sz="4" w:space="0" w:color="auto"/>
            </w:tcBorders>
            <w:shd w:val="clear" w:color="auto" w:fill="FFFFFF"/>
            <w:vAlign w:val="center"/>
          </w:tcPr>
          <w:p w14:paraId="0D7EE7F3"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Չափման միավորները</w:t>
            </w:r>
          </w:p>
        </w:tc>
      </w:tr>
      <w:tr w:rsidR="009338B9" w:rsidRPr="008E78DD" w14:paraId="0BCAAAF5" w14:textId="77777777" w:rsidTr="008E78DD">
        <w:trPr>
          <w:jc w:val="center"/>
        </w:trPr>
        <w:tc>
          <w:tcPr>
            <w:tcW w:w="5030" w:type="dxa"/>
            <w:tcBorders>
              <w:top w:val="single" w:sz="4" w:space="0" w:color="auto"/>
              <w:left w:val="single" w:sz="4" w:space="0" w:color="auto"/>
            </w:tcBorders>
            <w:shd w:val="clear" w:color="auto" w:fill="FFFFFF"/>
            <w:vAlign w:val="center"/>
          </w:tcPr>
          <w:p w14:paraId="6B94223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Օդի առավելագույն հոսքը</w:t>
            </w:r>
          </w:p>
        </w:tc>
        <w:tc>
          <w:tcPr>
            <w:tcW w:w="1637" w:type="dxa"/>
            <w:tcBorders>
              <w:top w:val="single" w:sz="4" w:space="0" w:color="auto"/>
              <w:left w:val="single" w:sz="4" w:space="0" w:color="auto"/>
            </w:tcBorders>
            <w:shd w:val="clear" w:color="auto" w:fill="FFFFFF"/>
            <w:vAlign w:val="center"/>
          </w:tcPr>
          <w:p w14:paraId="2CF1A95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F</w:t>
            </w:r>
          </w:p>
        </w:tc>
        <w:tc>
          <w:tcPr>
            <w:tcW w:w="1325" w:type="dxa"/>
            <w:tcBorders>
              <w:top w:val="single" w:sz="4" w:space="0" w:color="auto"/>
              <w:left w:val="single" w:sz="4" w:space="0" w:color="auto"/>
            </w:tcBorders>
            <w:shd w:val="clear" w:color="auto" w:fill="FFFFFF"/>
            <w:vAlign w:val="center"/>
          </w:tcPr>
          <w:p w14:paraId="4DFA572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x,x</w:t>
            </w:r>
          </w:p>
        </w:tc>
        <w:tc>
          <w:tcPr>
            <w:tcW w:w="1882" w:type="dxa"/>
            <w:tcBorders>
              <w:top w:val="single" w:sz="4" w:space="0" w:color="auto"/>
              <w:left w:val="single" w:sz="4" w:space="0" w:color="auto"/>
              <w:right w:val="single" w:sz="4" w:space="0" w:color="auto"/>
            </w:tcBorders>
            <w:shd w:val="clear" w:color="auto" w:fill="FFFFFF"/>
            <w:vAlign w:val="center"/>
          </w:tcPr>
          <w:p w14:paraId="17ED75BE"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մ</w:t>
            </w:r>
            <w:r w:rsidRPr="008E78DD">
              <w:rPr>
                <w:rStyle w:val="Bodytext211pt"/>
                <w:rFonts w:ascii="Sylfaen" w:hAnsi="Sylfaen"/>
                <w:sz w:val="20"/>
                <w:szCs w:val="20"/>
                <w:vertAlign w:val="superscript"/>
              </w:rPr>
              <w:t>3</w:t>
            </w:r>
            <w:r w:rsidRPr="008E78DD">
              <w:rPr>
                <w:rStyle w:val="Bodytext211pt"/>
                <w:rFonts w:ascii="Sylfaen" w:hAnsi="Sylfaen"/>
                <w:sz w:val="20"/>
                <w:szCs w:val="20"/>
              </w:rPr>
              <w:t>/ր</w:t>
            </w:r>
          </w:p>
        </w:tc>
      </w:tr>
      <w:tr w:rsidR="009338B9" w:rsidRPr="008E78DD" w14:paraId="5D1A1BBA" w14:textId="77777777" w:rsidTr="008E78DD">
        <w:trPr>
          <w:jc w:val="center"/>
        </w:trPr>
        <w:tc>
          <w:tcPr>
            <w:tcW w:w="5030" w:type="dxa"/>
            <w:tcBorders>
              <w:top w:val="single" w:sz="4" w:space="0" w:color="auto"/>
              <w:left w:val="single" w:sz="4" w:space="0" w:color="auto"/>
            </w:tcBorders>
            <w:shd w:val="clear" w:color="auto" w:fill="FFFFFF"/>
            <w:vAlign w:val="center"/>
          </w:tcPr>
          <w:p w14:paraId="790D1D91"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Սպառվող հզորությունը</w:t>
            </w:r>
          </w:p>
        </w:tc>
        <w:tc>
          <w:tcPr>
            <w:tcW w:w="1637" w:type="dxa"/>
            <w:tcBorders>
              <w:top w:val="single" w:sz="4" w:space="0" w:color="auto"/>
              <w:left w:val="single" w:sz="4" w:space="0" w:color="auto"/>
            </w:tcBorders>
            <w:shd w:val="clear" w:color="auto" w:fill="FFFFFF"/>
            <w:vAlign w:val="center"/>
          </w:tcPr>
          <w:p w14:paraId="07343618"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P</w:t>
            </w:r>
          </w:p>
        </w:tc>
        <w:tc>
          <w:tcPr>
            <w:tcW w:w="1325" w:type="dxa"/>
            <w:tcBorders>
              <w:top w:val="single" w:sz="4" w:space="0" w:color="auto"/>
              <w:left w:val="single" w:sz="4" w:space="0" w:color="auto"/>
            </w:tcBorders>
            <w:shd w:val="clear" w:color="auto" w:fill="FFFFFF"/>
            <w:vAlign w:val="center"/>
          </w:tcPr>
          <w:p w14:paraId="790BF84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x,x</w:t>
            </w:r>
          </w:p>
        </w:tc>
        <w:tc>
          <w:tcPr>
            <w:tcW w:w="1882" w:type="dxa"/>
            <w:tcBorders>
              <w:top w:val="single" w:sz="4" w:space="0" w:color="auto"/>
              <w:left w:val="single" w:sz="4" w:space="0" w:color="auto"/>
              <w:right w:val="single" w:sz="4" w:space="0" w:color="auto"/>
            </w:tcBorders>
            <w:shd w:val="clear" w:color="auto" w:fill="FFFFFF"/>
            <w:vAlign w:val="center"/>
          </w:tcPr>
          <w:p w14:paraId="5B40B985"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Վտ</w:t>
            </w:r>
          </w:p>
        </w:tc>
      </w:tr>
      <w:tr w:rsidR="009338B9" w:rsidRPr="008E78DD" w14:paraId="407F54DD" w14:textId="77777777" w:rsidTr="008E78DD">
        <w:trPr>
          <w:jc w:val="center"/>
        </w:trPr>
        <w:tc>
          <w:tcPr>
            <w:tcW w:w="5030" w:type="dxa"/>
            <w:tcBorders>
              <w:top w:val="single" w:sz="4" w:space="0" w:color="auto"/>
              <w:left w:val="single" w:sz="4" w:space="0" w:color="auto"/>
            </w:tcBorders>
            <w:shd w:val="clear" w:color="auto" w:fill="FFFFFF"/>
            <w:vAlign w:val="center"/>
          </w:tcPr>
          <w:p w14:paraId="4DA6847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Շահագործման ցուցանիշը</w:t>
            </w:r>
          </w:p>
        </w:tc>
        <w:tc>
          <w:tcPr>
            <w:tcW w:w="1637" w:type="dxa"/>
            <w:tcBorders>
              <w:top w:val="single" w:sz="4" w:space="0" w:color="auto"/>
              <w:left w:val="single" w:sz="4" w:space="0" w:color="auto"/>
            </w:tcBorders>
            <w:shd w:val="clear" w:color="auto" w:fill="FFFFFF"/>
            <w:vAlign w:val="center"/>
          </w:tcPr>
          <w:p w14:paraId="08339CAD"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SV</w:t>
            </w:r>
          </w:p>
        </w:tc>
        <w:tc>
          <w:tcPr>
            <w:tcW w:w="1325" w:type="dxa"/>
            <w:tcBorders>
              <w:top w:val="single" w:sz="4" w:space="0" w:color="auto"/>
              <w:left w:val="single" w:sz="4" w:space="0" w:color="auto"/>
            </w:tcBorders>
            <w:shd w:val="clear" w:color="auto" w:fill="FFFFFF"/>
            <w:vAlign w:val="center"/>
          </w:tcPr>
          <w:p w14:paraId="3F0E401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x,x</w:t>
            </w:r>
          </w:p>
        </w:tc>
        <w:tc>
          <w:tcPr>
            <w:tcW w:w="1882" w:type="dxa"/>
            <w:tcBorders>
              <w:top w:val="single" w:sz="4" w:space="0" w:color="auto"/>
              <w:left w:val="single" w:sz="4" w:space="0" w:color="auto"/>
              <w:right w:val="single" w:sz="4" w:space="0" w:color="auto"/>
            </w:tcBorders>
            <w:shd w:val="clear" w:color="auto" w:fill="FFFFFF"/>
            <w:vAlign w:val="center"/>
          </w:tcPr>
          <w:p w14:paraId="20BE52E8" w14:textId="77777777" w:rsidR="009338B9" w:rsidRPr="008E78DD" w:rsidRDefault="009338B9" w:rsidP="008E78DD">
            <w:pPr>
              <w:pStyle w:val="Bodytext20"/>
              <w:spacing w:after="120" w:line="240" w:lineRule="auto"/>
              <w:ind w:left="340"/>
              <w:rPr>
                <w:rFonts w:ascii="Sylfaen" w:hAnsi="Sylfaen"/>
                <w:sz w:val="20"/>
                <w:szCs w:val="20"/>
              </w:rPr>
            </w:pPr>
            <w:r w:rsidRPr="008E78DD">
              <w:rPr>
                <w:rStyle w:val="Bodytext211pt"/>
                <w:rFonts w:ascii="Sylfaen" w:hAnsi="Sylfaen"/>
                <w:sz w:val="20"/>
                <w:szCs w:val="20"/>
              </w:rPr>
              <w:t>(մ</w:t>
            </w:r>
            <w:r w:rsidRPr="008E78DD">
              <w:rPr>
                <w:rStyle w:val="Bodytext211pt"/>
                <w:rFonts w:ascii="Sylfaen" w:hAnsi="Sylfaen"/>
                <w:sz w:val="20"/>
                <w:szCs w:val="20"/>
                <w:vertAlign w:val="superscript"/>
              </w:rPr>
              <w:t>3</w:t>
            </w:r>
            <w:r w:rsidRPr="008E78DD">
              <w:rPr>
                <w:rStyle w:val="Bodytext211pt"/>
                <w:rFonts w:ascii="Sylfaen" w:hAnsi="Sylfaen"/>
                <w:sz w:val="20"/>
                <w:szCs w:val="20"/>
              </w:rPr>
              <w:t>/ր)/Վտ</w:t>
            </w:r>
          </w:p>
        </w:tc>
      </w:tr>
      <w:tr w:rsidR="009338B9" w:rsidRPr="008E78DD" w14:paraId="192EF2C0" w14:textId="77777777" w:rsidTr="008E78DD">
        <w:trPr>
          <w:jc w:val="center"/>
        </w:trPr>
        <w:tc>
          <w:tcPr>
            <w:tcW w:w="5030" w:type="dxa"/>
            <w:tcBorders>
              <w:top w:val="single" w:sz="4" w:space="0" w:color="auto"/>
              <w:left w:val="single" w:sz="4" w:space="0" w:color="auto"/>
            </w:tcBorders>
            <w:shd w:val="clear" w:color="auto" w:fill="FFFFFF"/>
            <w:vAlign w:val="center"/>
          </w:tcPr>
          <w:p w14:paraId="6FE7802B"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Սպասման ռեժիմում սպառվող հզորությունը</w:t>
            </w:r>
          </w:p>
        </w:tc>
        <w:tc>
          <w:tcPr>
            <w:tcW w:w="1637" w:type="dxa"/>
            <w:tcBorders>
              <w:top w:val="single" w:sz="4" w:space="0" w:color="auto"/>
              <w:left w:val="single" w:sz="4" w:space="0" w:color="auto"/>
            </w:tcBorders>
            <w:shd w:val="clear" w:color="auto" w:fill="FFFFFF"/>
            <w:vAlign w:val="center"/>
          </w:tcPr>
          <w:p w14:paraId="1F2CE251" w14:textId="77777777" w:rsidR="009338B9" w:rsidRPr="008E78DD" w:rsidRDefault="009338B9" w:rsidP="008E78DD">
            <w:pPr>
              <w:pStyle w:val="Bodytext20"/>
              <w:spacing w:after="120" w:line="240" w:lineRule="auto"/>
              <w:rPr>
                <w:rFonts w:ascii="Sylfaen" w:hAnsi="Sylfaen"/>
                <w:sz w:val="20"/>
                <w:szCs w:val="20"/>
              </w:rPr>
            </w:pPr>
            <w:smartTag w:uri="urn:schemas-microsoft-com:office:smarttags" w:element="stockticker">
              <w:r w:rsidRPr="008E78DD">
                <w:rPr>
                  <w:rFonts w:ascii="Sylfaen" w:hAnsi="Sylfaen"/>
                  <w:sz w:val="20"/>
                  <w:szCs w:val="20"/>
                </w:rPr>
                <w:t>P</w:t>
              </w:r>
              <w:r w:rsidRPr="008E78DD">
                <w:rPr>
                  <w:rFonts w:ascii="Sylfaen" w:hAnsi="Sylfaen"/>
                  <w:sz w:val="20"/>
                  <w:szCs w:val="20"/>
                  <w:vertAlign w:val="subscript"/>
                </w:rPr>
                <w:t>SB</w:t>
              </w:r>
            </w:smartTag>
          </w:p>
        </w:tc>
        <w:tc>
          <w:tcPr>
            <w:tcW w:w="1325" w:type="dxa"/>
            <w:tcBorders>
              <w:top w:val="single" w:sz="4" w:space="0" w:color="auto"/>
              <w:left w:val="single" w:sz="4" w:space="0" w:color="auto"/>
            </w:tcBorders>
            <w:shd w:val="clear" w:color="auto" w:fill="FFFFFF"/>
            <w:vAlign w:val="center"/>
          </w:tcPr>
          <w:p w14:paraId="17F2F819"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x,x</w:t>
            </w:r>
          </w:p>
        </w:tc>
        <w:tc>
          <w:tcPr>
            <w:tcW w:w="1882" w:type="dxa"/>
            <w:tcBorders>
              <w:top w:val="single" w:sz="4" w:space="0" w:color="auto"/>
              <w:left w:val="single" w:sz="4" w:space="0" w:color="auto"/>
              <w:right w:val="single" w:sz="4" w:space="0" w:color="auto"/>
            </w:tcBorders>
            <w:shd w:val="clear" w:color="auto" w:fill="FFFFFF"/>
            <w:vAlign w:val="center"/>
          </w:tcPr>
          <w:p w14:paraId="5F24932C"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Վտ</w:t>
            </w:r>
          </w:p>
        </w:tc>
      </w:tr>
      <w:tr w:rsidR="009338B9" w:rsidRPr="008E78DD" w14:paraId="6196120C" w14:textId="77777777" w:rsidTr="008E78DD">
        <w:trPr>
          <w:jc w:val="center"/>
        </w:trPr>
        <w:tc>
          <w:tcPr>
            <w:tcW w:w="5030" w:type="dxa"/>
            <w:tcBorders>
              <w:top w:val="single" w:sz="4" w:space="0" w:color="auto"/>
              <w:left w:val="single" w:sz="4" w:space="0" w:color="auto"/>
            </w:tcBorders>
            <w:shd w:val="clear" w:color="auto" w:fill="FFFFFF"/>
            <w:vAlign w:val="center"/>
          </w:tcPr>
          <w:p w14:paraId="39237B94"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Օդափոխիչի ձայնային հզորության մակարդակը</w:t>
            </w:r>
          </w:p>
        </w:tc>
        <w:tc>
          <w:tcPr>
            <w:tcW w:w="1637" w:type="dxa"/>
            <w:tcBorders>
              <w:top w:val="single" w:sz="4" w:space="0" w:color="auto"/>
              <w:left w:val="single" w:sz="4" w:space="0" w:color="auto"/>
            </w:tcBorders>
            <w:shd w:val="clear" w:color="auto" w:fill="FFFFFF"/>
            <w:vAlign w:val="center"/>
          </w:tcPr>
          <w:p w14:paraId="2148AFB7" w14:textId="77777777" w:rsidR="009338B9" w:rsidRPr="008E78DD" w:rsidRDefault="009338B9" w:rsidP="008E78DD">
            <w:pPr>
              <w:pStyle w:val="Bodytext20"/>
              <w:spacing w:after="120" w:line="240" w:lineRule="auto"/>
              <w:rPr>
                <w:rFonts w:ascii="Sylfaen" w:hAnsi="Sylfaen"/>
                <w:sz w:val="20"/>
                <w:szCs w:val="20"/>
              </w:rPr>
            </w:pPr>
            <w:r w:rsidRPr="008E78DD">
              <w:rPr>
                <w:rFonts w:ascii="Sylfaen" w:hAnsi="Sylfaen"/>
                <w:sz w:val="20"/>
                <w:szCs w:val="20"/>
              </w:rPr>
              <w:t>L</w:t>
            </w:r>
            <w:r w:rsidRPr="008E78DD">
              <w:rPr>
                <w:rFonts w:ascii="Sylfaen" w:hAnsi="Sylfaen"/>
                <w:sz w:val="20"/>
                <w:szCs w:val="20"/>
                <w:vertAlign w:val="subscript"/>
              </w:rPr>
              <w:t>WA</w:t>
            </w:r>
          </w:p>
        </w:tc>
        <w:tc>
          <w:tcPr>
            <w:tcW w:w="1325" w:type="dxa"/>
            <w:tcBorders>
              <w:top w:val="single" w:sz="4" w:space="0" w:color="auto"/>
              <w:left w:val="single" w:sz="4" w:space="0" w:color="auto"/>
            </w:tcBorders>
            <w:shd w:val="clear" w:color="auto" w:fill="FFFFFF"/>
            <w:vAlign w:val="center"/>
          </w:tcPr>
          <w:p w14:paraId="7C89B5E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(x)</w:t>
            </w:r>
          </w:p>
        </w:tc>
        <w:tc>
          <w:tcPr>
            <w:tcW w:w="1882" w:type="dxa"/>
            <w:tcBorders>
              <w:top w:val="single" w:sz="4" w:space="0" w:color="auto"/>
              <w:left w:val="single" w:sz="4" w:space="0" w:color="auto"/>
              <w:right w:val="single" w:sz="4" w:space="0" w:color="auto"/>
            </w:tcBorders>
            <w:shd w:val="clear" w:color="auto" w:fill="FFFFFF"/>
            <w:vAlign w:val="center"/>
          </w:tcPr>
          <w:p w14:paraId="4A134DA2"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դԲ(Ա)</w:t>
            </w:r>
          </w:p>
        </w:tc>
      </w:tr>
      <w:tr w:rsidR="009338B9" w:rsidRPr="008E78DD" w14:paraId="7EC4D126" w14:textId="77777777" w:rsidTr="008E78DD">
        <w:trPr>
          <w:jc w:val="center"/>
        </w:trPr>
        <w:tc>
          <w:tcPr>
            <w:tcW w:w="5030" w:type="dxa"/>
            <w:tcBorders>
              <w:top w:val="single" w:sz="4" w:space="0" w:color="auto"/>
              <w:left w:val="single" w:sz="4" w:space="0" w:color="auto"/>
              <w:bottom w:val="single" w:sz="4" w:space="0" w:color="auto"/>
            </w:tcBorders>
            <w:shd w:val="clear" w:color="auto" w:fill="FFFFFF"/>
            <w:vAlign w:val="center"/>
          </w:tcPr>
          <w:p w14:paraId="553F3A2A"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Օդային հոսքի առավելագույն արագությունը</w:t>
            </w:r>
          </w:p>
        </w:tc>
        <w:tc>
          <w:tcPr>
            <w:tcW w:w="1637" w:type="dxa"/>
            <w:tcBorders>
              <w:top w:val="single" w:sz="4" w:space="0" w:color="auto"/>
              <w:left w:val="single" w:sz="4" w:space="0" w:color="auto"/>
              <w:bottom w:val="single" w:sz="4" w:space="0" w:color="auto"/>
            </w:tcBorders>
            <w:shd w:val="clear" w:color="auto" w:fill="FFFFFF"/>
            <w:vAlign w:val="center"/>
          </w:tcPr>
          <w:p w14:paraId="75A734FF"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c</w:t>
            </w:r>
          </w:p>
        </w:tc>
        <w:tc>
          <w:tcPr>
            <w:tcW w:w="1325" w:type="dxa"/>
            <w:tcBorders>
              <w:top w:val="single" w:sz="4" w:space="0" w:color="auto"/>
              <w:left w:val="single" w:sz="4" w:space="0" w:color="auto"/>
              <w:bottom w:val="single" w:sz="4" w:space="0" w:color="auto"/>
            </w:tcBorders>
            <w:shd w:val="clear" w:color="auto" w:fill="FFFFFF"/>
            <w:vAlign w:val="center"/>
          </w:tcPr>
          <w:p w14:paraId="2AA90F60"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x,x</w:t>
            </w:r>
          </w:p>
        </w:tc>
        <w:tc>
          <w:tcPr>
            <w:tcW w:w="1882" w:type="dxa"/>
            <w:tcBorders>
              <w:top w:val="single" w:sz="4" w:space="0" w:color="auto"/>
              <w:left w:val="single" w:sz="4" w:space="0" w:color="auto"/>
              <w:bottom w:val="single" w:sz="4" w:space="0" w:color="auto"/>
              <w:right w:val="single" w:sz="4" w:space="0" w:color="auto"/>
            </w:tcBorders>
            <w:shd w:val="clear" w:color="auto" w:fill="FFFFFF"/>
            <w:vAlign w:val="center"/>
          </w:tcPr>
          <w:p w14:paraId="32BFAFB7" w14:textId="77777777" w:rsidR="009338B9" w:rsidRPr="008E78DD" w:rsidRDefault="009338B9" w:rsidP="008E78DD">
            <w:pPr>
              <w:pStyle w:val="Bodytext20"/>
              <w:spacing w:after="120" w:line="240" w:lineRule="auto"/>
              <w:rPr>
                <w:rFonts w:ascii="Sylfaen" w:hAnsi="Sylfaen"/>
                <w:sz w:val="20"/>
                <w:szCs w:val="20"/>
              </w:rPr>
            </w:pPr>
            <w:r w:rsidRPr="008E78DD">
              <w:rPr>
                <w:rStyle w:val="Bodytext211pt"/>
                <w:rFonts w:ascii="Sylfaen" w:hAnsi="Sylfaen"/>
                <w:sz w:val="20"/>
                <w:szCs w:val="20"/>
              </w:rPr>
              <w:t>մ/վրկ</w:t>
            </w:r>
          </w:p>
        </w:tc>
      </w:tr>
    </w:tbl>
    <w:p w14:paraId="5F989E8E" w14:textId="77777777" w:rsidR="009338B9" w:rsidRPr="008E78DD" w:rsidRDefault="009338B9" w:rsidP="008E78DD">
      <w:pPr>
        <w:pStyle w:val="Bodytext50"/>
        <w:tabs>
          <w:tab w:val="left" w:pos="567"/>
        </w:tabs>
        <w:spacing w:before="0" w:after="160" w:line="360" w:lineRule="auto"/>
        <w:ind w:right="-6"/>
        <w:rPr>
          <w:rFonts w:ascii="Sylfaen" w:hAnsi="Sylfaen"/>
          <w:sz w:val="20"/>
          <w:szCs w:val="20"/>
        </w:rPr>
      </w:pPr>
      <w:r w:rsidRPr="008E78DD">
        <w:rPr>
          <w:rFonts w:ascii="Sylfaen" w:hAnsi="Sylfaen"/>
          <w:sz w:val="20"/>
          <w:szCs w:val="20"/>
        </w:rPr>
        <w:t>*</w:t>
      </w:r>
      <w:r w:rsidR="008E78DD" w:rsidRPr="008E78DD">
        <w:rPr>
          <w:rFonts w:ascii="Sylfaen" w:hAnsi="Sylfaen"/>
          <w:sz w:val="20"/>
          <w:szCs w:val="20"/>
        </w:rPr>
        <w:tab/>
      </w:r>
      <w:r w:rsidRPr="008E78DD">
        <w:rPr>
          <w:rFonts w:ascii="Sylfaen" w:hAnsi="Sylfaen"/>
          <w:sz w:val="20"/>
          <w:szCs w:val="20"/>
        </w:rPr>
        <w:t>աղյուսակի վանդակներում «х» տասնորդական նիշերի քանակը համապատասխանում է տվյալների պահանջվող ճշգրտությանը</w:t>
      </w:r>
    </w:p>
    <w:p w14:paraId="7D07A23F" w14:textId="77777777" w:rsidR="008E78DD" w:rsidRPr="003D2C38" w:rsidRDefault="008E78DD" w:rsidP="009338B9">
      <w:pPr>
        <w:pStyle w:val="Bodytext20"/>
        <w:spacing w:after="160" w:line="360" w:lineRule="auto"/>
        <w:ind w:right="300"/>
        <w:jc w:val="right"/>
        <w:rPr>
          <w:rFonts w:ascii="Sylfaen" w:hAnsi="Sylfaen"/>
          <w:sz w:val="24"/>
          <w:szCs w:val="24"/>
        </w:rPr>
      </w:pPr>
    </w:p>
    <w:p w14:paraId="28E843F9" w14:textId="77777777" w:rsidR="009338B9" w:rsidRPr="00CF39EE" w:rsidRDefault="009338B9" w:rsidP="009338B9">
      <w:pPr>
        <w:pStyle w:val="Bodytext20"/>
        <w:spacing w:after="160" w:line="360" w:lineRule="auto"/>
        <w:ind w:right="300"/>
        <w:jc w:val="right"/>
        <w:rPr>
          <w:rFonts w:ascii="Sylfaen" w:hAnsi="Sylfaen"/>
          <w:sz w:val="24"/>
          <w:szCs w:val="24"/>
        </w:rPr>
      </w:pPr>
      <w:r w:rsidRPr="00CF39EE">
        <w:rPr>
          <w:rFonts w:ascii="Sylfaen" w:hAnsi="Sylfaen"/>
          <w:sz w:val="24"/>
          <w:szCs w:val="24"/>
        </w:rPr>
        <w:t>Աղյուսակ 9</w:t>
      </w:r>
    </w:p>
    <w:p w14:paraId="71846F50" w14:textId="77777777" w:rsidR="009338B9" w:rsidRPr="00CF39EE" w:rsidRDefault="009338B9" w:rsidP="009338B9">
      <w:pPr>
        <w:pStyle w:val="Bodytext20"/>
        <w:spacing w:after="160" w:line="360" w:lineRule="auto"/>
        <w:ind w:right="120"/>
        <w:rPr>
          <w:rFonts w:ascii="Sylfaen" w:hAnsi="Sylfaen"/>
          <w:sz w:val="24"/>
          <w:szCs w:val="24"/>
        </w:rPr>
      </w:pPr>
      <w:r w:rsidRPr="00CF39EE">
        <w:rPr>
          <w:rFonts w:ascii="Sylfaen" w:hAnsi="Sylfaen"/>
          <w:sz w:val="24"/>
          <w:szCs w:val="24"/>
        </w:rPr>
        <w:t xml:space="preserve">Շահագործման փաստաթղթերում նշելու ենթակա՝ օդորակիչների մասին տեղեկատվությունը (բացառությամբ մի- </w:t>
      </w:r>
      <w:r>
        <w:rPr>
          <w:rFonts w:ascii="Sylfaen" w:hAnsi="Sylfaen"/>
          <w:sz w:val="24"/>
          <w:szCs w:val="24"/>
        </w:rPr>
        <w:t>եւ</w:t>
      </w:r>
      <w:r w:rsidRPr="00CF39EE">
        <w:rPr>
          <w:rFonts w:ascii="Sylfaen" w:hAnsi="Sylfaen"/>
          <w:sz w:val="24"/>
          <w:szCs w:val="24"/>
        </w:rPr>
        <w:t xml:space="preserve"> երկուղի օդորակիչների)</w:t>
      </w:r>
    </w:p>
    <w:tbl>
      <w:tblPr>
        <w:tblOverlap w:val="never"/>
        <w:tblW w:w="0" w:type="auto"/>
        <w:jc w:val="center"/>
        <w:tblLayout w:type="fixed"/>
        <w:tblCellMar>
          <w:left w:w="10" w:type="dxa"/>
          <w:right w:w="10" w:type="dxa"/>
        </w:tblCellMar>
        <w:tblLook w:val="0000" w:firstRow="0" w:lastRow="0" w:firstColumn="0" w:lastColumn="0" w:noHBand="0" w:noVBand="0"/>
      </w:tblPr>
      <w:tblGrid>
        <w:gridCol w:w="1681"/>
        <w:gridCol w:w="1276"/>
        <w:gridCol w:w="880"/>
        <w:gridCol w:w="10"/>
        <w:gridCol w:w="972"/>
        <w:gridCol w:w="10"/>
        <w:gridCol w:w="1860"/>
        <w:gridCol w:w="10"/>
        <w:gridCol w:w="1237"/>
        <w:gridCol w:w="10"/>
        <w:gridCol w:w="883"/>
        <w:gridCol w:w="1150"/>
      </w:tblGrid>
      <w:tr w:rsidR="009338B9" w:rsidRPr="0027701C" w14:paraId="1A152B71" w14:textId="77777777" w:rsidTr="0027701C">
        <w:trPr>
          <w:tblHeader/>
          <w:jc w:val="center"/>
        </w:trPr>
        <w:tc>
          <w:tcPr>
            <w:tcW w:w="4819" w:type="dxa"/>
            <w:gridSpan w:val="5"/>
            <w:tcBorders>
              <w:top w:val="single" w:sz="4" w:space="0" w:color="auto"/>
              <w:left w:val="single" w:sz="4" w:space="0" w:color="auto"/>
            </w:tcBorders>
            <w:shd w:val="clear" w:color="auto" w:fill="FFFFFF"/>
            <w:vAlign w:val="center"/>
          </w:tcPr>
          <w:p w14:paraId="00AF3153"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ՖՈՒՆԿՑԻԱ</w:t>
            </w:r>
          </w:p>
          <w:p w14:paraId="5C03E7EF"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(բացակայության դեպքում նշվում է «ոչ»)</w:t>
            </w:r>
          </w:p>
        </w:tc>
        <w:tc>
          <w:tcPr>
            <w:tcW w:w="5160" w:type="dxa"/>
            <w:gridSpan w:val="7"/>
            <w:tcBorders>
              <w:top w:val="single" w:sz="4" w:space="0" w:color="auto"/>
              <w:left w:val="single" w:sz="4" w:space="0" w:color="auto"/>
              <w:right w:val="single" w:sz="4" w:space="0" w:color="auto"/>
            </w:tcBorders>
            <w:shd w:val="clear" w:color="auto" w:fill="FFFFFF"/>
            <w:vAlign w:val="center"/>
          </w:tcPr>
          <w:p w14:paraId="1CE5B12A" w14:textId="77777777" w:rsidR="009338B9" w:rsidRPr="0027701C" w:rsidRDefault="009338B9" w:rsidP="008E78DD">
            <w:pPr>
              <w:pStyle w:val="Bodytext20"/>
              <w:spacing w:after="120" w:line="240" w:lineRule="auto"/>
              <w:rPr>
                <w:rStyle w:val="Bodytext211pt"/>
                <w:rFonts w:ascii="Sylfaen" w:hAnsi="Sylfaen"/>
                <w:sz w:val="16"/>
                <w:szCs w:val="16"/>
              </w:rPr>
            </w:pPr>
            <w:r w:rsidRPr="0027701C">
              <w:rPr>
                <w:rStyle w:val="Bodytext211pt"/>
                <w:rFonts w:ascii="Sylfaen" w:hAnsi="Sylfaen"/>
                <w:sz w:val="16"/>
                <w:szCs w:val="16"/>
              </w:rPr>
              <w:t>ՏԱՔԱՑՄԱՆ ՖՈՒՆԿՑԻԱՅԻ ՀԱՄԱՐ</w:t>
            </w:r>
          </w:p>
          <w:p w14:paraId="32CA686F"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(առկայության դեպքում, միջին ռեժիմը պարտադիր է)</w:t>
            </w:r>
          </w:p>
        </w:tc>
      </w:tr>
      <w:tr w:rsidR="009338B9" w:rsidRPr="0027701C" w14:paraId="38F1F84D" w14:textId="77777777" w:rsidTr="0027701C">
        <w:trPr>
          <w:trHeight w:val="622"/>
          <w:tblHeader/>
          <w:jc w:val="center"/>
        </w:trPr>
        <w:tc>
          <w:tcPr>
            <w:tcW w:w="1681" w:type="dxa"/>
            <w:tcBorders>
              <w:top w:val="single" w:sz="4" w:space="0" w:color="auto"/>
              <w:left w:val="single" w:sz="4" w:space="0" w:color="auto"/>
            </w:tcBorders>
            <w:shd w:val="clear" w:color="auto" w:fill="FFFFFF"/>
            <w:vAlign w:val="center"/>
          </w:tcPr>
          <w:p w14:paraId="39303B9C"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պարամետր</w:t>
            </w:r>
          </w:p>
        </w:tc>
        <w:tc>
          <w:tcPr>
            <w:tcW w:w="1276" w:type="dxa"/>
            <w:tcBorders>
              <w:top w:val="single" w:sz="4" w:space="0" w:color="auto"/>
              <w:left w:val="single" w:sz="4" w:space="0" w:color="auto"/>
            </w:tcBorders>
            <w:shd w:val="clear" w:color="auto" w:fill="FFFFFF"/>
            <w:vAlign w:val="center"/>
          </w:tcPr>
          <w:p w14:paraId="0A6B93EF"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նշանակում</w:t>
            </w:r>
          </w:p>
        </w:tc>
        <w:tc>
          <w:tcPr>
            <w:tcW w:w="880" w:type="dxa"/>
            <w:tcBorders>
              <w:top w:val="single" w:sz="4" w:space="0" w:color="auto"/>
              <w:left w:val="single" w:sz="4" w:space="0" w:color="auto"/>
            </w:tcBorders>
            <w:shd w:val="clear" w:color="auto" w:fill="FFFFFF"/>
            <w:vAlign w:val="center"/>
          </w:tcPr>
          <w:p w14:paraId="5C16FD82"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արժեք</w:t>
            </w:r>
          </w:p>
        </w:tc>
        <w:tc>
          <w:tcPr>
            <w:tcW w:w="982" w:type="dxa"/>
            <w:gridSpan w:val="2"/>
            <w:tcBorders>
              <w:top w:val="single" w:sz="4" w:space="0" w:color="auto"/>
              <w:left w:val="single" w:sz="4" w:space="0" w:color="auto"/>
            </w:tcBorders>
            <w:shd w:val="clear" w:color="auto" w:fill="FFFFFF"/>
            <w:vAlign w:val="center"/>
          </w:tcPr>
          <w:p w14:paraId="79083B37"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չափման միավոր</w:t>
            </w:r>
          </w:p>
        </w:tc>
        <w:tc>
          <w:tcPr>
            <w:tcW w:w="1870" w:type="dxa"/>
            <w:gridSpan w:val="2"/>
            <w:tcBorders>
              <w:top w:val="single" w:sz="4" w:space="0" w:color="auto"/>
              <w:left w:val="single" w:sz="4" w:space="0" w:color="auto"/>
            </w:tcBorders>
            <w:shd w:val="clear" w:color="auto" w:fill="FFFFFF"/>
            <w:vAlign w:val="center"/>
          </w:tcPr>
          <w:p w14:paraId="4BD4A8C3"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պարամետր</w:t>
            </w:r>
          </w:p>
        </w:tc>
        <w:tc>
          <w:tcPr>
            <w:tcW w:w="1247" w:type="dxa"/>
            <w:gridSpan w:val="2"/>
            <w:tcBorders>
              <w:top w:val="single" w:sz="4" w:space="0" w:color="auto"/>
              <w:left w:val="single" w:sz="4" w:space="0" w:color="auto"/>
            </w:tcBorders>
            <w:shd w:val="clear" w:color="auto" w:fill="FFFFFF"/>
            <w:vAlign w:val="center"/>
          </w:tcPr>
          <w:p w14:paraId="385B1D61"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նշանակում</w:t>
            </w:r>
          </w:p>
        </w:tc>
        <w:tc>
          <w:tcPr>
            <w:tcW w:w="893" w:type="dxa"/>
            <w:gridSpan w:val="2"/>
            <w:tcBorders>
              <w:top w:val="single" w:sz="4" w:space="0" w:color="auto"/>
              <w:left w:val="single" w:sz="4" w:space="0" w:color="auto"/>
            </w:tcBorders>
            <w:shd w:val="clear" w:color="auto" w:fill="FFFFFF"/>
            <w:vAlign w:val="center"/>
          </w:tcPr>
          <w:p w14:paraId="1A82D23B"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արժեք</w:t>
            </w:r>
          </w:p>
        </w:tc>
        <w:tc>
          <w:tcPr>
            <w:tcW w:w="1150" w:type="dxa"/>
            <w:tcBorders>
              <w:top w:val="single" w:sz="4" w:space="0" w:color="auto"/>
              <w:left w:val="single" w:sz="4" w:space="0" w:color="auto"/>
              <w:right w:val="single" w:sz="4" w:space="0" w:color="auto"/>
            </w:tcBorders>
            <w:shd w:val="clear" w:color="auto" w:fill="FFFFFF"/>
            <w:vAlign w:val="center"/>
          </w:tcPr>
          <w:p w14:paraId="27C7D98F"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չափման միավոր</w:t>
            </w:r>
          </w:p>
        </w:tc>
      </w:tr>
      <w:tr w:rsidR="009338B9" w:rsidRPr="0027701C" w14:paraId="59D960FC" w14:textId="77777777" w:rsidTr="0027701C">
        <w:trPr>
          <w:jc w:val="center"/>
        </w:trPr>
        <w:tc>
          <w:tcPr>
            <w:tcW w:w="4819" w:type="dxa"/>
            <w:gridSpan w:val="5"/>
            <w:tcBorders>
              <w:top w:val="single" w:sz="4" w:space="0" w:color="auto"/>
              <w:left w:val="single" w:sz="4" w:space="0" w:color="auto"/>
            </w:tcBorders>
            <w:shd w:val="clear" w:color="auto" w:fill="FFFFFF"/>
            <w:vAlign w:val="bottom"/>
          </w:tcPr>
          <w:p w14:paraId="35CF620A"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Նախագծային (անվանական) հզորությունը</w:t>
            </w:r>
          </w:p>
        </w:tc>
        <w:tc>
          <w:tcPr>
            <w:tcW w:w="4010" w:type="dxa"/>
            <w:gridSpan w:val="6"/>
            <w:tcBorders>
              <w:top w:val="single" w:sz="4" w:space="0" w:color="auto"/>
              <w:left w:val="single" w:sz="4" w:space="0" w:color="auto"/>
            </w:tcBorders>
            <w:shd w:val="clear" w:color="auto" w:fill="FFFFFF"/>
            <w:vAlign w:val="bottom"/>
          </w:tcPr>
          <w:p w14:paraId="6FF0D8B8" w14:textId="77777777" w:rsidR="009338B9" w:rsidRPr="0027701C" w:rsidRDefault="009338B9" w:rsidP="008E78DD">
            <w:pPr>
              <w:pStyle w:val="Bodytext20"/>
              <w:spacing w:after="120" w:line="240" w:lineRule="auto"/>
              <w:jc w:val="right"/>
              <w:rPr>
                <w:rFonts w:ascii="Sylfaen" w:hAnsi="Sylfaen"/>
                <w:sz w:val="16"/>
                <w:szCs w:val="16"/>
              </w:rPr>
            </w:pPr>
            <w:r w:rsidRPr="0027701C">
              <w:rPr>
                <w:rStyle w:val="Bodytext211pt"/>
                <w:rFonts w:ascii="Sylfaen" w:hAnsi="Sylfaen"/>
                <w:sz w:val="16"/>
                <w:szCs w:val="16"/>
              </w:rPr>
              <w:t>Սեզոնային էներգաարդյունավետությունը</w:t>
            </w:r>
          </w:p>
        </w:tc>
        <w:tc>
          <w:tcPr>
            <w:tcW w:w="1150" w:type="dxa"/>
            <w:tcBorders>
              <w:top w:val="single" w:sz="4" w:space="0" w:color="auto"/>
              <w:right w:val="single" w:sz="4" w:space="0" w:color="auto"/>
            </w:tcBorders>
            <w:shd w:val="clear" w:color="auto" w:fill="FFFFFF"/>
          </w:tcPr>
          <w:p w14:paraId="05B708CD" w14:textId="77777777" w:rsidR="009338B9" w:rsidRPr="0027701C" w:rsidRDefault="009338B9" w:rsidP="008E78DD">
            <w:pPr>
              <w:spacing w:after="120"/>
              <w:rPr>
                <w:rFonts w:ascii="Sylfaen" w:hAnsi="Sylfaen"/>
                <w:sz w:val="16"/>
                <w:szCs w:val="16"/>
              </w:rPr>
            </w:pPr>
          </w:p>
        </w:tc>
      </w:tr>
      <w:tr w:rsidR="009338B9" w:rsidRPr="0027701C" w14:paraId="233054CB" w14:textId="77777777" w:rsidTr="0027701C">
        <w:trPr>
          <w:jc w:val="center"/>
        </w:trPr>
        <w:tc>
          <w:tcPr>
            <w:tcW w:w="1681" w:type="dxa"/>
            <w:tcBorders>
              <w:top w:val="single" w:sz="4" w:space="0" w:color="auto"/>
              <w:left w:val="single" w:sz="4" w:space="0" w:color="auto"/>
            </w:tcBorders>
            <w:shd w:val="clear" w:color="auto" w:fill="FFFFFF"/>
            <w:vAlign w:val="center"/>
          </w:tcPr>
          <w:p w14:paraId="036A8C73"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հովացում</w:t>
            </w:r>
          </w:p>
        </w:tc>
        <w:tc>
          <w:tcPr>
            <w:tcW w:w="1276" w:type="dxa"/>
            <w:tcBorders>
              <w:top w:val="single" w:sz="4" w:space="0" w:color="auto"/>
              <w:left w:val="single" w:sz="4" w:space="0" w:color="auto"/>
            </w:tcBorders>
            <w:shd w:val="clear" w:color="auto" w:fill="FFFFFF"/>
            <w:vAlign w:val="center"/>
          </w:tcPr>
          <w:p w14:paraId="299AD6A5" w14:textId="77777777" w:rsidR="009338B9" w:rsidRPr="0027701C" w:rsidRDefault="009338B9" w:rsidP="008E78DD">
            <w:pPr>
              <w:pStyle w:val="Bodytext20"/>
              <w:spacing w:after="120" w:line="240" w:lineRule="auto"/>
              <w:rPr>
                <w:rFonts w:ascii="Sylfaen" w:hAnsi="Sylfaen"/>
                <w:sz w:val="16"/>
                <w:szCs w:val="16"/>
              </w:rPr>
            </w:pPr>
            <w:r w:rsidRPr="0027701C">
              <w:rPr>
                <w:rFonts w:ascii="Sylfaen" w:hAnsi="Sylfaen"/>
                <w:sz w:val="16"/>
                <w:szCs w:val="16"/>
              </w:rPr>
              <w:t>P</w:t>
            </w:r>
            <w:r w:rsidRPr="0027701C">
              <w:rPr>
                <w:rFonts w:ascii="Sylfaen" w:hAnsi="Sylfaen"/>
                <w:sz w:val="16"/>
                <w:szCs w:val="16"/>
                <w:vertAlign w:val="subscript"/>
              </w:rPr>
              <w:t>designC</w:t>
            </w:r>
          </w:p>
        </w:tc>
        <w:tc>
          <w:tcPr>
            <w:tcW w:w="880" w:type="dxa"/>
            <w:tcBorders>
              <w:top w:val="single" w:sz="4" w:space="0" w:color="auto"/>
              <w:left w:val="single" w:sz="4" w:space="0" w:color="auto"/>
            </w:tcBorders>
            <w:shd w:val="clear" w:color="auto" w:fill="FFFFFF"/>
            <w:vAlign w:val="center"/>
          </w:tcPr>
          <w:p w14:paraId="34293AA1"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CBAFF4B"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1CE09AB1"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հովացում</w:t>
            </w:r>
          </w:p>
        </w:tc>
        <w:tc>
          <w:tcPr>
            <w:tcW w:w="1247" w:type="dxa"/>
            <w:gridSpan w:val="2"/>
            <w:tcBorders>
              <w:top w:val="single" w:sz="4" w:space="0" w:color="auto"/>
              <w:left w:val="single" w:sz="4" w:space="0" w:color="auto"/>
            </w:tcBorders>
            <w:shd w:val="clear" w:color="auto" w:fill="FFFFFF"/>
            <w:vAlign w:val="center"/>
          </w:tcPr>
          <w:p w14:paraId="6F9B45D9"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SEER</w:t>
            </w:r>
          </w:p>
        </w:tc>
        <w:tc>
          <w:tcPr>
            <w:tcW w:w="893" w:type="dxa"/>
            <w:gridSpan w:val="2"/>
            <w:tcBorders>
              <w:top w:val="single" w:sz="4" w:space="0" w:color="auto"/>
              <w:left w:val="single" w:sz="4" w:space="0" w:color="auto"/>
            </w:tcBorders>
            <w:shd w:val="clear" w:color="auto" w:fill="FFFFFF"/>
            <w:vAlign w:val="center"/>
          </w:tcPr>
          <w:p w14:paraId="32D395F6"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7A2CC938"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39E35DB9" w14:textId="77777777" w:rsidTr="0027701C">
        <w:trPr>
          <w:jc w:val="center"/>
        </w:trPr>
        <w:tc>
          <w:tcPr>
            <w:tcW w:w="1681" w:type="dxa"/>
            <w:tcBorders>
              <w:top w:val="single" w:sz="4" w:space="0" w:color="auto"/>
              <w:left w:val="single" w:sz="4" w:space="0" w:color="auto"/>
            </w:tcBorders>
            <w:shd w:val="clear" w:color="auto" w:fill="FFFFFF"/>
            <w:vAlign w:val="center"/>
          </w:tcPr>
          <w:p w14:paraId="1031B582"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տաքացում/միջին</w:t>
            </w:r>
          </w:p>
        </w:tc>
        <w:tc>
          <w:tcPr>
            <w:tcW w:w="1276" w:type="dxa"/>
            <w:tcBorders>
              <w:top w:val="single" w:sz="4" w:space="0" w:color="auto"/>
              <w:left w:val="single" w:sz="4" w:space="0" w:color="auto"/>
            </w:tcBorders>
            <w:shd w:val="clear" w:color="auto" w:fill="FFFFFF"/>
            <w:vAlign w:val="center"/>
          </w:tcPr>
          <w:p w14:paraId="5E0CF3D2" w14:textId="77777777" w:rsidR="009338B9" w:rsidRPr="0027701C" w:rsidRDefault="009338B9" w:rsidP="008E78DD">
            <w:pPr>
              <w:pStyle w:val="Bodytext20"/>
              <w:spacing w:after="120" w:line="240" w:lineRule="auto"/>
              <w:rPr>
                <w:rFonts w:ascii="Sylfaen" w:hAnsi="Sylfaen"/>
                <w:sz w:val="16"/>
                <w:szCs w:val="16"/>
              </w:rPr>
            </w:pPr>
            <w:r w:rsidRPr="0027701C">
              <w:rPr>
                <w:rFonts w:ascii="Sylfaen" w:hAnsi="Sylfaen"/>
                <w:sz w:val="16"/>
                <w:szCs w:val="16"/>
              </w:rPr>
              <w:t>P</w:t>
            </w:r>
            <w:r w:rsidRPr="0027701C">
              <w:rPr>
                <w:rFonts w:ascii="Sylfaen" w:hAnsi="Sylfaen"/>
                <w:sz w:val="16"/>
                <w:szCs w:val="16"/>
                <w:vertAlign w:val="subscript"/>
              </w:rPr>
              <w:t>designH</w:t>
            </w:r>
          </w:p>
        </w:tc>
        <w:tc>
          <w:tcPr>
            <w:tcW w:w="880" w:type="dxa"/>
            <w:tcBorders>
              <w:top w:val="single" w:sz="4" w:space="0" w:color="auto"/>
              <w:left w:val="single" w:sz="4" w:space="0" w:color="auto"/>
            </w:tcBorders>
            <w:shd w:val="clear" w:color="auto" w:fill="FFFFFF"/>
            <w:vAlign w:val="center"/>
          </w:tcPr>
          <w:p w14:paraId="31F2B6F3"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47616530"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7E73C544"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տաքացում/միջին</w:t>
            </w:r>
          </w:p>
        </w:tc>
        <w:tc>
          <w:tcPr>
            <w:tcW w:w="1247" w:type="dxa"/>
            <w:gridSpan w:val="2"/>
            <w:tcBorders>
              <w:top w:val="single" w:sz="4" w:space="0" w:color="auto"/>
              <w:left w:val="single" w:sz="4" w:space="0" w:color="auto"/>
            </w:tcBorders>
            <w:shd w:val="clear" w:color="auto" w:fill="FFFFFF"/>
            <w:vAlign w:val="center"/>
          </w:tcPr>
          <w:p w14:paraId="3A63B1F2"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SCOP</w:t>
            </w:r>
            <w:r w:rsidRPr="0027701C">
              <w:rPr>
                <w:rStyle w:val="Bodytext211pt"/>
                <w:rFonts w:ascii="Sylfaen" w:hAnsi="Sylfaen"/>
                <w:sz w:val="16"/>
                <w:szCs w:val="16"/>
                <w:vertAlign w:val="subscript"/>
              </w:rPr>
              <w:t>միջին</w:t>
            </w:r>
          </w:p>
        </w:tc>
        <w:tc>
          <w:tcPr>
            <w:tcW w:w="893" w:type="dxa"/>
            <w:gridSpan w:val="2"/>
            <w:tcBorders>
              <w:top w:val="single" w:sz="4" w:space="0" w:color="auto"/>
              <w:left w:val="single" w:sz="4" w:space="0" w:color="auto"/>
            </w:tcBorders>
            <w:shd w:val="clear" w:color="auto" w:fill="FFFFFF"/>
            <w:vAlign w:val="center"/>
          </w:tcPr>
          <w:p w14:paraId="1DAE6EA7"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47D7B90F"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522408BE" w14:textId="77777777" w:rsidTr="0027701C">
        <w:trPr>
          <w:trHeight w:val="333"/>
          <w:jc w:val="center"/>
        </w:trPr>
        <w:tc>
          <w:tcPr>
            <w:tcW w:w="1681" w:type="dxa"/>
            <w:tcBorders>
              <w:top w:val="single" w:sz="4" w:space="0" w:color="auto"/>
              <w:left w:val="single" w:sz="4" w:space="0" w:color="auto"/>
            </w:tcBorders>
            <w:shd w:val="clear" w:color="auto" w:fill="FFFFFF"/>
            <w:vAlign w:val="center"/>
          </w:tcPr>
          <w:p w14:paraId="628F63E9"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տաք</w:t>
            </w:r>
          </w:p>
        </w:tc>
        <w:tc>
          <w:tcPr>
            <w:tcW w:w="1276" w:type="dxa"/>
            <w:tcBorders>
              <w:top w:val="single" w:sz="4" w:space="0" w:color="auto"/>
              <w:left w:val="single" w:sz="4" w:space="0" w:color="auto"/>
            </w:tcBorders>
            <w:shd w:val="clear" w:color="auto" w:fill="FFFFFF"/>
            <w:vAlign w:val="center"/>
          </w:tcPr>
          <w:p w14:paraId="31F8DC74" w14:textId="77777777" w:rsidR="009338B9" w:rsidRPr="0027701C" w:rsidRDefault="009338B9" w:rsidP="008E78DD">
            <w:pPr>
              <w:pStyle w:val="Bodytext20"/>
              <w:spacing w:after="120" w:line="240" w:lineRule="auto"/>
              <w:rPr>
                <w:rFonts w:ascii="Sylfaen" w:hAnsi="Sylfaen"/>
                <w:sz w:val="16"/>
                <w:szCs w:val="16"/>
              </w:rPr>
            </w:pPr>
            <w:r w:rsidRPr="0027701C">
              <w:rPr>
                <w:rFonts w:ascii="Sylfaen" w:hAnsi="Sylfaen"/>
                <w:sz w:val="16"/>
                <w:szCs w:val="16"/>
              </w:rPr>
              <w:t>P</w:t>
            </w:r>
            <w:r w:rsidRPr="0027701C">
              <w:rPr>
                <w:rFonts w:ascii="Sylfaen" w:hAnsi="Sylfaen"/>
                <w:sz w:val="16"/>
                <w:szCs w:val="16"/>
                <w:vertAlign w:val="subscript"/>
              </w:rPr>
              <w:t>designH</w:t>
            </w:r>
          </w:p>
        </w:tc>
        <w:tc>
          <w:tcPr>
            <w:tcW w:w="880" w:type="dxa"/>
            <w:tcBorders>
              <w:top w:val="single" w:sz="4" w:space="0" w:color="auto"/>
              <w:left w:val="single" w:sz="4" w:space="0" w:color="auto"/>
            </w:tcBorders>
            <w:shd w:val="clear" w:color="auto" w:fill="FFFFFF"/>
            <w:vAlign w:val="center"/>
          </w:tcPr>
          <w:p w14:paraId="332E1CD1"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0B144D21"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24DF9E3E"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տաք</w:t>
            </w:r>
          </w:p>
        </w:tc>
        <w:tc>
          <w:tcPr>
            <w:tcW w:w="1247" w:type="dxa"/>
            <w:gridSpan w:val="2"/>
            <w:tcBorders>
              <w:top w:val="single" w:sz="4" w:space="0" w:color="auto"/>
              <w:left w:val="single" w:sz="4" w:space="0" w:color="auto"/>
            </w:tcBorders>
            <w:shd w:val="clear" w:color="auto" w:fill="FFFFFF"/>
            <w:vAlign w:val="center"/>
          </w:tcPr>
          <w:p w14:paraId="31C66D4B"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SCOP</w:t>
            </w:r>
            <w:r w:rsidRPr="0027701C">
              <w:rPr>
                <w:rStyle w:val="Bodytext211pt"/>
                <w:rFonts w:ascii="Sylfaen" w:hAnsi="Sylfaen"/>
                <w:sz w:val="16"/>
                <w:szCs w:val="16"/>
                <w:vertAlign w:val="subscript"/>
              </w:rPr>
              <w:t>ավելի տաք</w:t>
            </w:r>
          </w:p>
        </w:tc>
        <w:tc>
          <w:tcPr>
            <w:tcW w:w="893" w:type="dxa"/>
            <w:gridSpan w:val="2"/>
            <w:tcBorders>
              <w:top w:val="single" w:sz="4" w:space="0" w:color="auto"/>
              <w:left w:val="single" w:sz="4" w:space="0" w:color="auto"/>
            </w:tcBorders>
            <w:shd w:val="clear" w:color="auto" w:fill="FFFFFF"/>
            <w:vAlign w:val="center"/>
          </w:tcPr>
          <w:p w14:paraId="245B95A3"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68885B50"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7995077A" w14:textId="77777777" w:rsidTr="0027701C">
        <w:trPr>
          <w:jc w:val="center"/>
        </w:trPr>
        <w:tc>
          <w:tcPr>
            <w:tcW w:w="1681" w:type="dxa"/>
            <w:tcBorders>
              <w:top w:val="single" w:sz="4" w:space="0" w:color="auto"/>
              <w:left w:val="single" w:sz="4" w:space="0" w:color="auto"/>
            </w:tcBorders>
            <w:shd w:val="clear" w:color="auto" w:fill="FFFFFF"/>
            <w:vAlign w:val="bottom"/>
          </w:tcPr>
          <w:p w14:paraId="4B704474"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ցուրտ</w:t>
            </w:r>
          </w:p>
        </w:tc>
        <w:tc>
          <w:tcPr>
            <w:tcW w:w="1276" w:type="dxa"/>
            <w:tcBorders>
              <w:top w:val="single" w:sz="4" w:space="0" w:color="auto"/>
              <w:left w:val="single" w:sz="4" w:space="0" w:color="auto"/>
            </w:tcBorders>
            <w:shd w:val="clear" w:color="auto" w:fill="FFFFFF"/>
            <w:vAlign w:val="bottom"/>
          </w:tcPr>
          <w:p w14:paraId="2CFEF168" w14:textId="77777777" w:rsidR="009338B9" w:rsidRPr="0027701C" w:rsidRDefault="009338B9" w:rsidP="008E78DD">
            <w:pPr>
              <w:pStyle w:val="Bodytext20"/>
              <w:spacing w:after="120" w:line="240" w:lineRule="auto"/>
              <w:rPr>
                <w:rFonts w:ascii="Sylfaen" w:hAnsi="Sylfaen"/>
                <w:sz w:val="16"/>
                <w:szCs w:val="16"/>
              </w:rPr>
            </w:pPr>
            <w:r w:rsidRPr="0027701C">
              <w:rPr>
                <w:rFonts w:ascii="Sylfaen" w:hAnsi="Sylfaen"/>
                <w:sz w:val="16"/>
                <w:szCs w:val="16"/>
              </w:rPr>
              <w:t>P</w:t>
            </w:r>
            <w:r w:rsidRPr="0027701C">
              <w:rPr>
                <w:rFonts w:ascii="Sylfaen" w:hAnsi="Sylfaen"/>
                <w:sz w:val="16"/>
                <w:szCs w:val="16"/>
                <w:vertAlign w:val="subscript"/>
              </w:rPr>
              <w:t>designH</w:t>
            </w:r>
          </w:p>
        </w:tc>
        <w:tc>
          <w:tcPr>
            <w:tcW w:w="880" w:type="dxa"/>
            <w:tcBorders>
              <w:top w:val="single" w:sz="4" w:space="0" w:color="auto"/>
              <w:left w:val="single" w:sz="4" w:space="0" w:color="auto"/>
            </w:tcBorders>
            <w:shd w:val="clear" w:color="auto" w:fill="FFFFFF"/>
            <w:vAlign w:val="bottom"/>
          </w:tcPr>
          <w:p w14:paraId="4B7FDF66"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bottom"/>
          </w:tcPr>
          <w:p w14:paraId="03AA23E0" w14:textId="77777777" w:rsidR="009338B9" w:rsidRPr="0027701C" w:rsidRDefault="009338B9" w:rsidP="008E78DD">
            <w:pPr>
              <w:pStyle w:val="Bodytext20"/>
              <w:spacing w:after="120" w:line="240" w:lineRule="auto"/>
              <w:ind w:left="240"/>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bottom"/>
          </w:tcPr>
          <w:p w14:paraId="312EF75B"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ցուրտ</w:t>
            </w:r>
          </w:p>
        </w:tc>
        <w:tc>
          <w:tcPr>
            <w:tcW w:w="1247" w:type="dxa"/>
            <w:gridSpan w:val="2"/>
            <w:tcBorders>
              <w:top w:val="single" w:sz="4" w:space="0" w:color="auto"/>
              <w:left w:val="single" w:sz="4" w:space="0" w:color="auto"/>
            </w:tcBorders>
            <w:shd w:val="clear" w:color="auto" w:fill="FFFFFF"/>
            <w:vAlign w:val="bottom"/>
          </w:tcPr>
          <w:p w14:paraId="71D433A0" w14:textId="77777777" w:rsidR="009338B9" w:rsidRPr="0027701C" w:rsidRDefault="009338B9" w:rsidP="008E78DD">
            <w:pPr>
              <w:pStyle w:val="Bodytext20"/>
              <w:spacing w:after="120" w:line="240" w:lineRule="auto"/>
              <w:ind w:left="160"/>
              <w:rPr>
                <w:rFonts w:ascii="Sylfaen" w:hAnsi="Sylfaen"/>
                <w:sz w:val="16"/>
                <w:szCs w:val="16"/>
              </w:rPr>
            </w:pPr>
            <w:r w:rsidRPr="0027701C">
              <w:rPr>
                <w:rStyle w:val="Bodytext211pt"/>
                <w:rFonts w:ascii="Sylfaen" w:hAnsi="Sylfaen"/>
                <w:sz w:val="16"/>
                <w:szCs w:val="16"/>
              </w:rPr>
              <w:t>SCOP</w:t>
            </w:r>
            <w:r w:rsidRPr="0027701C">
              <w:rPr>
                <w:rStyle w:val="Bodytext211pt"/>
                <w:rFonts w:ascii="Sylfaen" w:hAnsi="Sylfaen"/>
                <w:sz w:val="16"/>
                <w:szCs w:val="16"/>
                <w:vertAlign w:val="subscript"/>
              </w:rPr>
              <w:t>ավելի ցուրտ</w:t>
            </w:r>
          </w:p>
        </w:tc>
        <w:tc>
          <w:tcPr>
            <w:tcW w:w="893" w:type="dxa"/>
            <w:gridSpan w:val="2"/>
            <w:tcBorders>
              <w:top w:val="single" w:sz="4" w:space="0" w:color="auto"/>
              <w:left w:val="single" w:sz="4" w:space="0" w:color="auto"/>
            </w:tcBorders>
            <w:shd w:val="clear" w:color="auto" w:fill="FFFFFF"/>
            <w:vAlign w:val="bottom"/>
          </w:tcPr>
          <w:p w14:paraId="74CD6B98"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07A5AAC5"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2BC3BC7A" w14:textId="77777777" w:rsidTr="0027701C">
        <w:trPr>
          <w:trHeight w:val="331"/>
          <w:jc w:val="center"/>
        </w:trPr>
        <w:tc>
          <w:tcPr>
            <w:tcW w:w="4819" w:type="dxa"/>
            <w:gridSpan w:val="5"/>
            <w:vMerge w:val="restart"/>
            <w:tcBorders>
              <w:top w:val="single" w:sz="4" w:space="0" w:color="auto"/>
              <w:left w:val="single" w:sz="4" w:space="0" w:color="auto"/>
            </w:tcBorders>
            <w:shd w:val="clear" w:color="auto" w:fill="FFFFFF"/>
            <w:vAlign w:val="center"/>
          </w:tcPr>
          <w:p w14:paraId="654CD133"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lastRenderedPageBreak/>
              <w:t>Հայտարարված հզորությունը (*) հովացման ռեժիմում T</w:t>
            </w:r>
            <w:r w:rsidRPr="0027701C">
              <w:rPr>
                <w:rStyle w:val="Bodytext211pt"/>
                <w:rFonts w:ascii="Sylfaen" w:hAnsi="Sylfaen"/>
                <w:sz w:val="16"/>
                <w:szCs w:val="16"/>
                <w:vertAlign w:val="subscript"/>
              </w:rPr>
              <w:t>in</w:t>
            </w:r>
            <w:r w:rsidRPr="0027701C">
              <w:rPr>
                <w:rStyle w:val="Bodytext211pt"/>
                <w:rFonts w:ascii="Sylfaen" w:hAnsi="Sylfaen"/>
                <w:sz w:val="16"/>
                <w:szCs w:val="16"/>
              </w:rPr>
              <w:t>= 27(19) °C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c>
          <w:tcPr>
            <w:tcW w:w="5160" w:type="dxa"/>
            <w:gridSpan w:val="7"/>
            <w:vMerge w:val="restart"/>
            <w:tcBorders>
              <w:top w:val="single" w:sz="4" w:space="0" w:color="auto"/>
              <w:left w:val="single" w:sz="4" w:space="0" w:color="auto"/>
              <w:right w:val="single" w:sz="4" w:space="0" w:color="auto"/>
            </w:tcBorders>
            <w:shd w:val="clear" w:color="auto" w:fill="FFFFFF"/>
            <w:vAlign w:val="center"/>
          </w:tcPr>
          <w:p w14:paraId="4F02715C"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Հայտարարված էներգետիկ արդյունավետությունը (*) հովացման ռեժիմում T</w:t>
            </w:r>
            <w:r w:rsidRPr="0027701C">
              <w:rPr>
                <w:rStyle w:val="Bodytext211pt"/>
                <w:rFonts w:ascii="Sylfaen" w:hAnsi="Sylfaen"/>
                <w:sz w:val="16"/>
                <w:szCs w:val="16"/>
                <w:vertAlign w:val="subscript"/>
              </w:rPr>
              <w:t>in</w:t>
            </w:r>
            <w:r w:rsidRPr="0027701C">
              <w:rPr>
                <w:rStyle w:val="Bodytext211pt"/>
                <w:rFonts w:ascii="Sylfaen" w:hAnsi="Sylfaen"/>
                <w:sz w:val="16"/>
                <w:szCs w:val="16"/>
              </w:rPr>
              <w:t>= 27(19) °C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r>
      <w:tr w:rsidR="009338B9" w:rsidRPr="0027701C" w14:paraId="178415F6" w14:textId="77777777" w:rsidTr="0027701C">
        <w:trPr>
          <w:trHeight w:val="331"/>
          <w:jc w:val="center"/>
        </w:trPr>
        <w:tc>
          <w:tcPr>
            <w:tcW w:w="4819" w:type="dxa"/>
            <w:gridSpan w:val="5"/>
            <w:vMerge/>
            <w:tcBorders>
              <w:left w:val="single" w:sz="4" w:space="0" w:color="auto"/>
            </w:tcBorders>
            <w:shd w:val="clear" w:color="auto" w:fill="FFFFFF"/>
            <w:vAlign w:val="bottom"/>
          </w:tcPr>
          <w:p w14:paraId="0F2256EF" w14:textId="77777777" w:rsidR="009338B9" w:rsidRPr="0027701C" w:rsidRDefault="009338B9" w:rsidP="008E78DD">
            <w:pPr>
              <w:spacing w:after="120"/>
              <w:rPr>
                <w:rFonts w:ascii="Sylfaen" w:hAnsi="Sylfaen"/>
                <w:sz w:val="16"/>
                <w:szCs w:val="16"/>
              </w:rPr>
            </w:pPr>
          </w:p>
        </w:tc>
        <w:tc>
          <w:tcPr>
            <w:tcW w:w="5160" w:type="dxa"/>
            <w:gridSpan w:val="7"/>
            <w:vMerge/>
            <w:tcBorders>
              <w:left w:val="single" w:sz="4" w:space="0" w:color="auto"/>
              <w:right w:val="single" w:sz="4" w:space="0" w:color="auto"/>
            </w:tcBorders>
            <w:shd w:val="clear" w:color="auto" w:fill="FFFFFF"/>
            <w:vAlign w:val="bottom"/>
          </w:tcPr>
          <w:p w14:paraId="336DD4A9" w14:textId="77777777" w:rsidR="009338B9" w:rsidRPr="0027701C" w:rsidRDefault="009338B9" w:rsidP="008E78DD">
            <w:pPr>
              <w:spacing w:after="120"/>
              <w:rPr>
                <w:rFonts w:ascii="Sylfaen" w:hAnsi="Sylfaen"/>
                <w:sz w:val="16"/>
                <w:szCs w:val="16"/>
              </w:rPr>
            </w:pPr>
          </w:p>
        </w:tc>
      </w:tr>
      <w:tr w:rsidR="009338B9" w:rsidRPr="0027701C" w14:paraId="78A6B39F" w14:textId="77777777" w:rsidTr="0027701C">
        <w:trPr>
          <w:jc w:val="center"/>
        </w:trPr>
        <w:tc>
          <w:tcPr>
            <w:tcW w:w="1681" w:type="dxa"/>
            <w:tcBorders>
              <w:top w:val="single" w:sz="4" w:space="0" w:color="auto"/>
              <w:left w:val="single" w:sz="4" w:space="0" w:color="auto"/>
            </w:tcBorders>
            <w:shd w:val="clear" w:color="auto" w:fill="FFFFFF"/>
            <w:vAlign w:val="bottom"/>
          </w:tcPr>
          <w:p w14:paraId="414B4B8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35</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bottom"/>
          </w:tcPr>
          <w:p w14:paraId="009DF0C9"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dc</w:t>
            </w:r>
          </w:p>
        </w:tc>
        <w:tc>
          <w:tcPr>
            <w:tcW w:w="880" w:type="dxa"/>
            <w:tcBorders>
              <w:top w:val="single" w:sz="4" w:space="0" w:color="auto"/>
              <w:left w:val="single" w:sz="4" w:space="0" w:color="auto"/>
            </w:tcBorders>
            <w:shd w:val="clear" w:color="auto" w:fill="FFFFFF"/>
            <w:vAlign w:val="bottom"/>
          </w:tcPr>
          <w:p w14:paraId="462B07F7"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bottom"/>
          </w:tcPr>
          <w:p w14:paraId="7BDD6A5E"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bottom"/>
          </w:tcPr>
          <w:p w14:paraId="7846831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35</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bottom"/>
          </w:tcPr>
          <w:p w14:paraId="441F2B2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EER</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bottom"/>
          </w:tcPr>
          <w:p w14:paraId="7AC8048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6662D58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3B3395B0" w14:textId="77777777" w:rsidTr="0027701C">
        <w:trPr>
          <w:jc w:val="center"/>
        </w:trPr>
        <w:tc>
          <w:tcPr>
            <w:tcW w:w="1681" w:type="dxa"/>
            <w:tcBorders>
              <w:top w:val="single" w:sz="4" w:space="0" w:color="auto"/>
              <w:left w:val="single" w:sz="4" w:space="0" w:color="auto"/>
            </w:tcBorders>
            <w:shd w:val="clear" w:color="auto" w:fill="FFFFFF"/>
            <w:vAlign w:val="bottom"/>
          </w:tcPr>
          <w:p w14:paraId="2E45C63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j = </w:t>
            </w:r>
            <w:r w:rsidR="0027701C">
              <w:rPr>
                <w:rStyle w:val="Bodytext211pt"/>
                <w:rFonts w:ascii="Sylfaen" w:hAnsi="Sylfaen"/>
                <w:sz w:val="16"/>
                <w:szCs w:val="16"/>
                <w:lang w:val="en-US"/>
              </w:rPr>
              <w:t>30</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bottom"/>
          </w:tcPr>
          <w:p w14:paraId="45D1CB60"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dc</w:t>
            </w:r>
          </w:p>
        </w:tc>
        <w:tc>
          <w:tcPr>
            <w:tcW w:w="880" w:type="dxa"/>
            <w:tcBorders>
              <w:top w:val="single" w:sz="4" w:space="0" w:color="auto"/>
              <w:left w:val="single" w:sz="4" w:space="0" w:color="auto"/>
            </w:tcBorders>
            <w:shd w:val="clear" w:color="auto" w:fill="FFFFFF"/>
            <w:vAlign w:val="bottom"/>
          </w:tcPr>
          <w:p w14:paraId="1C73FFD6"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bottom"/>
          </w:tcPr>
          <w:p w14:paraId="292A860B"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bottom"/>
          </w:tcPr>
          <w:p w14:paraId="5F650A8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j = </w:t>
            </w:r>
            <w:r w:rsidR="0027701C">
              <w:rPr>
                <w:rStyle w:val="Bodytext211pt"/>
                <w:rFonts w:ascii="Sylfaen" w:hAnsi="Sylfaen"/>
                <w:sz w:val="16"/>
                <w:szCs w:val="16"/>
                <w:lang w:val="en-US"/>
              </w:rPr>
              <w:t>30</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bottom"/>
          </w:tcPr>
          <w:p w14:paraId="4252595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EER</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bottom"/>
          </w:tcPr>
          <w:p w14:paraId="6C39B56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7CF0C14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518AE2EF" w14:textId="77777777" w:rsidTr="0027701C">
        <w:trPr>
          <w:jc w:val="center"/>
        </w:trPr>
        <w:tc>
          <w:tcPr>
            <w:tcW w:w="1681" w:type="dxa"/>
            <w:tcBorders>
              <w:top w:val="single" w:sz="4" w:space="0" w:color="auto"/>
              <w:left w:val="single" w:sz="4" w:space="0" w:color="auto"/>
            </w:tcBorders>
            <w:shd w:val="clear" w:color="auto" w:fill="FFFFFF"/>
            <w:vAlign w:val="bottom"/>
          </w:tcPr>
          <w:p w14:paraId="4502532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25</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bottom"/>
          </w:tcPr>
          <w:p w14:paraId="053C2329"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dc</w:t>
            </w:r>
          </w:p>
        </w:tc>
        <w:tc>
          <w:tcPr>
            <w:tcW w:w="880" w:type="dxa"/>
            <w:tcBorders>
              <w:top w:val="single" w:sz="4" w:space="0" w:color="auto"/>
              <w:left w:val="single" w:sz="4" w:space="0" w:color="auto"/>
            </w:tcBorders>
            <w:shd w:val="clear" w:color="auto" w:fill="FFFFFF"/>
            <w:vAlign w:val="bottom"/>
          </w:tcPr>
          <w:p w14:paraId="6F1D8D45"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bottom"/>
          </w:tcPr>
          <w:p w14:paraId="5BC184CE"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bottom"/>
          </w:tcPr>
          <w:p w14:paraId="2A10ACAD"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25</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bottom"/>
          </w:tcPr>
          <w:p w14:paraId="5CBD3A8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EER</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bottom"/>
          </w:tcPr>
          <w:p w14:paraId="627AD9B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1DFEC2F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285692CD" w14:textId="77777777" w:rsidTr="0027701C">
        <w:trPr>
          <w:jc w:val="center"/>
        </w:trPr>
        <w:tc>
          <w:tcPr>
            <w:tcW w:w="1681" w:type="dxa"/>
            <w:tcBorders>
              <w:top w:val="single" w:sz="4" w:space="0" w:color="auto"/>
              <w:left w:val="single" w:sz="4" w:space="0" w:color="auto"/>
            </w:tcBorders>
            <w:shd w:val="clear" w:color="auto" w:fill="FFFFFF"/>
            <w:vAlign w:val="bottom"/>
          </w:tcPr>
          <w:p w14:paraId="5830DD2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20</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bottom"/>
          </w:tcPr>
          <w:p w14:paraId="65A17523"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dc</w:t>
            </w:r>
          </w:p>
        </w:tc>
        <w:tc>
          <w:tcPr>
            <w:tcW w:w="880" w:type="dxa"/>
            <w:tcBorders>
              <w:top w:val="single" w:sz="4" w:space="0" w:color="auto"/>
              <w:left w:val="single" w:sz="4" w:space="0" w:color="auto"/>
            </w:tcBorders>
            <w:shd w:val="clear" w:color="auto" w:fill="FFFFFF"/>
            <w:vAlign w:val="bottom"/>
          </w:tcPr>
          <w:p w14:paraId="7E17BA98"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bottom"/>
          </w:tcPr>
          <w:p w14:paraId="6F5E5539"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bottom"/>
          </w:tcPr>
          <w:p w14:paraId="10F85D3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20</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bottom"/>
          </w:tcPr>
          <w:p w14:paraId="231D34B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EER</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bottom"/>
          </w:tcPr>
          <w:p w14:paraId="327D191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0439614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303249BF" w14:textId="77777777" w:rsidTr="0027701C">
        <w:trPr>
          <w:trHeight w:val="331"/>
          <w:jc w:val="center"/>
        </w:trPr>
        <w:tc>
          <w:tcPr>
            <w:tcW w:w="4819" w:type="dxa"/>
            <w:gridSpan w:val="5"/>
            <w:vMerge w:val="restart"/>
            <w:tcBorders>
              <w:top w:val="single" w:sz="4" w:space="0" w:color="auto"/>
              <w:left w:val="single" w:sz="4" w:space="0" w:color="auto"/>
            </w:tcBorders>
            <w:shd w:val="clear" w:color="auto" w:fill="FFFFFF"/>
            <w:vAlign w:val="center"/>
          </w:tcPr>
          <w:p w14:paraId="1C4A956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 xml:space="preserve">Հայտարարված հզորությունը (*) տաքացման ռեժիմում ջեռուցման միջին սեզոնի համար </w:t>
            </w:r>
            <w:r w:rsidR="0027701C" w:rsidRPr="0027701C">
              <w:rPr>
                <w:rStyle w:val="Bodytext211pt"/>
                <w:rFonts w:ascii="Sylfaen" w:hAnsi="Sylfaen"/>
                <w:sz w:val="16"/>
                <w:szCs w:val="16"/>
              </w:rPr>
              <w:t>T</w:t>
            </w:r>
            <w:r w:rsidRPr="0027701C">
              <w:rPr>
                <w:rStyle w:val="Bodytext211pt"/>
                <w:rFonts w:ascii="Sylfaen" w:hAnsi="Sylfaen"/>
                <w:sz w:val="16"/>
                <w:szCs w:val="16"/>
                <w:vertAlign w:val="subscript"/>
              </w:rPr>
              <w:t>in</w:t>
            </w:r>
            <w:r w:rsidRPr="0027701C">
              <w:rPr>
                <w:rStyle w:val="Bodytext211pt"/>
                <w:rFonts w:ascii="Sylfaen" w:hAnsi="Sylfaen"/>
                <w:sz w:val="16"/>
                <w:szCs w:val="16"/>
              </w:rPr>
              <w:t xml:space="preserve">= </w:t>
            </w:r>
            <w:r w:rsidR="0027701C" w:rsidRPr="0027701C">
              <w:rPr>
                <w:rStyle w:val="Bodytext211pt"/>
                <w:rFonts w:ascii="Sylfaen" w:hAnsi="Sylfaen"/>
                <w:sz w:val="16"/>
                <w:szCs w:val="16"/>
              </w:rPr>
              <w:t>20</w:t>
            </w:r>
            <w:r w:rsidRPr="0027701C">
              <w:rPr>
                <w:rStyle w:val="Bodytext211pt"/>
                <w:rFonts w:ascii="Sylfaen" w:hAnsi="Sylfaen"/>
                <w:sz w:val="16"/>
                <w:szCs w:val="16"/>
              </w:rPr>
              <w:t xml:space="preserve"> °C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c>
          <w:tcPr>
            <w:tcW w:w="5160" w:type="dxa"/>
            <w:gridSpan w:val="7"/>
            <w:vMerge w:val="restart"/>
            <w:tcBorders>
              <w:top w:val="single" w:sz="4" w:space="0" w:color="auto"/>
              <w:left w:val="single" w:sz="4" w:space="0" w:color="auto"/>
              <w:right w:val="single" w:sz="4" w:space="0" w:color="auto"/>
            </w:tcBorders>
            <w:shd w:val="clear" w:color="auto" w:fill="FFFFFF"/>
            <w:vAlign w:val="center"/>
          </w:tcPr>
          <w:p w14:paraId="745306A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Հայտարարված էներգաարդյունավետությունը տաքացման ռեժիմում ջեռուցման միջին սեզոնի համար T</w:t>
            </w:r>
            <w:r w:rsidRPr="0027701C">
              <w:rPr>
                <w:rStyle w:val="Bodytext211pt"/>
                <w:rFonts w:ascii="Sylfaen" w:hAnsi="Sylfaen"/>
                <w:sz w:val="16"/>
                <w:szCs w:val="16"/>
                <w:vertAlign w:val="subscript"/>
              </w:rPr>
              <w:t>in</w:t>
            </w:r>
            <w:r w:rsidRPr="0027701C">
              <w:rPr>
                <w:rStyle w:val="Bodytext211pt"/>
                <w:rFonts w:ascii="Sylfaen" w:hAnsi="Sylfaen"/>
                <w:sz w:val="16"/>
                <w:szCs w:val="16"/>
              </w:rPr>
              <w:t xml:space="preserve">= </w:t>
            </w:r>
            <w:r w:rsidR="0027701C" w:rsidRPr="0027701C">
              <w:rPr>
                <w:rStyle w:val="Bodytext211pt"/>
                <w:rFonts w:ascii="Sylfaen" w:hAnsi="Sylfaen"/>
                <w:sz w:val="16"/>
                <w:szCs w:val="16"/>
              </w:rPr>
              <w:t>20</w:t>
            </w:r>
            <w:r w:rsidRPr="0027701C">
              <w:rPr>
                <w:rStyle w:val="Bodytext211pt"/>
                <w:rFonts w:ascii="Sylfaen" w:hAnsi="Sylfaen"/>
                <w:sz w:val="16"/>
                <w:szCs w:val="16"/>
              </w:rPr>
              <w:t xml:space="preserve"> °C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r>
      <w:tr w:rsidR="009338B9" w:rsidRPr="0027701C" w14:paraId="511FC991" w14:textId="77777777" w:rsidTr="0027701C">
        <w:trPr>
          <w:trHeight w:val="331"/>
          <w:jc w:val="center"/>
        </w:trPr>
        <w:tc>
          <w:tcPr>
            <w:tcW w:w="4819" w:type="dxa"/>
            <w:gridSpan w:val="5"/>
            <w:vMerge/>
            <w:tcBorders>
              <w:left w:val="single" w:sz="4" w:space="0" w:color="auto"/>
              <w:bottom w:val="single" w:sz="4" w:space="0" w:color="auto"/>
            </w:tcBorders>
            <w:shd w:val="clear" w:color="auto" w:fill="FFFFFF"/>
            <w:vAlign w:val="bottom"/>
          </w:tcPr>
          <w:p w14:paraId="1443F696" w14:textId="77777777" w:rsidR="009338B9" w:rsidRPr="0027701C" w:rsidRDefault="009338B9" w:rsidP="008E78DD">
            <w:pPr>
              <w:spacing w:after="120"/>
              <w:rPr>
                <w:rFonts w:ascii="Sylfaen" w:hAnsi="Sylfaen"/>
                <w:sz w:val="16"/>
                <w:szCs w:val="16"/>
              </w:rPr>
            </w:pPr>
          </w:p>
        </w:tc>
        <w:tc>
          <w:tcPr>
            <w:tcW w:w="5160" w:type="dxa"/>
            <w:gridSpan w:val="7"/>
            <w:vMerge/>
            <w:tcBorders>
              <w:left w:val="single" w:sz="4" w:space="0" w:color="auto"/>
              <w:bottom w:val="single" w:sz="4" w:space="0" w:color="auto"/>
              <w:right w:val="single" w:sz="4" w:space="0" w:color="auto"/>
            </w:tcBorders>
            <w:shd w:val="clear" w:color="auto" w:fill="FFFFFF"/>
            <w:vAlign w:val="bottom"/>
          </w:tcPr>
          <w:p w14:paraId="0E5795F0" w14:textId="77777777" w:rsidR="009338B9" w:rsidRPr="0027701C" w:rsidRDefault="009338B9" w:rsidP="008E78DD">
            <w:pPr>
              <w:spacing w:after="120"/>
              <w:rPr>
                <w:rFonts w:ascii="Sylfaen" w:hAnsi="Sylfaen"/>
                <w:sz w:val="16"/>
                <w:szCs w:val="16"/>
              </w:rPr>
            </w:pPr>
          </w:p>
        </w:tc>
      </w:tr>
      <w:tr w:rsidR="009338B9" w:rsidRPr="0027701C" w14:paraId="079BC344" w14:textId="77777777" w:rsidTr="0027701C">
        <w:trPr>
          <w:jc w:val="center"/>
        </w:trPr>
        <w:tc>
          <w:tcPr>
            <w:tcW w:w="1681" w:type="dxa"/>
            <w:tcBorders>
              <w:top w:val="single" w:sz="4" w:space="0" w:color="auto"/>
              <w:left w:val="single" w:sz="4" w:space="0" w:color="auto"/>
            </w:tcBorders>
            <w:shd w:val="clear" w:color="auto" w:fill="FFFFFF"/>
            <w:vAlign w:val="center"/>
          </w:tcPr>
          <w:p w14:paraId="4B848E0D"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374A626A"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3BAE403E"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6E36C28"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7DB9080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3E75078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2AAE6E9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00D507E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36C1622E" w14:textId="77777777" w:rsidTr="0027701C">
        <w:trPr>
          <w:jc w:val="center"/>
        </w:trPr>
        <w:tc>
          <w:tcPr>
            <w:tcW w:w="1681" w:type="dxa"/>
            <w:tcBorders>
              <w:top w:val="single" w:sz="4" w:space="0" w:color="auto"/>
              <w:left w:val="single" w:sz="4" w:space="0" w:color="auto"/>
            </w:tcBorders>
            <w:shd w:val="clear" w:color="auto" w:fill="FFFFFF"/>
            <w:vAlign w:val="center"/>
          </w:tcPr>
          <w:p w14:paraId="7D9EC59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2</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4F0F3EE8"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16ED350F"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5192DB5"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51FB478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2</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2FF2F60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16D5666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13C63A9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152E918F" w14:textId="77777777" w:rsidTr="0027701C">
        <w:trPr>
          <w:jc w:val="center"/>
        </w:trPr>
        <w:tc>
          <w:tcPr>
            <w:tcW w:w="1681" w:type="dxa"/>
            <w:tcBorders>
              <w:top w:val="single" w:sz="4" w:space="0" w:color="auto"/>
              <w:left w:val="single" w:sz="4" w:space="0" w:color="auto"/>
            </w:tcBorders>
            <w:shd w:val="clear" w:color="auto" w:fill="FFFFFF"/>
            <w:vAlign w:val="center"/>
          </w:tcPr>
          <w:p w14:paraId="33E05D9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4172823B"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60FAE341"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13ED1BF1"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0A55B28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14AEFE4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185D885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574535D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405AFDCE" w14:textId="77777777" w:rsidTr="0027701C">
        <w:trPr>
          <w:jc w:val="center"/>
        </w:trPr>
        <w:tc>
          <w:tcPr>
            <w:tcW w:w="1681" w:type="dxa"/>
            <w:tcBorders>
              <w:top w:val="single" w:sz="4" w:space="0" w:color="auto"/>
              <w:left w:val="single" w:sz="4" w:space="0" w:color="auto"/>
            </w:tcBorders>
            <w:shd w:val="clear" w:color="auto" w:fill="FFFFFF"/>
            <w:vAlign w:val="center"/>
          </w:tcPr>
          <w:p w14:paraId="3692CD6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12</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38DDBF15"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2DF84EFD"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9FB08E4"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1E90E98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sidRPr="0027701C">
              <w:rPr>
                <w:rStyle w:val="Bodytext211pt"/>
                <w:rFonts w:ascii="Sylfaen" w:hAnsi="Sylfaen"/>
                <w:sz w:val="16"/>
                <w:szCs w:val="16"/>
                <w:lang w:val="en-US"/>
              </w:rPr>
              <w:t>12</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385B733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27603EB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32534A6D"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797BA853" w14:textId="77777777" w:rsidTr="0027701C">
        <w:trPr>
          <w:jc w:val="center"/>
        </w:trPr>
        <w:tc>
          <w:tcPr>
            <w:tcW w:w="1681" w:type="dxa"/>
            <w:tcBorders>
              <w:top w:val="single" w:sz="4" w:space="0" w:color="auto"/>
              <w:left w:val="single" w:sz="4" w:space="0" w:color="auto"/>
            </w:tcBorders>
            <w:shd w:val="clear" w:color="auto" w:fill="FFFFFF"/>
            <w:vAlign w:val="center"/>
          </w:tcPr>
          <w:p w14:paraId="7DC7A93D"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biv</w:t>
            </w:r>
          </w:p>
        </w:tc>
        <w:tc>
          <w:tcPr>
            <w:tcW w:w="1276" w:type="dxa"/>
            <w:tcBorders>
              <w:top w:val="single" w:sz="4" w:space="0" w:color="auto"/>
              <w:left w:val="single" w:sz="4" w:space="0" w:color="auto"/>
            </w:tcBorders>
            <w:shd w:val="clear" w:color="auto" w:fill="FFFFFF"/>
            <w:vAlign w:val="center"/>
          </w:tcPr>
          <w:p w14:paraId="6FB48E74"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7CC9FDBC"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6C181067"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723A2A0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biv</w:t>
            </w:r>
          </w:p>
        </w:tc>
        <w:tc>
          <w:tcPr>
            <w:tcW w:w="1247" w:type="dxa"/>
            <w:gridSpan w:val="2"/>
            <w:tcBorders>
              <w:top w:val="single" w:sz="4" w:space="0" w:color="auto"/>
              <w:left w:val="single" w:sz="4" w:space="0" w:color="auto"/>
            </w:tcBorders>
            <w:shd w:val="clear" w:color="auto" w:fill="FFFFFF"/>
            <w:vAlign w:val="center"/>
          </w:tcPr>
          <w:p w14:paraId="3C6BADC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09F5A32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2F80C11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4D3DDC46" w14:textId="77777777" w:rsidTr="0027701C">
        <w:trPr>
          <w:jc w:val="center"/>
        </w:trPr>
        <w:tc>
          <w:tcPr>
            <w:tcW w:w="1681" w:type="dxa"/>
            <w:tcBorders>
              <w:top w:val="single" w:sz="4" w:space="0" w:color="auto"/>
              <w:left w:val="single" w:sz="4" w:space="0" w:color="auto"/>
            </w:tcBorders>
            <w:shd w:val="clear" w:color="auto" w:fill="FFFFFF"/>
            <w:vAlign w:val="bottom"/>
          </w:tcPr>
          <w:p w14:paraId="17F581B9" w14:textId="77777777" w:rsidR="009338B9" w:rsidRPr="0027701C" w:rsidRDefault="009338B9" w:rsidP="008E78DD">
            <w:pPr>
              <w:pStyle w:val="Bodytext20"/>
              <w:spacing w:after="120" w:line="240" w:lineRule="auto"/>
              <w:ind w:left="180"/>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ol</w:t>
            </w:r>
          </w:p>
        </w:tc>
        <w:tc>
          <w:tcPr>
            <w:tcW w:w="1276" w:type="dxa"/>
            <w:tcBorders>
              <w:top w:val="single" w:sz="4" w:space="0" w:color="auto"/>
              <w:left w:val="single" w:sz="4" w:space="0" w:color="auto"/>
            </w:tcBorders>
            <w:shd w:val="clear" w:color="auto" w:fill="FFFFFF"/>
            <w:vAlign w:val="bottom"/>
          </w:tcPr>
          <w:p w14:paraId="407E5C91"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bottom"/>
          </w:tcPr>
          <w:p w14:paraId="4AB1EFA8"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bottom"/>
          </w:tcPr>
          <w:p w14:paraId="2743D6BA"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bottom"/>
          </w:tcPr>
          <w:p w14:paraId="7091571D"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ol</w:t>
            </w:r>
          </w:p>
        </w:tc>
        <w:tc>
          <w:tcPr>
            <w:tcW w:w="1247" w:type="dxa"/>
            <w:gridSpan w:val="2"/>
            <w:tcBorders>
              <w:top w:val="single" w:sz="4" w:space="0" w:color="auto"/>
              <w:left w:val="single" w:sz="4" w:space="0" w:color="auto"/>
            </w:tcBorders>
            <w:shd w:val="clear" w:color="auto" w:fill="FFFFFF"/>
            <w:vAlign w:val="bottom"/>
          </w:tcPr>
          <w:p w14:paraId="12C7E08F"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bottom"/>
          </w:tcPr>
          <w:p w14:paraId="18FE8C8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7861712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5680EAF5" w14:textId="77777777" w:rsidTr="0027701C">
        <w:trPr>
          <w:jc w:val="center"/>
        </w:trPr>
        <w:tc>
          <w:tcPr>
            <w:tcW w:w="4819" w:type="dxa"/>
            <w:gridSpan w:val="5"/>
            <w:tcBorders>
              <w:top w:val="single" w:sz="4" w:space="0" w:color="auto"/>
              <w:left w:val="single" w:sz="4" w:space="0" w:color="auto"/>
            </w:tcBorders>
            <w:shd w:val="clear" w:color="auto" w:fill="FFFFFF"/>
            <w:vAlign w:val="center"/>
          </w:tcPr>
          <w:p w14:paraId="593848D0"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Հայտարարված հզորությունը (*) տաքացման ռեժիմում ջեռուցման ավելի տաք սեզոնի համար T</w:t>
            </w:r>
            <w:r w:rsidRPr="0027701C">
              <w:rPr>
                <w:rStyle w:val="Bodytext211pt"/>
                <w:rFonts w:ascii="Sylfaen" w:hAnsi="Sylfaen"/>
                <w:sz w:val="16"/>
                <w:szCs w:val="16"/>
                <w:vertAlign w:val="subscript"/>
              </w:rPr>
              <w:t>in</w:t>
            </w:r>
            <w:r w:rsidRPr="0027701C">
              <w:rPr>
                <w:rStyle w:val="Bodytext211pt"/>
                <w:rFonts w:ascii="Sylfaen" w:hAnsi="Sylfaen"/>
                <w:sz w:val="16"/>
                <w:szCs w:val="16"/>
              </w:rPr>
              <w:t xml:space="preserve">= </w:t>
            </w:r>
            <w:smartTag w:uri="urn:schemas-microsoft-com:office:smarttags" w:element="metricconverter">
              <w:smartTagPr>
                <w:attr w:name="ProductID" w:val="20 °C"/>
              </w:smartTagPr>
              <w:r w:rsidRPr="0027701C">
                <w:rPr>
                  <w:rStyle w:val="Bodytext211pt"/>
                  <w:rFonts w:ascii="Sylfaen" w:hAnsi="Sylfaen"/>
                  <w:sz w:val="16"/>
                  <w:szCs w:val="16"/>
                </w:rPr>
                <w:t>20 °C</w:t>
              </w:r>
            </w:smartTag>
            <w:r w:rsidRPr="0027701C">
              <w:rPr>
                <w:rStyle w:val="Bodytext211pt"/>
                <w:rFonts w:ascii="Sylfaen" w:hAnsi="Sylfaen"/>
                <w:sz w:val="16"/>
                <w:szCs w:val="16"/>
              </w:rPr>
              <w:t xml:space="preserve">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c>
          <w:tcPr>
            <w:tcW w:w="5160" w:type="dxa"/>
            <w:gridSpan w:val="7"/>
            <w:tcBorders>
              <w:top w:val="single" w:sz="4" w:space="0" w:color="auto"/>
              <w:left w:val="single" w:sz="4" w:space="0" w:color="auto"/>
              <w:right w:val="single" w:sz="4" w:space="0" w:color="auto"/>
            </w:tcBorders>
            <w:shd w:val="clear" w:color="auto" w:fill="FFFFFF"/>
            <w:vAlign w:val="center"/>
          </w:tcPr>
          <w:p w14:paraId="5F4E362B"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Հայտարարված էներգաարդյունավետությունը տաքացման ռեժիմում ջեռուցման ավելի տաք սեզոնի համար T</w:t>
            </w:r>
            <w:r w:rsidRPr="0027701C">
              <w:rPr>
                <w:rStyle w:val="Bodytext211pt"/>
                <w:rFonts w:ascii="Sylfaen" w:hAnsi="Sylfaen"/>
                <w:sz w:val="16"/>
                <w:szCs w:val="16"/>
                <w:vertAlign w:val="subscript"/>
              </w:rPr>
              <w:t>in</w:t>
            </w:r>
            <w:r w:rsidRPr="0027701C">
              <w:rPr>
                <w:rStyle w:val="Bodytext211pt"/>
                <w:rFonts w:ascii="Sylfaen" w:hAnsi="Sylfaen"/>
                <w:sz w:val="16"/>
                <w:szCs w:val="16"/>
              </w:rPr>
              <w:t xml:space="preserve">= </w:t>
            </w:r>
            <w:smartTag w:uri="urn:schemas-microsoft-com:office:smarttags" w:element="metricconverter">
              <w:smartTagPr>
                <w:attr w:name="ProductID" w:val="20 °C"/>
              </w:smartTagPr>
              <w:r w:rsidRPr="0027701C">
                <w:rPr>
                  <w:rStyle w:val="Bodytext211pt"/>
                  <w:rFonts w:ascii="Sylfaen" w:hAnsi="Sylfaen"/>
                  <w:sz w:val="16"/>
                  <w:szCs w:val="16"/>
                </w:rPr>
                <w:t>20 °C</w:t>
              </w:r>
            </w:smartTag>
            <w:r w:rsidRPr="0027701C">
              <w:rPr>
                <w:rStyle w:val="Bodytext211pt"/>
                <w:rFonts w:ascii="Sylfaen" w:hAnsi="Sylfaen"/>
                <w:sz w:val="16"/>
                <w:szCs w:val="16"/>
              </w:rPr>
              <w:t xml:space="preserve">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r>
      <w:tr w:rsidR="009338B9" w:rsidRPr="0027701C" w14:paraId="734E3EF5" w14:textId="77777777" w:rsidTr="0027701C">
        <w:trPr>
          <w:jc w:val="center"/>
        </w:trPr>
        <w:tc>
          <w:tcPr>
            <w:tcW w:w="4819" w:type="dxa"/>
            <w:gridSpan w:val="5"/>
            <w:tcBorders>
              <w:top w:val="single" w:sz="4" w:space="0" w:color="auto"/>
              <w:left w:val="single" w:sz="4" w:space="0" w:color="auto"/>
            </w:tcBorders>
            <w:shd w:val="clear" w:color="auto" w:fill="FFFFFF"/>
            <w:vAlign w:val="center"/>
          </w:tcPr>
          <w:p w14:paraId="2AC2A2F4"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Հայտարարված հզորությունը (*) տաքացման ռեժիմում «ավելի ցուրտ» ջեռուցման սեզոնի համար T</w:t>
            </w:r>
            <w:r w:rsidRPr="0027701C">
              <w:rPr>
                <w:rStyle w:val="Bodytext211pt"/>
                <w:rFonts w:ascii="Sylfaen" w:hAnsi="Sylfaen"/>
                <w:sz w:val="16"/>
                <w:szCs w:val="16"/>
                <w:vertAlign w:val="subscript"/>
              </w:rPr>
              <w:t>in</w:t>
            </w:r>
            <w:r w:rsidRPr="0027701C">
              <w:rPr>
                <w:rStyle w:val="Bodytext211pt"/>
                <w:rFonts w:ascii="Sylfaen" w:hAnsi="Sylfaen"/>
                <w:sz w:val="16"/>
                <w:szCs w:val="16"/>
              </w:rPr>
              <w:t xml:space="preserve">= </w:t>
            </w:r>
            <w:smartTag w:uri="urn:schemas-microsoft-com:office:smarttags" w:element="metricconverter">
              <w:smartTagPr>
                <w:attr w:name="ProductID" w:val="20 °C"/>
              </w:smartTagPr>
              <w:r w:rsidRPr="0027701C">
                <w:rPr>
                  <w:rStyle w:val="Bodytext211pt"/>
                  <w:rFonts w:ascii="Sylfaen" w:hAnsi="Sylfaen"/>
                  <w:sz w:val="16"/>
                  <w:szCs w:val="16"/>
                </w:rPr>
                <w:t>20 °C</w:t>
              </w:r>
            </w:smartTag>
            <w:r w:rsidRPr="0027701C">
              <w:rPr>
                <w:rStyle w:val="Bodytext211pt"/>
                <w:rFonts w:ascii="Sylfaen" w:hAnsi="Sylfaen"/>
                <w:sz w:val="16"/>
                <w:szCs w:val="16"/>
              </w:rPr>
              <w:t xml:space="preserve">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c>
          <w:tcPr>
            <w:tcW w:w="5160" w:type="dxa"/>
            <w:gridSpan w:val="7"/>
            <w:tcBorders>
              <w:top w:val="single" w:sz="4" w:space="0" w:color="auto"/>
              <w:left w:val="single" w:sz="4" w:space="0" w:color="auto"/>
              <w:right w:val="single" w:sz="4" w:space="0" w:color="auto"/>
            </w:tcBorders>
            <w:shd w:val="clear" w:color="auto" w:fill="FFFFFF"/>
            <w:vAlign w:val="center"/>
          </w:tcPr>
          <w:p w14:paraId="07F23E57" w14:textId="77777777" w:rsidR="009338B9" w:rsidRPr="0027701C" w:rsidRDefault="009338B9" w:rsidP="008E78DD">
            <w:pPr>
              <w:pStyle w:val="Bodytext20"/>
              <w:spacing w:after="120" w:line="240" w:lineRule="auto"/>
              <w:ind w:left="320"/>
              <w:rPr>
                <w:rFonts w:ascii="Sylfaen" w:hAnsi="Sylfaen"/>
                <w:sz w:val="16"/>
                <w:szCs w:val="16"/>
              </w:rPr>
            </w:pPr>
            <w:r w:rsidRPr="0027701C">
              <w:rPr>
                <w:rStyle w:val="Bodytext211pt"/>
                <w:rFonts w:ascii="Sylfaen" w:hAnsi="Sylfaen"/>
                <w:sz w:val="16"/>
                <w:szCs w:val="16"/>
              </w:rPr>
              <w:t>Հայտարարված էներգաարդյունավետությունը տաքացման ռեժիմում «ավելի ցուրտ» ջեռուցման սեզոնի համար T</w:t>
            </w:r>
            <w:r w:rsidRPr="0027701C">
              <w:rPr>
                <w:rStyle w:val="Bodytext211pt"/>
                <w:rFonts w:ascii="Sylfaen" w:hAnsi="Sylfaen"/>
                <w:sz w:val="16"/>
                <w:szCs w:val="16"/>
                <w:vertAlign w:val="subscript"/>
              </w:rPr>
              <w:t>in</w:t>
            </w:r>
            <w:r w:rsidRPr="0027701C">
              <w:rPr>
                <w:rStyle w:val="Bodytext211pt"/>
                <w:rFonts w:ascii="Sylfaen" w:hAnsi="Sylfaen"/>
                <w:sz w:val="16"/>
                <w:szCs w:val="16"/>
              </w:rPr>
              <w:t xml:space="preserve">= </w:t>
            </w:r>
            <w:smartTag w:uri="urn:schemas-microsoft-com:office:smarttags" w:element="metricconverter">
              <w:smartTagPr>
                <w:attr w:name="ProductID" w:val="20 °C"/>
              </w:smartTagPr>
              <w:r w:rsidRPr="0027701C">
                <w:rPr>
                  <w:rStyle w:val="Bodytext211pt"/>
                  <w:rFonts w:ascii="Sylfaen" w:hAnsi="Sylfaen"/>
                  <w:sz w:val="16"/>
                  <w:szCs w:val="16"/>
                </w:rPr>
                <w:t>20 °C</w:t>
              </w:r>
            </w:smartTag>
            <w:r w:rsidRPr="0027701C">
              <w:rPr>
                <w:rStyle w:val="Bodytext211pt"/>
                <w:rFonts w:ascii="Sylfaen" w:hAnsi="Sylfaen"/>
                <w:sz w:val="16"/>
                <w:szCs w:val="16"/>
              </w:rPr>
              <w:t xml:space="preserve"> դեպքում՝ հետեւյալ T</w:t>
            </w:r>
            <w:r w:rsidRPr="0027701C">
              <w:rPr>
                <w:rStyle w:val="Bodytext211pt"/>
                <w:rFonts w:ascii="Sylfaen" w:hAnsi="Sylfaen"/>
                <w:sz w:val="16"/>
                <w:szCs w:val="16"/>
                <w:vertAlign w:val="subscript"/>
              </w:rPr>
              <w:t>j</w:t>
            </w:r>
            <w:r w:rsidRPr="0027701C">
              <w:rPr>
                <w:rStyle w:val="Bodytext211pt"/>
                <w:rFonts w:ascii="Sylfaen" w:hAnsi="Sylfaen"/>
                <w:sz w:val="16"/>
                <w:szCs w:val="16"/>
              </w:rPr>
              <w:t>-ի համար</w:t>
            </w:r>
          </w:p>
        </w:tc>
      </w:tr>
      <w:tr w:rsidR="009338B9" w:rsidRPr="0027701C" w14:paraId="56EDB698" w14:textId="77777777" w:rsidTr="0027701C">
        <w:trPr>
          <w:jc w:val="center"/>
        </w:trPr>
        <w:tc>
          <w:tcPr>
            <w:tcW w:w="1681" w:type="dxa"/>
            <w:tcBorders>
              <w:top w:val="single" w:sz="4" w:space="0" w:color="auto"/>
              <w:left w:val="single" w:sz="4" w:space="0" w:color="auto"/>
            </w:tcBorders>
            <w:shd w:val="clear" w:color="auto" w:fill="FFFFFF"/>
            <w:vAlign w:val="center"/>
          </w:tcPr>
          <w:p w14:paraId="1BD2356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6A57F973"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4C0997BA"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70EAA71"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78AD6BC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300D342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0597455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174BEDC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7FBD9233" w14:textId="77777777" w:rsidTr="0027701C">
        <w:trPr>
          <w:jc w:val="center"/>
        </w:trPr>
        <w:tc>
          <w:tcPr>
            <w:tcW w:w="1681" w:type="dxa"/>
            <w:tcBorders>
              <w:top w:val="single" w:sz="4" w:space="0" w:color="auto"/>
              <w:left w:val="single" w:sz="4" w:space="0" w:color="auto"/>
            </w:tcBorders>
            <w:shd w:val="clear" w:color="auto" w:fill="FFFFFF"/>
            <w:vAlign w:val="center"/>
          </w:tcPr>
          <w:p w14:paraId="7882D41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2</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4E102FC8"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5E05DE00"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22297BE"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2424238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2</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19739ACF"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0306A37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30BA8CF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4D22077F" w14:textId="77777777" w:rsidTr="0027701C">
        <w:trPr>
          <w:jc w:val="center"/>
        </w:trPr>
        <w:tc>
          <w:tcPr>
            <w:tcW w:w="1681" w:type="dxa"/>
            <w:tcBorders>
              <w:top w:val="single" w:sz="4" w:space="0" w:color="auto"/>
              <w:left w:val="single" w:sz="4" w:space="0" w:color="auto"/>
            </w:tcBorders>
            <w:shd w:val="clear" w:color="auto" w:fill="FFFFFF"/>
            <w:vAlign w:val="center"/>
          </w:tcPr>
          <w:p w14:paraId="269EBC8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32B2F5E3"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168FC874"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509CC74"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03F54E7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7</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74CFFA4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69C167D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3BB941E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70F34741" w14:textId="77777777" w:rsidTr="0027701C">
        <w:trPr>
          <w:jc w:val="center"/>
        </w:trPr>
        <w:tc>
          <w:tcPr>
            <w:tcW w:w="1681" w:type="dxa"/>
            <w:tcBorders>
              <w:top w:val="single" w:sz="4" w:space="0" w:color="auto"/>
              <w:left w:val="single" w:sz="4" w:space="0" w:color="auto"/>
            </w:tcBorders>
            <w:shd w:val="clear" w:color="auto" w:fill="FFFFFF"/>
            <w:vAlign w:val="center"/>
          </w:tcPr>
          <w:p w14:paraId="2D865F0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12</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16F8DC8D"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6431BF7F"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638C66C4"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1C4F622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12</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2C75D3D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3F4D2FE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0F34A03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1E69D027" w14:textId="77777777" w:rsidTr="0027701C">
        <w:trPr>
          <w:jc w:val="center"/>
        </w:trPr>
        <w:tc>
          <w:tcPr>
            <w:tcW w:w="1681" w:type="dxa"/>
            <w:tcBorders>
              <w:top w:val="single" w:sz="4" w:space="0" w:color="auto"/>
              <w:left w:val="single" w:sz="4" w:space="0" w:color="auto"/>
            </w:tcBorders>
            <w:shd w:val="clear" w:color="auto" w:fill="FFFFFF"/>
            <w:vAlign w:val="center"/>
          </w:tcPr>
          <w:p w14:paraId="40016A5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biv</w:t>
            </w:r>
          </w:p>
        </w:tc>
        <w:tc>
          <w:tcPr>
            <w:tcW w:w="1276" w:type="dxa"/>
            <w:tcBorders>
              <w:top w:val="single" w:sz="4" w:space="0" w:color="auto"/>
              <w:left w:val="single" w:sz="4" w:space="0" w:color="auto"/>
            </w:tcBorders>
            <w:shd w:val="clear" w:color="auto" w:fill="FFFFFF"/>
            <w:vAlign w:val="center"/>
          </w:tcPr>
          <w:p w14:paraId="1158A03D"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1007EC7A"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1B07AD29"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108AB12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biv</w:t>
            </w:r>
          </w:p>
        </w:tc>
        <w:tc>
          <w:tcPr>
            <w:tcW w:w="1247" w:type="dxa"/>
            <w:gridSpan w:val="2"/>
            <w:tcBorders>
              <w:top w:val="single" w:sz="4" w:space="0" w:color="auto"/>
              <w:left w:val="single" w:sz="4" w:space="0" w:color="auto"/>
            </w:tcBorders>
            <w:shd w:val="clear" w:color="auto" w:fill="FFFFFF"/>
            <w:vAlign w:val="center"/>
          </w:tcPr>
          <w:p w14:paraId="33BABB93"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1DBAB5C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1EDCF9D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4A0F1919" w14:textId="77777777" w:rsidTr="0027701C">
        <w:trPr>
          <w:jc w:val="center"/>
        </w:trPr>
        <w:tc>
          <w:tcPr>
            <w:tcW w:w="1681" w:type="dxa"/>
            <w:tcBorders>
              <w:top w:val="single" w:sz="4" w:space="0" w:color="auto"/>
              <w:left w:val="single" w:sz="4" w:space="0" w:color="auto"/>
            </w:tcBorders>
            <w:shd w:val="clear" w:color="auto" w:fill="FFFFFF"/>
            <w:vAlign w:val="center"/>
          </w:tcPr>
          <w:p w14:paraId="5C63253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T</w:t>
            </w:r>
            <w:r w:rsidRPr="0027701C">
              <w:rPr>
                <w:rStyle w:val="Bodytext211pt"/>
                <w:rFonts w:ascii="Sylfaen" w:hAnsi="Sylfaen"/>
                <w:sz w:val="16"/>
                <w:szCs w:val="16"/>
                <w:vertAlign w:val="subscript"/>
              </w:rPr>
              <w:t>ol</w:t>
            </w:r>
          </w:p>
        </w:tc>
        <w:tc>
          <w:tcPr>
            <w:tcW w:w="1276" w:type="dxa"/>
            <w:tcBorders>
              <w:top w:val="single" w:sz="4" w:space="0" w:color="auto"/>
              <w:left w:val="single" w:sz="4" w:space="0" w:color="auto"/>
            </w:tcBorders>
            <w:shd w:val="clear" w:color="auto" w:fill="FFFFFF"/>
            <w:vAlign w:val="center"/>
          </w:tcPr>
          <w:p w14:paraId="62984A0F"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075E046F"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3CDCC7C7"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7CE8F2A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 xml:space="preserve">j </w:t>
            </w:r>
            <w:r w:rsidRPr="0027701C">
              <w:rPr>
                <w:rStyle w:val="Bodytext211pt"/>
                <w:rFonts w:ascii="Sylfaen" w:hAnsi="Sylfaen"/>
                <w:sz w:val="16"/>
                <w:szCs w:val="16"/>
              </w:rPr>
              <w:t>= T</w:t>
            </w:r>
            <w:r w:rsidRPr="0027701C">
              <w:rPr>
                <w:rStyle w:val="Bodytext211pt"/>
                <w:rFonts w:ascii="Sylfaen" w:hAnsi="Sylfaen"/>
                <w:sz w:val="16"/>
                <w:szCs w:val="16"/>
                <w:vertAlign w:val="subscript"/>
              </w:rPr>
              <w:t>ol</w:t>
            </w:r>
          </w:p>
        </w:tc>
        <w:tc>
          <w:tcPr>
            <w:tcW w:w="1247" w:type="dxa"/>
            <w:gridSpan w:val="2"/>
            <w:tcBorders>
              <w:top w:val="single" w:sz="4" w:space="0" w:color="auto"/>
              <w:left w:val="single" w:sz="4" w:space="0" w:color="auto"/>
            </w:tcBorders>
            <w:shd w:val="clear" w:color="auto" w:fill="FFFFFF"/>
            <w:vAlign w:val="center"/>
          </w:tcPr>
          <w:p w14:paraId="0FB12CC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1B0FDF4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4AF592D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0EFD2726" w14:textId="77777777" w:rsidTr="0027701C">
        <w:trPr>
          <w:jc w:val="center"/>
        </w:trPr>
        <w:tc>
          <w:tcPr>
            <w:tcW w:w="1681" w:type="dxa"/>
            <w:tcBorders>
              <w:top w:val="single" w:sz="4" w:space="0" w:color="auto"/>
              <w:left w:val="single" w:sz="4" w:space="0" w:color="auto"/>
            </w:tcBorders>
            <w:shd w:val="clear" w:color="auto" w:fill="FFFFFF"/>
            <w:vAlign w:val="center"/>
          </w:tcPr>
          <w:p w14:paraId="4042A98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15</w:t>
            </w:r>
            <w:r w:rsidRPr="0027701C">
              <w:rPr>
                <w:rStyle w:val="Bodytext211pt"/>
                <w:rFonts w:ascii="Sylfaen" w:hAnsi="Sylfaen"/>
                <w:sz w:val="16"/>
                <w:szCs w:val="16"/>
              </w:rPr>
              <w:t xml:space="preserve"> °C</w:t>
            </w:r>
          </w:p>
        </w:tc>
        <w:tc>
          <w:tcPr>
            <w:tcW w:w="1276" w:type="dxa"/>
            <w:tcBorders>
              <w:top w:val="single" w:sz="4" w:space="0" w:color="auto"/>
              <w:left w:val="single" w:sz="4" w:space="0" w:color="auto"/>
            </w:tcBorders>
            <w:shd w:val="clear" w:color="auto" w:fill="FFFFFF"/>
            <w:vAlign w:val="center"/>
          </w:tcPr>
          <w:p w14:paraId="586D7009"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dh</w:t>
            </w:r>
          </w:p>
        </w:tc>
        <w:tc>
          <w:tcPr>
            <w:tcW w:w="880" w:type="dxa"/>
            <w:tcBorders>
              <w:top w:val="single" w:sz="4" w:space="0" w:color="auto"/>
              <w:left w:val="single" w:sz="4" w:space="0" w:color="auto"/>
            </w:tcBorders>
            <w:shd w:val="clear" w:color="auto" w:fill="FFFFFF"/>
            <w:vAlign w:val="center"/>
          </w:tcPr>
          <w:p w14:paraId="796FEF9E"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5648853F" w14:textId="77777777" w:rsidR="009338B9" w:rsidRPr="0027701C" w:rsidRDefault="009338B9" w:rsidP="0027701C">
            <w:pPr>
              <w:pStyle w:val="Bodytext20"/>
              <w:spacing w:after="120" w:line="240" w:lineRule="auto"/>
              <w:ind w:left="43"/>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372C9DAD"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j</w:t>
            </w:r>
            <w:r w:rsidRPr="0027701C">
              <w:rPr>
                <w:rStyle w:val="Bodytext211pt"/>
                <w:rFonts w:ascii="Sylfaen" w:hAnsi="Sylfaen"/>
                <w:sz w:val="16"/>
                <w:szCs w:val="16"/>
              </w:rPr>
              <w:t xml:space="preserve"> = -</w:t>
            </w:r>
            <w:r w:rsidR="0027701C">
              <w:rPr>
                <w:rStyle w:val="Bodytext211pt"/>
                <w:rFonts w:ascii="Sylfaen" w:hAnsi="Sylfaen"/>
                <w:sz w:val="16"/>
                <w:szCs w:val="16"/>
                <w:lang w:val="en-US"/>
              </w:rPr>
              <w:t>15</w:t>
            </w:r>
            <w:r w:rsidRPr="0027701C">
              <w:rPr>
                <w:rStyle w:val="Bodytext211pt"/>
                <w:rFonts w:ascii="Sylfaen" w:hAnsi="Sylfaen"/>
                <w:sz w:val="16"/>
                <w:szCs w:val="16"/>
              </w:rPr>
              <w:t xml:space="preserve"> °C</w:t>
            </w:r>
          </w:p>
        </w:tc>
        <w:tc>
          <w:tcPr>
            <w:tcW w:w="1247" w:type="dxa"/>
            <w:gridSpan w:val="2"/>
            <w:tcBorders>
              <w:top w:val="single" w:sz="4" w:space="0" w:color="auto"/>
              <w:left w:val="single" w:sz="4" w:space="0" w:color="auto"/>
            </w:tcBorders>
            <w:shd w:val="clear" w:color="auto" w:fill="FFFFFF"/>
            <w:vAlign w:val="center"/>
          </w:tcPr>
          <w:p w14:paraId="45A9BCE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d</w:t>
            </w:r>
          </w:p>
        </w:tc>
        <w:tc>
          <w:tcPr>
            <w:tcW w:w="893" w:type="dxa"/>
            <w:gridSpan w:val="2"/>
            <w:tcBorders>
              <w:top w:val="single" w:sz="4" w:space="0" w:color="auto"/>
              <w:left w:val="single" w:sz="4" w:space="0" w:color="auto"/>
            </w:tcBorders>
            <w:shd w:val="clear" w:color="auto" w:fill="FFFFFF"/>
            <w:vAlign w:val="center"/>
          </w:tcPr>
          <w:p w14:paraId="1BBFE513"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2BC3BB8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6B3EE9A9" w14:textId="77777777" w:rsidTr="0027701C">
        <w:trPr>
          <w:jc w:val="center"/>
        </w:trPr>
        <w:tc>
          <w:tcPr>
            <w:tcW w:w="4819" w:type="dxa"/>
            <w:gridSpan w:val="5"/>
            <w:tcBorders>
              <w:top w:val="single" w:sz="4" w:space="0" w:color="auto"/>
              <w:left w:val="single" w:sz="4" w:space="0" w:color="auto"/>
            </w:tcBorders>
            <w:shd w:val="clear" w:color="auto" w:fill="FFFFFF"/>
            <w:vAlign w:val="center"/>
          </w:tcPr>
          <w:p w14:paraId="20D383C5"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Կրկնակի (ռեզերվային) տաքացման ջերմաստիճանը T</w:t>
            </w:r>
            <w:r w:rsidRPr="0027701C">
              <w:rPr>
                <w:rStyle w:val="Bodytext211pt"/>
                <w:rFonts w:ascii="Sylfaen" w:hAnsi="Sylfaen"/>
                <w:sz w:val="16"/>
                <w:szCs w:val="16"/>
                <w:vertAlign w:val="subscript"/>
              </w:rPr>
              <w:t>biv</w:t>
            </w:r>
          </w:p>
        </w:tc>
        <w:tc>
          <w:tcPr>
            <w:tcW w:w="5160" w:type="dxa"/>
            <w:gridSpan w:val="7"/>
            <w:tcBorders>
              <w:top w:val="single" w:sz="4" w:space="0" w:color="auto"/>
              <w:left w:val="single" w:sz="4" w:space="0" w:color="auto"/>
              <w:right w:val="single" w:sz="4" w:space="0" w:color="auto"/>
            </w:tcBorders>
            <w:shd w:val="clear" w:color="auto" w:fill="FFFFFF"/>
            <w:vAlign w:val="center"/>
          </w:tcPr>
          <w:p w14:paraId="6D72E16C"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Աշխատանքային ջերմաստիճանի սահմանային արժեքը, °C T</w:t>
            </w:r>
            <w:r w:rsidRPr="0027701C">
              <w:rPr>
                <w:rStyle w:val="Bodytext211pt"/>
                <w:rFonts w:ascii="Sylfaen" w:hAnsi="Sylfaen"/>
                <w:sz w:val="16"/>
                <w:szCs w:val="16"/>
                <w:vertAlign w:val="subscript"/>
              </w:rPr>
              <w:t>ol</w:t>
            </w:r>
          </w:p>
        </w:tc>
      </w:tr>
      <w:tr w:rsidR="009338B9" w:rsidRPr="0027701C" w14:paraId="220F324B" w14:textId="77777777" w:rsidTr="0027701C">
        <w:trPr>
          <w:jc w:val="center"/>
        </w:trPr>
        <w:tc>
          <w:tcPr>
            <w:tcW w:w="1681" w:type="dxa"/>
            <w:tcBorders>
              <w:top w:val="single" w:sz="4" w:space="0" w:color="auto"/>
              <w:left w:val="single" w:sz="4" w:space="0" w:color="auto"/>
            </w:tcBorders>
            <w:shd w:val="clear" w:color="auto" w:fill="FFFFFF"/>
            <w:vAlign w:val="center"/>
          </w:tcPr>
          <w:p w14:paraId="6796FB4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տաքացում/միջին</w:t>
            </w:r>
          </w:p>
        </w:tc>
        <w:tc>
          <w:tcPr>
            <w:tcW w:w="1276" w:type="dxa"/>
            <w:tcBorders>
              <w:top w:val="single" w:sz="4" w:space="0" w:color="auto"/>
              <w:left w:val="single" w:sz="4" w:space="0" w:color="auto"/>
            </w:tcBorders>
            <w:shd w:val="clear" w:color="auto" w:fill="FFFFFF"/>
            <w:vAlign w:val="center"/>
          </w:tcPr>
          <w:p w14:paraId="263352AD"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biv</w:t>
            </w:r>
          </w:p>
        </w:tc>
        <w:tc>
          <w:tcPr>
            <w:tcW w:w="880" w:type="dxa"/>
            <w:tcBorders>
              <w:top w:val="single" w:sz="4" w:space="0" w:color="auto"/>
              <w:left w:val="single" w:sz="4" w:space="0" w:color="auto"/>
            </w:tcBorders>
            <w:shd w:val="clear" w:color="auto" w:fill="FFFFFF"/>
            <w:vAlign w:val="center"/>
          </w:tcPr>
          <w:p w14:paraId="19F775F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982" w:type="dxa"/>
            <w:gridSpan w:val="2"/>
            <w:tcBorders>
              <w:top w:val="single" w:sz="4" w:space="0" w:color="auto"/>
              <w:left w:val="single" w:sz="4" w:space="0" w:color="auto"/>
            </w:tcBorders>
            <w:shd w:val="clear" w:color="auto" w:fill="FFFFFF"/>
            <w:vAlign w:val="center"/>
          </w:tcPr>
          <w:p w14:paraId="45744FC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°С</w:t>
            </w:r>
          </w:p>
        </w:tc>
        <w:tc>
          <w:tcPr>
            <w:tcW w:w="1870" w:type="dxa"/>
            <w:gridSpan w:val="2"/>
            <w:tcBorders>
              <w:top w:val="single" w:sz="4" w:space="0" w:color="auto"/>
              <w:left w:val="single" w:sz="4" w:space="0" w:color="auto"/>
            </w:tcBorders>
            <w:shd w:val="clear" w:color="auto" w:fill="FFFFFF"/>
            <w:vAlign w:val="center"/>
          </w:tcPr>
          <w:p w14:paraId="1A256C1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տաքացում/միջին</w:t>
            </w:r>
          </w:p>
        </w:tc>
        <w:tc>
          <w:tcPr>
            <w:tcW w:w="1247" w:type="dxa"/>
            <w:gridSpan w:val="2"/>
            <w:tcBorders>
              <w:top w:val="single" w:sz="4" w:space="0" w:color="auto"/>
              <w:left w:val="single" w:sz="4" w:space="0" w:color="auto"/>
            </w:tcBorders>
            <w:shd w:val="clear" w:color="auto" w:fill="FFFFFF"/>
            <w:vAlign w:val="center"/>
          </w:tcPr>
          <w:p w14:paraId="28B0B6A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ol</w:t>
            </w:r>
          </w:p>
        </w:tc>
        <w:tc>
          <w:tcPr>
            <w:tcW w:w="893" w:type="dxa"/>
            <w:gridSpan w:val="2"/>
            <w:tcBorders>
              <w:top w:val="single" w:sz="4" w:space="0" w:color="auto"/>
              <w:left w:val="single" w:sz="4" w:space="0" w:color="auto"/>
            </w:tcBorders>
            <w:shd w:val="clear" w:color="auto" w:fill="FFFFFF"/>
            <w:vAlign w:val="center"/>
          </w:tcPr>
          <w:p w14:paraId="1E5BE7A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46D2DA5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w:t>
            </w:r>
          </w:p>
        </w:tc>
      </w:tr>
      <w:tr w:rsidR="009338B9" w:rsidRPr="0027701C" w14:paraId="152C0060" w14:textId="77777777" w:rsidTr="0027701C">
        <w:trPr>
          <w:jc w:val="center"/>
        </w:trPr>
        <w:tc>
          <w:tcPr>
            <w:tcW w:w="1681" w:type="dxa"/>
            <w:tcBorders>
              <w:top w:val="single" w:sz="4" w:space="0" w:color="auto"/>
              <w:left w:val="single" w:sz="4" w:space="0" w:color="auto"/>
            </w:tcBorders>
            <w:shd w:val="clear" w:color="auto" w:fill="FFFFFF"/>
            <w:vAlign w:val="center"/>
          </w:tcPr>
          <w:p w14:paraId="3C09364C" w14:textId="77777777" w:rsidR="009338B9" w:rsidRPr="0027701C" w:rsidRDefault="009338B9" w:rsidP="0027701C">
            <w:pPr>
              <w:pStyle w:val="Bodytext20"/>
              <w:spacing w:after="120" w:line="240" w:lineRule="auto"/>
              <w:ind w:left="220"/>
              <w:rPr>
                <w:rFonts w:ascii="Sylfaen" w:hAnsi="Sylfaen"/>
                <w:sz w:val="16"/>
                <w:szCs w:val="16"/>
              </w:rPr>
            </w:pPr>
            <w:r w:rsidRPr="0027701C">
              <w:rPr>
                <w:rStyle w:val="Bodytext211pt"/>
                <w:rFonts w:ascii="Sylfaen" w:hAnsi="Sylfaen"/>
                <w:sz w:val="16"/>
                <w:szCs w:val="16"/>
              </w:rPr>
              <w:t>տաքացում/ավելի տաք</w:t>
            </w:r>
          </w:p>
        </w:tc>
        <w:tc>
          <w:tcPr>
            <w:tcW w:w="1276" w:type="dxa"/>
            <w:tcBorders>
              <w:top w:val="single" w:sz="4" w:space="0" w:color="auto"/>
              <w:left w:val="single" w:sz="4" w:space="0" w:color="auto"/>
            </w:tcBorders>
            <w:shd w:val="clear" w:color="auto" w:fill="FFFFFF"/>
            <w:vAlign w:val="center"/>
          </w:tcPr>
          <w:p w14:paraId="4874CD4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biv</w:t>
            </w:r>
          </w:p>
        </w:tc>
        <w:tc>
          <w:tcPr>
            <w:tcW w:w="880" w:type="dxa"/>
            <w:tcBorders>
              <w:top w:val="single" w:sz="4" w:space="0" w:color="auto"/>
              <w:left w:val="single" w:sz="4" w:space="0" w:color="auto"/>
            </w:tcBorders>
            <w:shd w:val="clear" w:color="auto" w:fill="FFFFFF"/>
            <w:vAlign w:val="center"/>
          </w:tcPr>
          <w:p w14:paraId="43F454E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982" w:type="dxa"/>
            <w:gridSpan w:val="2"/>
            <w:tcBorders>
              <w:top w:val="single" w:sz="4" w:space="0" w:color="auto"/>
              <w:left w:val="single" w:sz="4" w:space="0" w:color="auto"/>
            </w:tcBorders>
            <w:shd w:val="clear" w:color="auto" w:fill="FFFFFF"/>
            <w:vAlign w:val="center"/>
          </w:tcPr>
          <w:p w14:paraId="0F6993D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°С</w:t>
            </w:r>
          </w:p>
        </w:tc>
        <w:tc>
          <w:tcPr>
            <w:tcW w:w="1870" w:type="dxa"/>
            <w:gridSpan w:val="2"/>
            <w:tcBorders>
              <w:top w:val="single" w:sz="4" w:space="0" w:color="auto"/>
              <w:left w:val="single" w:sz="4" w:space="0" w:color="auto"/>
            </w:tcBorders>
            <w:shd w:val="clear" w:color="auto" w:fill="FFFFFF"/>
            <w:vAlign w:val="center"/>
          </w:tcPr>
          <w:p w14:paraId="60592686" w14:textId="77777777" w:rsidR="009338B9" w:rsidRPr="0027701C" w:rsidRDefault="009338B9" w:rsidP="0027701C">
            <w:pPr>
              <w:pStyle w:val="Bodytext20"/>
              <w:spacing w:after="120" w:line="240" w:lineRule="auto"/>
              <w:ind w:left="180"/>
              <w:rPr>
                <w:rFonts w:ascii="Sylfaen" w:hAnsi="Sylfaen"/>
                <w:sz w:val="16"/>
                <w:szCs w:val="16"/>
              </w:rPr>
            </w:pPr>
            <w:r w:rsidRPr="0027701C">
              <w:rPr>
                <w:rStyle w:val="Bodytext211pt"/>
                <w:rFonts w:ascii="Sylfaen" w:hAnsi="Sylfaen"/>
                <w:sz w:val="16"/>
                <w:szCs w:val="16"/>
              </w:rPr>
              <w:t>տաքացում/ավելի տաք</w:t>
            </w:r>
          </w:p>
        </w:tc>
        <w:tc>
          <w:tcPr>
            <w:tcW w:w="1247" w:type="dxa"/>
            <w:gridSpan w:val="2"/>
            <w:tcBorders>
              <w:top w:val="single" w:sz="4" w:space="0" w:color="auto"/>
              <w:left w:val="single" w:sz="4" w:space="0" w:color="auto"/>
            </w:tcBorders>
            <w:shd w:val="clear" w:color="auto" w:fill="FFFFFF"/>
            <w:vAlign w:val="center"/>
          </w:tcPr>
          <w:p w14:paraId="5727BBD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ol</w:t>
            </w:r>
          </w:p>
        </w:tc>
        <w:tc>
          <w:tcPr>
            <w:tcW w:w="893" w:type="dxa"/>
            <w:gridSpan w:val="2"/>
            <w:tcBorders>
              <w:top w:val="single" w:sz="4" w:space="0" w:color="auto"/>
              <w:left w:val="single" w:sz="4" w:space="0" w:color="auto"/>
            </w:tcBorders>
            <w:shd w:val="clear" w:color="auto" w:fill="FFFFFF"/>
            <w:vAlign w:val="center"/>
          </w:tcPr>
          <w:p w14:paraId="2A5E2D2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79F7094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w:t>
            </w:r>
          </w:p>
        </w:tc>
      </w:tr>
      <w:tr w:rsidR="009338B9" w:rsidRPr="0027701C" w14:paraId="6C5C7B42" w14:textId="77777777" w:rsidTr="0027701C">
        <w:trPr>
          <w:jc w:val="center"/>
        </w:trPr>
        <w:tc>
          <w:tcPr>
            <w:tcW w:w="1681" w:type="dxa"/>
            <w:tcBorders>
              <w:top w:val="single" w:sz="4" w:space="0" w:color="auto"/>
              <w:left w:val="single" w:sz="4" w:space="0" w:color="auto"/>
            </w:tcBorders>
            <w:shd w:val="clear" w:color="auto" w:fill="FFFFFF"/>
            <w:vAlign w:val="center"/>
          </w:tcPr>
          <w:p w14:paraId="5417280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ցուրտ</w:t>
            </w:r>
          </w:p>
        </w:tc>
        <w:tc>
          <w:tcPr>
            <w:tcW w:w="1276" w:type="dxa"/>
            <w:tcBorders>
              <w:top w:val="single" w:sz="4" w:space="0" w:color="auto"/>
              <w:left w:val="single" w:sz="4" w:space="0" w:color="auto"/>
            </w:tcBorders>
            <w:shd w:val="clear" w:color="auto" w:fill="FFFFFF"/>
            <w:vAlign w:val="center"/>
          </w:tcPr>
          <w:p w14:paraId="1767ADD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biv</w:t>
            </w:r>
          </w:p>
        </w:tc>
        <w:tc>
          <w:tcPr>
            <w:tcW w:w="880" w:type="dxa"/>
            <w:tcBorders>
              <w:top w:val="single" w:sz="4" w:space="0" w:color="auto"/>
              <w:left w:val="single" w:sz="4" w:space="0" w:color="auto"/>
            </w:tcBorders>
            <w:shd w:val="clear" w:color="auto" w:fill="FFFFFF"/>
            <w:vAlign w:val="center"/>
          </w:tcPr>
          <w:p w14:paraId="7F8529B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982" w:type="dxa"/>
            <w:gridSpan w:val="2"/>
            <w:tcBorders>
              <w:top w:val="single" w:sz="4" w:space="0" w:color="auto"/>
              <w:left w:val="single" w:sz="4" w:space="0" w:color="auto"/>
            </w:tcBorders>
            <w:shd w:val="clear" w:color="auto" w:fill="FFFFFF"/>
            <w:vAlign w:val="center"/>
          </w:tcPr>
          <w:p w14:paraId="329EEB3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°С</w:t>
            </w:r>
          </w:p>
        </w:tc>
        <w:tc>
          <w:tcPr>
            <w:tcW w:w="1870" w:type="dxa"/>
            <w:gridSpan w:val="2"/>
            <w:tcBorders>
              <w:top w:val="single" w:sz="4" w:space="0" w:color="auto"/>
              <w:left w:val="single" w:sz="4" w:space="0" w:color="auto"/>
            </w:tcBorders>
            <w:shd w:val="clear" w:color="auto" w:fill="FFFFFF"/>
            <w:vAlign w:val="center"/>
          </w:tcPr>
          <w:p w14:paraId="15B24F43"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ցուրտ</w:t>
            </w:r>
          </w:p>
        </w:tc>
        <w:tc>
          <w:tcPr>
            <w:tcW w:w="1247" w:type="dxa"/>
            <w:gridSpan w:val="2"/>
            <w:tcBorders>
              <w:top w:val="single" w:sz="4" w:space="0" w:color="auto"/>
              <w:left w:val="single" w:sz="4" w:space="0" w:color="auto"/>
            </w:tcBorders>
            <w:shd w:val="clear" w:color="auto" w:fill="FFFFFF"/>
            <w:vAlign w:val="center"/>
          </w:tcPr>
          <w:p w14:paraId="74976C3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T</w:t>
            </w:r>
            <w:r w:rsidRPr="0027701C">
              <w:rPr>
                <w:rStyle w:val="Bodytext211pt"/>
                <w:rFonts w:ascii="Sylfaen" w:hAnsi="Sylfaen"/>
                <w:sz w:val="16"/>
                <w:szCs w:val="16"/>
                <w:vertAlign w:val="subscript"/>
              </w:rPr>
              <w:t>ol</w:t>
            </w:r>
          </w:p>
        </w:tc>
        <w:tc>
          <w:tcPr>
            <w:tcW w:w="893" w:type="dxa"/>
            <w:gridSpan w:val="2"/>
            <w:tcBorders>
              <w:top w:val="single" w:sz="4" w:space="0" w:color="auto"/>
              <w:left w:val="single" w:sz="4" w:space="0" w:color="auto"/>
            </w:tcBorders>
            <w:shd w:val="clear" w:color="auto" w:fill="FFFFFF"/>
            <w:vAlign w:val="center"/>
          </w:tcPr>
          <w:p w14:paraId="70207B7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292E32B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w:t>
            </w:r>
          </w:p>
        </w:tc>
      </w:tr>
      <w:tr w:rsidR="009338B9" w:rsidRPr="0027701C" w14:paraId="78D73ACD" w14:textId="77777777" w:rsidTr="0027701C">
        <w:trPr>
          <w:jc w:val="center"/>
        </w:trPr>
        <w:tc>
          <w:tcPr>
            <w:tcW w:w="4819" w:type="dxa"/>
            <w:gridSpan w:val="5"/>
            <w:tcBorders>
              <w:top w:val="single" w:sz="4" w:space="0" w:color="auto"/>
              <w:left w:val="single" w:sz="4" w:space="0" w:color="auto"/>
            </w:tcBorders>
            <w:shd w:val="clear" w:color="auto" w:fill="FFFFFF"/>
            <w:vAlign w:val="center"/>
          </w:tcPr>
          <w:p w14:paraId="32F17895"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Աշխատանքի ցիկլային (ընդհատուն) ռեժիմի ժամանակ հզորությունը</w:t>
            </w:r>
          </w:p>
        </w:tc>
        <w:tc>
          <w:tcPr>
            <w:tcW w:w="5160" w:type="dxa"/>
            <w:gridSpan w:val="7"/>
            <w:tcBorders>
              <w:top w:val="single" w:sz="4" w:space="0" w:color="auto"/>
              <w:left w:val="single" w:sz="4" w:space="0" w:color="auto"/>
              <w:right w:val="single" w:sz="4" w:space="0" w:color="auto"/>
            </w:tcBorders>
            <w:shd w:val="clear" w:color="auto" w:fill="FFFFFF"/>
            <w:vAlign w:val="center"/>
          </w:tcPr>
          <w:p w14:paraId="74ABAB4A" w14:textId="77777777" w:rsidR="009338B9" w:rsidRPr="0027701C" w:rsidRDefault="009338B9" w:rsidP="0027701C">
            <w:pPr>
              <w:pStyle w:val="Bodytext20"/>
              <w:spacing w:after="120" w:line="240" w:lineRule="auto"/>
              <w:ind w:right="155"/>
              <w:rPr>
                <w:rFonts w:ascii="Sylfaen" w:hAnsi="Sylfaen"/>
                <w:sz w:val="16"/>
                <w:szCs w:val="16"/>
              </w:rPr>
            </w:pPr>
            <w:r w:rsidRPr="0027701C">
              <w:rPr>
                <w:rStyle w:val="Bodytext211pt"/>
                <w:rFonts w:ascii="Sylfaen" w:hAnsi="Sylfaen"/>
                <w:sz w:val="16"/>
                <w:szCs w:val="16"/>
              </w:rPr>
              <w:t>Աշխատանքի ցիկլային (ընդհատուն) ռեժիմի ժամանակ էներգետիկ արդյունավետությունը</w:t>
            </w:r>
          </w:p>
        </w:tc>
      </w:tr>
      <w:tr w:rsidR="009338B9" w:rsidRPr="0027701C" w14:paraId="0AB85832" w14:textId="77777777" w:rsidTr="0027701C">
        <w:trPr>
          <w:jc w:val="center"/>
        </w:trPr>
        <w:tc>
          <w:tcPr>
            <w:tcW w:w="1681" w:type="dxa"/>
            <w:tcBorders>
              <w:top w:val="single" w:sz="4" w:space="0" w:color="auto"/>
              <w:left w:val="single" w:sz="4" w:space="0" w:color="auto"/>
            </w:tcBorders>
            <w:shd w:val="clear" w:color="auto" w:fill="FFFFFF"/>
            <w:vAlign w:val="center"/>
          </w:tcPr>
          <w:p w14:paraId="73F7D3A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Հովացման ռեժիմում</w:t>
            </w:r>
          </w:p>
        </w:tc>
        <w:tc>
          <w:tcPr>
            <w:tcW w:w="1276" w:type="dxa"/>
            <w:tcBorders>
              <w:top w:val="single" w:sz="4" w:space="0" w:color="auto"/>
              <w:left w:val="single" w:sz="4" w:space="0" w:color="auto"/>
            </w:tcBorders>
            <w:shd w:val="clear" w:color="auto" w:fill="FFFFFF"/>
            <w:vAlign w:val="center"/>
          </w:tcPr>
          <w:p w14:paraId="05801114" w14:textId="77777777" w:rsidR="009338B9" w:rsidRPr="0027701C" w:rsidRDefault="009338B9" w:rsidP="0027701C">
            <w:pPr>
              <w:pStyle w:val="Bodytext20"/>
              <w:spacing w:after="120" w:line="240" w:lineRule="auto"/>
              <w:rPr>
                <w:rFonts w:ascii="Sylfaen" w:hAnsi="Sylfaen"/>
                <w:sz w:val="16"/>
                <w:szCs w:val="16"/>
              </w:rPr>
            </w:pPr>
            <w:r w:rsidRPr="0027701C">
              <w:rPr>
                <w:rStyle w:val="Footnote313pt"/>
                <w:rFonts w:ascii="Sylfaen" w:hAnsi="Sylfaen"/>
                <w:sz w:val="16"/>
                <w:szCs w:val="16"/>
              </w:rPr>
              <w:t>P</w:t>
            </w:r>
            <w:r w:rsidRPr="0027701C">
              <w:rPr>
                <w:rStyle w:val="Footnote313pt"/>
                <w:rFonts w:ascii="Sylfaen" w:hAnsi="Sylfaen"/>
                <w:sz w:val="16"/>
                <w:szCs w:val="16"/>
                <w:vertAlign w:val="subscript"/>
              </w:rPr>
              <w:t>cycC</w:t>
            </w:r>
          </w:p>
        </w:tc>
        <w:tc>
          <w:tcPr>
            <w:tcW w:w="880" w:type="dxa"/>
            <w:tcBorders>
              <w:top w:val="single" w:sz="4" w:space="0" w:color="auto"/>
              <w:left w:val="single" w:sz="4" w:space="0" w:color="auto"/>
            </w:tcBorders>
            <w:shd w:val="clear" w:color="auto" w:fill="FFFFFF"/>
            <w:vAlign w:val="center"/>
          </w:tcPr>
          <w:p w14:paraId="1D1BEA8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53013B1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71440F4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Հովացման ռեժիմում</w:t>
            </w:r>
          </w:p>
        </w:tc>
        <w:tc>
          <w:tcPr>
            <w:tcW w:w="1247" w:type="dxa"/>
            <w:gridSpan w:val="2"/>
            <w:tcBorders>
              <w:top w:val="single" w:sz="4" w:space="0" w:color="auto"/>
              <w:left w:val="single" w:sz="4" w:space="0" w:color="auto"/>
            </w:tcBorders>
            <w:shd w:val="clear" w:color="auto" w:fill="FFFFFF"/>
            <w:vAlign w:val="center"/>
          </w:tcPr>
          <w:p w14:paraId="5B0C278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EER</w:t>
            </w:r>
            <w:r w:rsidRPr="0027701C">
              <w:rPr>
                <w:rStyle w:val="Bodytext211pt"/>
                <w:rFonts w:ascii="Sylfaen" w:hAnsi="Sylfaen"/>
                <w:sz w:val="16"/>
                <w:szCs w:val="16"/>
                <w:vertAlign w:val="subscript"/>
              </w:rPr>
              <w:t>cyc</w:t>
            </w:r>
          </w:p>
        </w:tc>
        <w:tc>
          <w:tcPr>
            <w:tcW w:w="893" w:type="dxa"/>
            <w:gridSpan w:val="2"/>
            <w:tcBorders>
              <w:top w:val="single" w:sz="4" w:space="0" w:color="auto"/>
              <w:left w:val="single" w:sz="4" w:space="0" w:color="auto"/>
            </w:tcBorders>
            <w:shd w:val="clear" w:color="auto" w:fill="FFFFFF"/>
            <w:vAlign w:val="center"/>
          </w:tcPr>
          <w:p w14:paraId="7C548FF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5323426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76377904" w14:textId="77777777" w:rsidTr="0027701C">
        <w:trPr>
          <w:jc w:val="center"/>
        </w:trPr>
        <w:tc>
          <w:tcPr>
            <w:tcW w:w="1681" w:type="dxa"/>
            <w:tcBorders>
              <w:top w:val="single" w:sz="4" w:space="0" w:color="auto"/>
              <w:left w:val="single" w:sz="4" w:space="0" w:color="auto"/>
            </w:tcBorders>
            <w:shd w:val="clear" w:color="auto" w:fill="FFFFFF"/>
            <w:vAlign w:val="center"/>
          </w:tcPr>
          <w:p w14:paraId="5D1C2EA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Տաքացման ռեժիմում</w:t>
            </w:r>
          </w:p>
        </w:tc>
        <w:tc>
          <w:tcPr>
            <w:tcW w:w="1276" w:type="dxa"/>
            <w:tcBorders>
              <w:top w:val="single" w:sz="4" w:space="0" w:color="auto"/>
              <w:left w:val="single" w:sz="4" w:space="0" w:color="auto"/>
            </w:tcBorders>
            <w:shd w:val="clear" w:color="auto" w:fill="FFFFFF"/>
            <w:vAlign w:val="center"/>
          </w:tcPr>
          <w:p w14:paraId="1D36E19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cycH</w:t>
            </w:r>
          </w:p>
        </w:tc>
        <w:tc>
          <w:tcPr>
            <w:tcW w:w="880" w:type="dxa"/>
            <w:tcBorders>
              <w:top w:val="single" w:sz="4" w:space="0" w:color="auto"/>
              <w:left w:val="single" w:sz="4" w:space="0" w:color="auto"/>
            </w:tcBorders>
            <w:shd w:val="clear" w:color="auto" w:fill="FFFFFF"/>
            <w:vAlign w:val="center"/>
          </w:tcPr>
          <w:p w14:paraId="5D79095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0767296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1BABA75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Տաքացման ռեժիմում</w:t>
            </w:r>
          </w:p>
        </w:tc>
        <w:tc>
          <w:tcPr>
            <w:tcW w:w="1247" w:type="dxa"/>
            <w:gridSpan w:val="2"/>
            <w:tcBorders>
              <w:top w:val="single" w:sz="4" w:space="0" w:color="auto"/>
              <w:left w:val="single" w:sz="4" w:space="0" w:color="auto"/>
            </w:tcBorders>
            <w:shd w:val="clear" w:color="auto" w:fill="FFFFFF"/>
            <w:vAlign w:val="center"/>
          </w:tcPr>
          <w:p w14:paraId="233E749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COP</w:t>
            </w:r>
            <w:r w:rsidRPr="0027701C">
              <w:rPr>
                <w:rStyle w:val="Bodytext211pt"/>
                <w:rFonts w:ascii="Sylfaen" w:hAnsi="Sylfaen"/>
                <w:sz w:val="16"/>
                <w:szCs w:val="16"/>
                <w:vertAlign w:val="subscript"/>
              </w:rPr>
              <w:t>cyc</w:t>
            </w:r>
          </w:p>
        </w:tc>
        <w:tc>
          <w:tcPr>
            <w:tcW w:w="893" w:type="dxa"/>
            <w:gridSpan w:val="2"/>
            <w:tcBorders>
              <w:top w:val="single" w:sz="4" w:space="0" w:color="auto"/>
              <w:left w:val="single" w:sz="4" w:space="0" w:color="auto"/>
            </w:tcBorders>
            <w:shd w:val="clear" w:color="auto" w:fill="FFFFFF"/>
            <w:vAlign w:val="center"/>
          </w:tcPr>
          <w:p w14:paraId="2E0AA39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right w:val="single" w:sz="4" w:space="0" w:color="auto"/>
            </w:tcBorders>
            <w:shd w:val="clear" w:color="auto" w:fill="FFFFFF"/>
            <w:vAlign w:val="center"/>
          </w:tcPr>
          <w:p w14:paraId="693375B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36B00F4B" w14:textId="77777777" w:rsidTr="0027701C">
        <w:trPr>
          <w:jc w:val="center"/>
        </w:trPr>
        <w:tc>
          <w:tcPr>
            <w:tcW w:w="1681" w:type="dxa"/>
            <w:tcBorders>
              <w:top w:val="single" w:sz="4" w:space="0" w:color="auto"/>
              <w:left w:val="single" w:sz="4" w:space="0" w:color="auto"/>
              <w:bottom w:val="single" w:sz="4" w:space="0" w:color="auto"/>
            </w:tcBorders>
            <w:shd w:val="clear" w:color="auto" w:fill="FFFFFF"/>
            <w:vAlign w:val="center"/>
          </w:tcPr>
          <w:p w14:paraId="492A8D9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Հովացման արդյունավետության կորստի գործակիցը</w:t>
            </w:r>
          </w:p>
        </w:tc>
        <w:tc>
          <w:tcPr>
            <w:tcW w:w="1276" w:type="dxa"/>
            <w:tcBorders>
              <w:top w:val="single" w:sz="4" w:space="0" w:color="auto"/>
              <w:left w:val="single" w:sz="4" w:space="0" w:color="auto"/>
              <w:bottom w:val="single" w:sz="4" w:space="0" w:color="auto"/>
            </w:tcBorders>
            <w:shd w:val="clear" w:color="auto" w:fill="FFFFFF"/>
            <w:vAlign w:val="center"/>
          </w:tcPr>
          <w:p w14:paraId="0087569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w:t>
            </w:r>
            <w:r w:rsidRPr="0027701C">
              <w:rPr>
                <w:rStyle w:val="Bodytext211pt"/>
                <w:rFonts w:ascii="Sylfaen" w:hAnsi="Sylfaen"/>
                <w:sz w:val="16"/>
                <w:szCs w:val="16"/>
                <w:vertAlign w:val="subscript"/>
              </w:rPr>
              <w:t>dc</w:t>
            </w:r>
          </w:p>
        </w:tc>
        <w:tc>
          <w:tcPr>
            <w:tcW w:w="880" w:type="dxa"/>
            <w:tcBorders>
              <w:top w:val="single" w:sz="4" w:space="0" w:color="auto"/>
              <w:left w:val="single" w:sz="4" w:space="0" w:color="auto"/>
              <w:bottom w:val="single" w:sz="4" w:space="0" w:color="auto"/>
            </w:tcBorders>
            <w:shd w:val="clear" w:color="auto" w:fill="FFFFFF"/>
            <w:vAlign w:val="center"/>
          </w:tcPr>
          <w:p w14:paraId="6311AC2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bottom w:val="single" w:sz="4" w:space="0" w:color="auto"/>
            </w:tcBorders>
            <w:shd w:val="clear" w:color="auto" w:fill="FFFFFF"/>
            <w:vAlign w:val="center"/>
          </w:tcPr>
          <w:p w14:paraId="38074BEF"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c>
          <w:tcPr>
            <w:tcW w:w="1870" w:type="dxa"/>
            <w:gridSpan w:val="2"/>
            <w:tcBorders>
              <w:top w:val="single" w:sz="4" w:space="0" w:color="auto"/>
              <w:left w:val="single" w:sz="4" w:space="0" w:color="auto"/>
              <w:bottom w:val="single" w:sz="4" w:space="0" w:color="auto"/>
            </w:tcBorders>
            <w:shd w:val="clear" w:color="auto" w:fill="FFFFFF"/>
            <w:vAlign w:val="center"/>
          </w:tcPr>
          <w:p w14:paraId="0AF8F25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Տաքացման արդյունավետության կորստի գործակիցը</w:t>
            </w:r>
          </w:p>
        </w:tc>
        <w:tc>
          <w:tcPr>
            <w:tcW w:w="1247" w:type="dxa"/>
            <w:gridSpan w:val="2"/>
            <w:tcBorders>
              <w:top w:val="single" w:sz="4" w:space="0" w:color="auto"/>
              <w:left w:val="single" w:sz="4" w:space="0" w:color="auto"/>
              <w:bottom w:val="single" w:sz="4" w:space="0" w:color="auto"/>
            </w:tcBorders>
            <w:shd w:val="clear" w:color="auto" w:fill="FFFFFF"/>
            <w:vAlign w:val="center"/>
          </w:tcPr>
          <w:p w14:paraId="0B76616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C</w:t>
            </w:r>
            <w:r w:rsidRPr="0027701C">
              <w:rPr>
                <w:rStyle w:val="Bodytext211pt"/>
                <w:rFonts w:ascii="Sylfaen" w:hAnsi="Sylfaen"/>
                <w:sz w:val="16"/>
                <w:szCs w:val="16"/>
                <w:vertAlign w:val="subscript"/>
              </w:rPr>
              <w:t>dh</w:t>
            </w:r>
          </w:p>
        </w:tc>
        <w:tc>
          <w:tcPr>
            <w:tcW w:w="893" w:type="dxa"/>
            <w:gridSpan w:val="2"/>
            <w:tcBorders>
              <w:top w:val="single" w:sz="4" w:space="0" w:color="auto"/>
              <w:left w:val="single" w:sz="4" w:space="0" w:color="auto"/>
              <w:bottom w:val="single" w:sz="4" w:space="0" w:color="auto"/>
            </w:tcBorders>
            <w:shd w:val="clear" w:color="auto" w:fill="FFFFFF"/>
            <w:vAlign w:val="center"/>
          </w:tcPr>
          <w:p w14:paraId="578480A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bottom w:val="single" w:sz="4" w:space="0" w:color="auto"/>
              <w:right w:val="single" w:sz="4" w:space="0" w:color="auto"/>
            </w:tcBorders>
            <w:shd w:val="clear" w:color="auto" w:fill="FFFFFF"/>
            <w:vAlign w:val="center"/>
          </w:tcPr>
          <w:p w14:paraId="1148F37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r>
      <w:tr w:rsidR="009338B9" w:rsidRPr="0027701C" w14:paraId="2291296F" w14:textId="77777777" w:rsidTr="0027701C">
        <w:trPr>
          <w:jc w:val="center"/>
        </w:trPr>
        <w:tc>
          <w:tcPr>
            <w:tcW w:w="4819" w:type="dxa"/>
            <w:gridSpan w:val="5"/>
            <w:tcBorders>
              <w:top w:val="single" w:sz="4" w:space="0" w:color="auto"/>
              <w:left w:val="single" w:sz="4" w:space="0" w:color="auto"/>
            </w:tcBorders>
            <w:shd w:val="clear" w:color="auto" w:fill="FFFFFF"/>
          </w:tcPr>
          <w:p w14:paraId="1B47708A"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lastRenderedPageBreak/>
              <w:t>Սպառվող հզորությունն ակտիվ ռեժիմից տարբերվող այլ ռեժիմներում</w:t>
            </w:r>
          </w:p>
        </w:tc>
        <w:tc>
          <w:tcPr>
            <w:tcW w:w="5160" w:type="dxa"/>
            <w:gridSpan w:val="7"/>
            <w:tcBorders>
              <w:top w:val="single" w:sz="4" w:space="0" w:color="auto"/>
              <w:left w:val="single" w:sz="4" w:space="0" w:color="auto"/>
              <w:right w:val="single" w:sz="4" w:space="0" w:color="auto"/>
            </w:tcBorders>
            <w:shd w:val="clear" w:color="auto" w:fill="FFFFFF"/>
          </w:tcPr>
          <w:p w14:paraId="1EB50BC4"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Տարեկան էներգասպառումը</w:t>
            </w:r>
          </w:p>
        </w:tc>
      </w:tr>
      <w:tr w:rsidR="009338B9" w:rsidRPr="0027701C" w14:paraId="5B997957" w14:textId="77777777" w:rsidTr="0027701C">
        <w:trPr>
          <w:jc w:val="center"/>
        </w:trPr>
        <w:tc>
          <w:tcPr>
            <w:tcW w:w="1681" w:type="dxa"/>
            <w:tcBorders>
              <w:top w:val="single" w:sz="4" w:space="0" w:color="auto"/>
              <w:left w:val="single" w:sz="4" w:space="0" w:color="auto"/>
            </w:tcBorders>
            <w:shd w:val="clear" w:color="auto" w:fill="FFFFFF"/>
            <w:vAlign w:val="center"/>
          </w:tcPr>
          <w:p w14:paraId="35EF48E3"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Անջատման ռեժիմ</w:t>
            </w:r>
          </w:p>
        </w:tc>
        <w:tc>
          <w:tcPr>
            <w:tcW w:w="1276" w:type="dxa"/>
            <w:tcBorders>
              <w:top w:val="single" w:sz="4" w:space="0" w:color="auto"/>
              <w:left w:val="single" w:sz="4" w:space="0" w:color="auto"/>
            </w:tcBorders>
            <w:shd w:val="clear" w:color="auto" w:fill="FFFFFF"/>
            <w:vAlign w:val="center"/>
          </w:tcPr>
          <w:p w14:paraId="37CC03D5" w14:textId="77777777" w:rsidR="009338B9" w:rsidRPr="0027701C" w:rsidRDefault="009338B9" w:rsidP="0027701C">
            <w:pPr>
              <w:pStyle w:val="Bodytext20"/>
              <w:spacing w:after="120" w:line="240" w:lineRule="auto"/>
              <w:rPr>
                <w:rFonts w:ascii="Sylfaen" w:hAnsi="Sylfaen"/>
                <w:sz w:val="16"/>
                <w:szCs w:val="16"/>
              </w:rPr>
            </w:pPr>
            <w:r w:rsidRPr="0027701C">
              <w:rPr>
                <w:rStyle w:val="Footnote313pt"/>
                <w:rFonts w:ascii="Sylfaen" w:hAnsi="Sylfaen"/>
                <w:sz w:val="16"/>
                <w:szCs w:val="16"/>
              </w:rPr>
              <w:t>P</w:t>
            </w:r>
            <w:r w:rsidRPr="0027701C">
              <w:rPr>
                <w:rStyle w:val="Footnote313pt"/>
                <w:rFonts w:ascii="Sylfaen" w:hAnsi="Sylfaen"/>
                <w:sz w:val="16"/>
                <w:szCs w:val="16"/>
                <w:vertAlign w:val="subscript"/>
              </w:rPr>
              <w:t>OFF</w:t>
            </w:r>
          </w:p>
        </w:tc>
        <w:tc>
          <w:tcPr>
            <w:tcW w:w="890" w:type="dxa"/>
            <w:gridSpan w:val="2"/>
            <w:tcBorders>
              <w:top w:val="single" w:sz="4" w:space="0" w:color="auto"/>
              <w:left w:val="single" w:sz="4" w:space="0" w:color="auto"/>
            </w:tcBorders>
            <w:shd w:val="clear" w:color="auto" w:fill="FFFFFF"/>
            <w:vAlign w:val="center"/>
          </w:tcPr>
          <w:p w14:paraId="28BBD44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48CB6FB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3F89F46F"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հովացում</w:t>
            </w:r>
          </w:p>
        </w:tc>
        <w:tc>
          <w:tcPr>
            <w:tcW w:w="1247" w:type="dxa"/>
            <w:gridSpan w:val="2"/>
            <w:tcBorders>
              <w:top w:val="single" w:sz="4" w:space="0" w:color="auto"/>
              <w:left w:val="single" w:sz="4" w:space="0" w:color="auto"/>
            </w:tcBorders>
            <w:shd w:val="clear" w:color="auto" w:fill="FFFFFF"/>
            <w:vAlign w:val="center"/>
          </w:tcPr>
          <w:p w14:paraId="2A731334" w14:textId="77777777" w:rsidR="009338B9" w:rsidRPr="0027701C" w:rsidRDefault="009338B9" w:rsidP="0027701C">
            <w:pPr>
              <w:pStyle w:val="Bodytext20"/>
              <w:spacing w:after="120" w:line="240" w:lineRule="auto"/>
              <w:rPr>
                <w:rFonts w:ascii="Sylfaen" w:hAnsi="Sylfaen"/>
                <w:sz w:val="16"/>
                <w:szCs w:val="16"/>
              </w:rPr>
            </w:pPr>
            <w:r w:rsidRPr="0027701C">
              <w:rPr>
                <w:rFonts w:ascii="Sylfaen" w:hAnsi="Sylfaen"/>
                <w:sz w:val="16"/>
                <w:szCs w:val="16"/>
              </w:rPr>
              <w:t>Q</w:t>
            </w:r>
            <w:r w:rsidRPr="0027701C">
              <w:rPr>
                <w:rFonts w:ascii="Sylfaen" w:hAnsi="Sylfaen"/>
                <w:sz w:val="16"/>
                <w:szCs w:val="16"/>
                <w:vertAlign w:val="subscript"/>
              </w:rPr>
              <w:t>CE</w:t>
            </w:r>
          </w:p>
        </w:tc>
        <w:tc>
          <w:tcPr>
            <w:tcW w:w="883" w:type="dxa"/>
            <w:tcBorders>
              <w:top w:val="single" w:sz="4" w:space="0" w:color="auto"/>
              <w:left w:val="single" w:sz="4" w:space="0" w:color="auto"/>
            </w:tcBorders>
            <w:shd w:val="clear" w:color="auto" w:fill="FFFFFF"/>
            <w:vAlign w:val="center"/>
          </w:tcPr>
          <w:p w14:paraId="1BB4734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74B840C3" w14:textId="77777777" w:rsidR="009338B9" w:rsidRPr="0027701C" w:rsidRDefault="009338B9" w:rsidP="0027701C">
            <w:pPr>
              <w:pStyle w:val="Bodytext20"/>
              <w:spacing w:after="120" w:line="240" w:lineRule="auto"/>
              <w:rPr>
                <w:rFonts w:ascii="Sylfaen" w:hAnsi="Sylfaen"/>
                <w:color w:val="000000" w:themeColor="text1"/>
                <w:sz w:val="16"/>
                <w:szCs w:val="16"/>
              </w:rPr>
            </w:pPr>
            <w:hyperlink r:id="rId29">
              <w:r w:rsidRPr="0027701C">
                <w:rPr>
                  <w:rStyle w:val="Hyperlink"/>
                  <w:rFonts w:ascii="Sylfaen" w:hAnsi="Sylfaen"/>
                  <w:color w:val="000000" w:themeColor="text1"/>
                  <w:sz w:val="16"/>
                  <w:szCs w:val="16"/>
                  <w:u w:val="none"/>
                </w:rPr>
                <w:t>կՎտժ/</w:t>
              </w:r>
            </w:hyperlink>
            <w:hyperlink r:id="rId30">
              <w:r w:rsidRPr="0027701C">
                <w:rPr>
                  <w:rStyle w:val="Hyperlink"/>
                  <w:rFonts w:ascii="Sylfaen" w:hAnsi="Sylfaen"/>
                  <w:color w:val="000000" w:themeColor="text1"/>
                  <w:sz w:val="16"/>
                  <w:szCs w:val="16"/>
                  <w:u w:val="none"/>
                </w:rPr>
                <w:t>տարի</w:t>
              </w:r>
            </w:hyperlink>
          </w:p>
        </w:tc>
      </w:tr>
      <w:tr w:rsidR="009338B9" w:rsidRPr="0027701C" w14:paraId="21BE5EF4" w14:textId="77777777" w:rsidTr="0027701C">
        <w:trPr>
          <w:jc w:val="center"/>
        </w:trPr>
        <w:tc>
          <w:tcPr>
            <w:tcW w:w="1681" w:type="dxa"/>
            <w:tcBorders>
              <w:top w:val="single" w:sz="4" w:space="0" w:color="auto"/>
              <w:left w:val="single" w:sz="4" w:space="0" w:color="auto"/>
            </w:tcBorders>
            <w:shd w:val="clear" w:color="auto" w:fill="FFFFFF"/>
            <w:vAlign w:val="center"/>
          </w:tcPr>
          <w:p w14:paraId="29D0EC3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Սպասման հզորություն</w:t>
            </w:r>
          </w:p>
        </w:tc>
        <w:tc>
          <w:tcPr>
            <w:tcW w:w="1276" w:type="dxa"/>
            <w:tcBorders>
              <w:top w:val="single" w:sz="4" w:space="0" w:color="auto"/>
              <w:left w:val="single" w:sz="4" w:space="0" w:color="auto"/>
            </w:tcBorders>
            <w:shd w:val="clear" w:color="auto" w:fill="FFFFFF"/>
            <w:vAlign w:val="center"/>
          </w:tcPr>
          <w:p w14:paraId="4F033CF1" w14:textId="77777777" w:rsidR="009338B9" w:rsidRPr="0027701C" w:rsidRDefault="009338B9" w:rsidP="0027701C">
            <w:pPr>
              <w:pStyle w:val="Bodytext20"/>
              <w:spacing w:after="120" w:line="240" w:lineRule="auto"/>
              <w:rPr>
                <w:rFonts w:ascii="Sylfaen" w:hAnsi="Sylfaen"/>
                <w:sz w:val="16"/>
                <w:szCs w:val="16"/>
              </w:rPr>
            </w:pPr>
            <w:smartTag w:uri="urn:schemas-microsoft-com:office:smarttags" w:element="stockticker">
              <w:r w:rsidRPr="0027701C">
                <w:rPr>
                  <w:rStyle w:val="Bodytext211pt"/>
                  <w:rFonts w:ascii="Sylfaen" w:hAnsi="Sylfaen"/>
                  <w:sz w:val="16"/>
                  <w:szCs w:val="16"/>
                </w:rPr>
                <w:t>P</w:t>
              </w:r>
              <w:r w:rsidRPr="0027701C">
                <w:rPr>
                  <w:rStyle w:val="Bodytext211pt"/>
                  <w:rFonts w:ascii="Sylfaen" w:hAnsi="Sylfaen"/>
                  <w:sz w:val="16"/>
                  <w:szCs w:val="16"/>
                  <w:vertAlign w:val="subscript"/>
                </w:rPr>
                <w:t>SB</w:t>
              </w:r>
            </w:smartTag>
          </w:p>
        </w:tc>
        <w:tc>
          <w:tcPr>
            <w:tcW w:w="890" w:type="dxa"/>
            <w:gridSpan w:val="2"/>
            <w:tcBorders>
              <w:top w:val="single" w:sz="4" w:space="0" w:color="auto"/>
              <w:left w:val="single" w:sz="4" w:space="0" w:color="auto"/>
            </w:tcBorders>
            <w:shd w:val="clear" w:color="auto" w:fill="FFFFFF"/>
            <w:vAlign w:val="center"/>
          </w:tcPr>
          <w:p w14:paraId="4A45DB8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75033B5B"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1808FB3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տաքացում/միջին</w:t>
            </w:r>
          </w:p>
        </w:tc>
        <w:tc>
          <w:tcPr>
            <w:tcW w:w="1247" w:type="dxa"/>
            <w:gridSpan w:val="2"/>
            <w:tcBorders>
              <w:top w:val="single" w:sz="4" w:space="0" w:color="auto"/>
              <w:left w:val="single" w:sz="4" w:space="0" w:color="auto"/>
            </w:tcBorders>
            <w:shd w:val="clear" w:color="auto" w:fill="FFFFFF"/>
            <w:vAlign w:val="center"/>
          </w:tcPr>
          <w:p w14:paraId="2B990DE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Q</w:t>
            </w:r>
            <w:r w:rsidRPr="0027701C">
              <w:rPr>
                <w:rStyle w:val="Bodytext211pt"/>
                <w:rFonts w:ascii="Sylfaen" w:hAnsi="Sylfaen"/>
                <w:sz w:val="16"/>
                <w:szCs w:val="16"/>
                <w:vertAlign w:val="subscript"/>
              </w:rPr>
              <w:t>HE</w:t>
            </w:r>
          </w:p>
        </w:tc>
        <w:tc>
          <w:tcPr>
            <w:tcW w:w="883" w:type="dxa"/>
            <w:tcBorders>
              <w:top w:val="single" w:sz="4" w:space="0" w:color="auto"/>
              <w:left w:val="single" w:sz="4" w:space="0" w:color="auto"/>
            </w:tcBorders>
            <w:shd w:val="clear" w:color="auto" w:fill="FFFFFF"/>
            <w:vAlign w:val="center"/>
          </w:tcPr>
          <w:p w14:paraId="29B7D407"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0C4DDA5A" w14:textId="77777777" w:rsidR="009338B9" w:rsidRPr="0027701C" w:rsidRDefault="009338B9" w:rsidP="0027701C">
            <w:pPr>
              <w:pStyle w:val="Bodytext20"/>
              <w:spacing w:after="120" w:line="240" w:lineRule="auto"/>
              <w:rPr>
                <w:rFonts w:ascii="Sylfaen" w:hAnsi="Sylfaen"/>
                <w:color w:val="000000" w:themeColor="text1"/>
                <w:sz w:val="16"/>
                <w:szCs w:val="16"/>
              </w:rPr>
            </w:pPr>
            <w:hyperlink r:id="rId31">
              <w:r w:rsidRPr="0027701C">
                <w:rPr>
                  <w:rStyle w:val="Hyperlink"/>
                  <w:rFonts w:ascii="Sylfaen" w:hAnsi="Sylfaen"/>
                  <w:color w:val="000000" w:themeColor="text1"/>
                  <w:sz w:val="16"/>
                  <w:szCs w:val="16"/>
                  <w:u w:val="none"/>
                </w:rPr>
                <w:t>կՎտժ/</w:t>
              </w:r>
            </w:hyperlink>
            <w:hyperlink r:id="rId32">
              <w:r w:rsidRPr="0027701C">
                <w:rPr>
                  <w:rStyle w:val="Hyperlink"/>
                  <w:rFonts w:ascii="Sylfaen" w:hAnsi="Sylfaen"/>
                  <w:color w:val="000000" w:themeColor="text1"/>
                  <w:sz w:val="16"/>
                  <w:szCs w:val="16"/>
                  <w:u w:val="none"/>
                </w:rPr>
                <w:t>տարի</w:t>
              </w:r>
            </w:hyperlink>
          </w:p>
        </w:tc>
      </w:tr>
      <w:tr w:rsidR="009338B9" w:rsidRPr="0027701C" w14:paraId="19C30E5E" w14:textId="77777777" w:rsidTr="0027701C">
        <w:trPr>
          <w:jc w:val="center"/>
        </w:trPr>
        <w:tc>
          <w:tcPr>
            <w:tcW w:w="1681" w:type="dxa"/>
            <w:tcBorders>
              <w:top w:val="single" w:sz="4" w:space="0" w:color="auto"/>
              <w:left w:val="single" w:sz="4" w:space="0" w:color="auto"/>
            </w:tcBorders>
            <w:shd w:val="clear" w:color="auto" w:fill="FFFFFF"/>
            <w:vAlign w:val="center"/>
          </w:tcPr>
          <w:p w14:paraId="1F4D693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Անջատված ջերմապահպանիչով ռեժիմ</w:t>
            </w:r>
          </w:p>
        </w:tc>
        <w:tc>
          <w:tcPr>
            <w:tcW w:w="1276" w:type="dxa"/>
            <w:tcBorders>
              <w:top w:val="single" w:sz="4" w:space="0" w:color="auto"/>
              <w:left w:val="single" w:sz="4" w:space="0" w:color="auto"/>
            </w:tcBorders>
            <w:shd w:val="clear" w:color="auto" w:fill="FFFFFF"/>
            <w:vAlign w:val="center"/>
          </w:tcPr>
          <w:p w14:paraId="77CA541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TO</w:t>
            </w:r>
          </w:p>
        </w:tc>
        <w:tc>
          <w:tcPr>
            <w:tcW w:w="890" w:type="dxa"/>
            <w:gridSpan w:val="2"/>
            <w:tcBorders>
              <w:top w:val="single" w:sz="4" w:space="0" w:color="auto"/>
              <w:left w:val="single" w:sz="4" w:space="0" w:color="auto"/>
            </w:tcBorders>
            <w:shd w:val="clear" w:color="auto" w:fill="FFFFFF"/>
            <w:vAlign w:val="center"/>
          </w:tcPr>
          <w:p w14:paraId="280A0DB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4BDFBD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2772CAA2" w14:textId="77777777" w:rsidR="009338B9" w:rsidRPr="0027701C" w:rsidRDefault="009338B9" w:rsidP="0027701C">
            <w:pPr>
              <w:pStyle w:val="Bodytext20"/>
              <w:spacing w:after="120" w:line="240" w:lineRule="auto"/>
              <w:ind w:left="180"/>
              <w:rPr>
                <w:rFonts w:ascii="Sylfaen" w:hAnsi="Sylfaen"/>
                <w:sz w:val="16"/>
                <w:szCs w:val="16"/>
              </w:rPr>
            </w:pPr>
            <w:r w:rsidRPr="0027701C">
              <w:rPr>
                <w:rStyle w:val="Bodytext211pt"/>
                <w:rFonts w:ascii="Sylfaen" w:hAnsi="Sylfaen"/>
                <w:sz w:val="16"/>
                <w:szCs w:val="16"/>
              </w:rPr>
              <w:t>տաքացում/ավելի տաք</w:t>
            </w:r>
          </w:p>
        </w:tc>
        <w:tc>
          <w:tcPr>
            <w:tcW w:w="1247" w:type="dxa"/>
            <w:gridSpan w:val="2"/>
            <w:tcBorders>
              <w:top w:val="single" w:sz="4" w:space="0" w:color="auto"/>
              <w:left w:val="single" w:sz="4" w:space="0" w:color="auto"/>
            </w:tcBorders>
            <w:shd w:val="clear" w:color="auto" w:fill="FFFFFF"/>
            <w:vAlign w:val="center"/>
          </w:tcPr>
          <w:p w14:paraId="79D481C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Q</w:t>
            </w:r>
            <w:r w:rsidRPr="0027701C">
              <w:rPr>
                <w:rStyle w:val="Bodytext211pt"/>
                <w:rFonts w:ascii="Sylfaen" w:hAnsi="Sylfaen"/>
                <w:sz w:val="16"/>
                <w:szCs w:val="16"/>
                <w:vertAlign w:val="subscript"/>
              </w:rPr>
              <w:t>HE</w:t>
            </w:r>
          </w:p>
        </w:tc>
        <w:tc>
          <w:tcPr>
            <w:tcW w:w="883" w:type="dxa"/>
            <w:tcBorders>
              <w:top w:val="single" w:sz="4" w:space="0" w:color="auto"/>
              <w:left w:val="single" w:sz="4" w:space="0" w:color="auto"/>
            </w:tcBorders>
            <w:shd w:val="clear" w:color="auto" w:fill="FFFFFF"/>
            <w:vAlign w:val="center"/>
          </w:tcPr>
          <w:p w14:paraId="6884138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2DEDE04F" w14:textId="77777777" w:rsidR="009338B9" w:rsidRPr="0027701C" w:rsidRDefault="009338B9" w:rsidP="0027701C">
            <w:pPr>
              <w:spacing w:after="120"/>
              <w:jc w:val="center"/>
              <w:rPr>
                <w:rFonts w:ascii="Sylfaen" w:hAnsi="Sylfaen"/>
                <w:color w:val="000000" w:themeColor="text1"/>
                <w:sz w:val="16"/>
                <w:szCs w:val="16"/>
              </w:rPr>
            </w:pPr>
          </w:p>
        </w:tc>
      </w:tr>
      <w:tr w:rsidR="009338B9" w:rsidRPr="0027701C" w14:paraId="68F8DD02" w14:textId="77777777" w:rsidTr="0027701C">
        <w:trPr>
          <w:jc w:val="center"/>
        </w:trPr>
        <w:tc>
          <w:tcPr>
            <w:tcW w:w="1681" w:type="dxa"/>
            <w:tcBorders>
              <w:top w:val="single" w:sz="4" w:space="0" w:color="auto"/>
              <w:left w:val="single" w:sz="4" w:space="0" w:color="auto"/>
            </w:tcBorders>
            <w:shd w:val="clear" w:color="auto" w:fill="FFFFFF"/>
            <w:vAlign w:val="center"/>
          </w:tcPr>
          <w:p w14:paraId="6B0AF38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Հենատուփային տաքացմամբ ռեժիմ</w:t>
            </w:r>
          </w:p>
        </w:tc>
        <w:tc>
          <w:tcPr>
            <w:tcW w:w="1276" w:type="dxa"/>
            <w:tcBorders>
              <w:top w:val="single" w:sz="4" w:space="0" w:color="auto"/>
              <w:left w:val="single" w:sz="4" w:space="0" w:color="auto"/>
            </w:tcBorders>
            <w:shd w:val="clear" w:color="auto" w:fill="FFFFFF"/>
            <w:vAlign w:val="center"/>
          </w:tcPr>
          <w:p w14:paraId="1E2E6C6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P</w:t>
            </w:r>
            <w:r w:rsidRPr="0027701C">
              <w:rPr>
                <w:rStyle w:val="Bodytext211pt"/>
                <w:rFonts w:ascii="Sylfaen" w:hAnsi="Sylfaen"/>
                <w:sz w:val="16"/>
                <w:szCs w:val="16"/>
                <w:vertAlign w:val="subscript"/>
              </w:rPr>
              <w:t>CK</w:t>
            </w:r>
          </w:p>
        </w:tc>
        <w:tc>
          <w:tcPr>
            <w:tcW w:w="890" w:type="dxa"/>
            <w:gridSpan w:val="2"/>
            <w:tcBorders>
              <w:top w:val="single" w:sz="4" w:space="0" w:color="auto"/>
              <w:left w:val="single" w:sz="4" w:space="0" w:color="auto"/>
            </w:tcBorders>
            <w:shd w:val="clear" w:color="auto" w:fill="FFFFFF"/>
            <w:vAlign w:val="center"/>
          </w:tcPr>
          <w:p w14:paraId="7601486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982" w:type="dxa"/>
            <w:gridSpan w:val="2"/>
            <w:tcBorders>
              <w:top w:val="single" w:sz="4" w:space="0" w:color="auto"/>
              <w:left w:val="single" w:sz="4" w:space="0" w:color="auto"/>
            </w:tcBorders>
            <w:shd w:val="clear" w:color="auto" w:fill="FFFFFF"/>
            <w:vAlign w:val="center"/>
          </w:tcPr>
          <w:p w14:paraId="2A43EFA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կՎտ</w:t>
            </w:r>
          </w:p>
        </w:tc>
        <w:tc>
          <w:tcPr>
            <w:tcW w:w="1870" w:type="dxa"/>
            <w:gridSpan w:val="2"/>
            <w:tcBorders>
              <w:top w:val="single" w:sz="4" w:space="0" w:color="auto"/>
              <w:left w:val="single" w:sz="4" w:space="0" w:color="auto"/>
            </w:tcBorders>
            <w:shd w:val="clear" w:color="auto" w:fill="FFFFFF"/>
            <w:vAlign w:val="center"/>
          </w:tcPr>
          <w:p w14:paraId="0B4E08A1"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տաքացում/ավելի ցուրտ</w:t>
            </w:r>
          </w:p>
        </w:tc>
        <w:tc>
          <w:tcPr>
            <w:tcW w:w="1247" w:type="dxa"/>
            <w:gridSpan w:val="2"/>
            <w:tcBorders>
              <w:top w:val="single" w:sz="4" w:space="0" w:color="auto"/>
              <w:left w:val="single" w:sz="4" w:space="0" w:color="auto"/>
            </w:tcBorders>
            <w:shd w:val="clear" w:color="auto" w:fill="FFFFFF"/>
            <w:vAlign w:val="center"/>
          </w:tcPr>
          <w:p w14:paraId="4BADC0FC"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Q</w:t>
            </w:r>
            <w:r w:rsidRPr="0027701C">
              <w:rPr>
                <w:rStyle w:val="Bodytext211pt"/>
                <w:rFonts w:ascii="Sylfaen" w:hAnsi="Sylfaen"/>
                <w:sz w:val="16"/>
                <w:szCs w:val="16"/>
                <w:vertAlign w:val="subscript"/>
              </w:rPr>
              <w:t>HE</w:t>
            </w:r>
          </w:p>
        </w:tc>
        <w:tc>
          <w:tcPr>
            <w:tcW w:w="883" w:type="dxa"/>
            <w:tcBorders>
              <w:top w:val="single" w:sz="4" w:space="0" w:color="auto"/>
              <w:left w:val="single" w:sz="4" w:space="0" w:color="auto"/>
            </w:tcBorders>
            <w:shd w:val="clear" w:color="auto" w:fill="FFFFFF"/>
            <w:vAlign w:val="center"/>
          </w:tcPr>
          <w:p w14:paraId="63D15BBC" w14:textId="77777777" w:rsidR="009338B9" w:rsidRPr="0027701C" w:rsidRDefault="009338B9" w:rsidP="0027701C">
            <w:pPr>
              <w:pStyle w:val="Bodytext20"/>
              <w:spacing w:after="120" w:line="240" w:lineRule="auto"/>
              <w:rPr>
                <w:rFonts w:ascii="Sylfaen" w:hAnsi="Sylfaen"/>
                <w:sz w:val="16"/>
                <w:szCs w:val="16"/>
              </w:rPr>
            </w:pPr>
            <w:r w:rsidRPr="0027701C">
              <w:rPr>
                <w:rStyle w:val="Footnote313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vAlign w:val="center"/>
          </w:tcPr>
          <w:p w14:paraId="71B9337B" w14:textId="77777777" w:rsidR="009338B9" w:rsidRPr="0027701C" w:rsidRDefault="009338B9" w:rsidP="0027701C">
            <w:pPr>
              <w:pStyle w:val="Bodytext20"/>
              <w:spacing w:after="120" w:line="240" w:lineRule="auto"/>
              <w:rPr>
                <w:rFonts w:ascii="Sylfaen" w:hAnsi="Sylfaen"/>
                <w:color w:val="000000" w:themeColor="text1"/>
                <w:sz w:val="16"/>
                <w:szCs w:val="16"/>
              </w:rPr>
            </w:pPr>
            <w:hyperlink r:id="rId33">
              <w:r w:rsidRPr="0027701C">
                <w:rPr>
                  <w:rStyle w:val="Hyperlink"/>
                  <w:rFonts w:ascii="Sylfaen" w:hAnsi="Sylfaen"/>
                  <w:color w:val="000000" w:themeColor="text1"/>
                  <w:sz w:val="16"/>
                  <w:szCs w:val="16"/>
                  <w:u w:val="none"/>
                </w:rPr>
                <w:t>կՎտժ/</w:t>
              </w:r>
            </w:hyperlink>
            <w:hyperlink r:id="rId34">
              <w:r w:rsidRPr="0027701C">
                <w:rPr>
                  <w:rStyle w:val="Hyperlink"/>
                  <w:rFonts w:ascii="Sylfaen" w:hAnsi="Sylfaen"/>
                  <w:color w:val="000000" w:themeColor="text1"/>
                  <w:sz w:val="16"/>
                  <w:szCs w:val="16"/>
                  <w:u w:val="none"/>
                </w:rPr>
                <w:t>տարի</w:t>
              </w:r>
            </w:hyperlink>
          </w:p>
        </w:tc>
      </w:tr>
      <w:tr w:rsidR="009338B9" w:rsidRPr="0027701C" w14:paraId="588AC79B" w14:textId="77777777" w:rsidTr="0027701C">
        <w:trPr>
          <w:jc w:val="center"/>
        </w:trPr>
        <w:tc>
          <w:tcPr>
            <w:tcW w:w="4819" w:type="dxa"/>
            <w:gridSpan w:val="5"/>
            <w:tcBorders>
              <w:top w:val="single" w:sz="4" w:space="0" w:color="auto"/>
              <w:left w:val="single" w:sz="4" w:space="0" w:color="auto"/>
            </w:tcBorders>
            <w:shd w:val="clear" w:color="auto" w:fill="FFFFFF"/>
          </w:tcPr>
          <w:p w14:paraId="2E438226" w14:textId="77777777" w:rsidR="009338B9" w:rsidRPr="0027701C" w:rsidRDefault="009338B9" w:rsidP="008E78DD">
            <w:pPr>
              <w:pStyle w:val="Bodytext20"/>
              <w:spacing w:after="120" w:line="240" w:lineRule="auto"/>
              <w:ind w:left="1060"/>
              <w:rPr>
                <w:rFonts w:ascii="Sylfaen" w:hAnsi="Sylfaen"/>
                <w:sz w:val="16"/>
                <w:szCs w:val="16"/>
              </w:rPr>
            </w:pPr>
            <w:r w:rsidRPr="0027701C">
              <w:rPr>
                <w:rStyle w:val="Bodytext211pt"/>
                <w:rFonts w:ascii="Sylfaen" w:hAnsi="Sylfaen"/>
                <w:sz w:val="16"/>
                <w:szCs w:val="16"/>
              </w:rPr>
              <w:t>Հզորության կարգավորում (նշվում է երեքից մեկը)</w:t>
            </w:r>
          </w:p>
        </w:tc>
        <w:tc>
          <w:tcPr>
            <w:tcW w:w="5160" w:type="dxa"/>
            <w:gridSpan w:val="7"/>
            <w:tcBorders>
              <w:top w:val="single" w:sz="4" w:space="0" w:color="auto"/>
              <w:left w:val="single" w:sz="4" w:space="0" w:color="auto"/>
              <w:right w:val="single" w:sz="4" w:space="0" w:color="auto"/>
            </w:tcBorders>
            <w:shd w:val="clear" w:color="auto" w:fill="FFFFFF"/>
          </w:tcPr>
          <w:p w14:paraId="6EE4BF46" w14:textId="77777777" w:rsidR="009338B9" w:rsidRPr="0027701C" w:rsidRDefault="009338B9" w:rsidP="008E78DD">
            <w:pPr>
              <w:pStyle w:val="Bodytext20"/>
              <w:spacing w:after="120" w:line="240" w:lineRule="auto"/>
              <w:rPr>
                <w:rFonts w:ascii="Sylfaen" w:hAnsi="Sylfaen"/>
                <w:sz w:val="16"/>
                <w:szCs w:val="16"/>
              </w:rPr>
            </w:pPr>
            <w:r w:rsidRPr="0027701C">
              <w:rPr>
                <w:rStyle w:val="Bodytext211pt"/>
                <w:rFonts w:ascii="Sylfaen" w:hAnsi="Sylfaen"/>
                <w:sz w:val="16"/>
                <w:szCs w:val="16"/>
              </w:rPr>
              <w:t>Այլ</w:t>
            </w:r>
          </w:p>
        </w:tc>
      </w:tr>
      <w:tr w:rsidR="009338B9" w:rsidRPr="0027701C" w14:paraId="24D49051" w14:textId="77777777" w:rsidTr="0027701C">
        <w:trPr>
          <w:jc w:val="center"/>
        </w:trPr>
        <w:tc>
          <w:tcPr>
            <w:tcW w:w="1681" w:type="dxa"/>
            <w:tcBorders>
              <w:top w:val="single" w:sz="4" w:space="0" w:color="auto"/>
              <w:left w:val="single" w:sz="4" w:space="0" w:color="auto"/>
            </w:tcBorders>
            <w:shd w:val="clear" w:color="auto" w:fill="FFFFFF"/>
            <w:vAlign w:val="center"/>
          </w:tcPr>
          <w:p w14:paraId="5F1863CB" w14:textId="77777777" w:rsidR="009338B9" w:rsidRPr="0027701C" w:rsidRDefault="009338B9" w:rsidP="0027701C">
            <w:pPr>
              <w:pStyle w:val="Bodytext20"/>
              <w:spacing w:after="120" w:line="240" w:lineRule="auto"/>
              <w:ind w:left="220"/>
              <w:rPr>
                <w:rFonts w:ascii="Sylfaen" w:hAnsi="Sylfaen"/>
                <w:sz w:val="16"/>
                <w:szCs w:val="16"/>
              </w:rPr>
            </w:pPr>
            <w:r w:rsidRPr="0027701C">
              <w:rPr>
                <w:rStyle w:val="Bodytext211pt"/>
                <w:rFonts w:ascii="Sylfaen" w:hAnsi="Sylfaen"/>
                <w:sz w:val="16"/>
                <w:szCs w:val="16"/>
              </w:rPr>
              <w:t>Ֆիքսված</w:t>
            </w:r>
          </w:p>
        </w:tc>
        <w:tc>
          <w:tcPr>
            <w:tcW w:w="3138" w:type="dxa"/>
            <w:gridSpan w:val="4"/>
            <w:tcBorders>
              <w:top w:val="single" w:sz="4" w:space="0" w:color="auto"/>
              <w:left w:val="single" w:sz="4" w:space="0" w:color="auto"/>
            </w:tcBorders>
            <w:shd w:val="clear" w:color="auto" w:fill="FFFFFF"/>
            <w:vAlign w:val="center"/>
          </w:tcPr>
          <w:p w14:paraId="45B93E7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առկա է/առկա չէ</w:t>
            </w:r>
          </w:p>
        </w:tc>
        <w:tc>
          <w:tcPr>
            <w:tcW w:w="1870" w:type="dxa"/>
            <w:gridSpan w:val="2"/>
            <w:tcBorders>
              <w:top w:val="single" w:sz="4" w:space="0" w:color="auto"/>
              <w:left w:val="single" w:sz="4" w:space="0" w:color="auto"/>
            </w:tcBorders>
            <w:shd w:val="clear" w:color="auto" w:fill="FFFFFF"/>
            <w:vAlign w:val="center"/>
          </w:tcPr>
          <w:p w14:paraId="6E9DF4EE"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Ձայնային հզորության մակարդակը (***)</w:t>
            </w:r>
          </w:p>
        </w:tc>
        <w:tc>
          <w:tcPr>
            <w:tcW w:w="1247" w:type="dxa"/>
            <w:gridSpan w:val="2"/>
            <w:tcBorders>
              <w:top w:val="single" w:sz="4" w:space="0" w:color="auto"/>
              <w:left w:val="single" w:sz="4" w:space="0" w:color="auto"/>
            </w:tcBorders>
            <w:shd w:val="clear" w:color="auto" w:fill="FFFFFF"/>
            <w:vAlign w:val="center"/>
          </w:tcPr>
          <w:p w14:paraId="3CCA33EA"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L</w:t>
            </w:r>
            <w:r w:rsidRPr="0027701C">
              <w:rPr>
                <w:rStyle w:val="Bodytext211pt"/>
                <w:rFonts w:ascii="Sylfaen" w:hAnsi="Sylfaen"/>
                <w:sz w:val="16"/>
                <w:szCs w:val="16"/>
                <w:vertAlign w:val="subscript"/>
              </w:rPr>
              <w:t>WA</w:t>
            </w:r>
          </w:p>
        </w:tc>
        <w:tc>
          <w:tcPr>
            <w:tcW w:w="893" w:type="dxa"/>
            <w:gridSpan w:val="2"/>
            <w:tcBorders>
              <w:top w:val="single" w:sz="4" w:space="0" w:color="auto"/>
              <w:left w:val="single" w:sz="4" w:space="0" w:color="auto"/>
            </w:tcBorders>
            <w:shd w:val="clear" w:color="auto" w:fill="FFFFFF"/>
            <w:vAlign w:val="center"/>
          </w:tcPr>
          <w:p w14:paraId="34366FC0"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x,x/x,x</w:t>
            </w:r>
          </w:p>
        </w:tc>
        <w:tc>
          <w:tcPr>
            <w:tcW w:w="1150" w:type="dxa"/>
            <w:tcBorders>
              <w:top w:val="single" w:sz="4" w:space="0" w:color="auto"/>
              <w:left w:val="single" w:sz="4" w:space="0" w:color="auto"/>
              <w:right w:val="single" w:sz="4" w:space="0" w:color="auto"/>
            </w:tcBorders>
            <w:shd w:val="clear" w:color="auto" w:fill="FFFFFF"/>
          </w:tcPr>
          <w:p w14:paraId="2769E720" w14:textId="77777777" w:rsidR="009338B9" w:rsidRPr="0027701C" w:rsidRDefault="009338B9" w:rsidP="0027701C">
            <w:pPr>
              <w:pStyle w:val="Bodytext20"/>
              <w:spacing w:after="120" w:line="240" w:lineRule="auto"/>
              <w:rPr>
                <w:rFonts w:ascii="Sylfaen" w:hAnsi="Sylfaen"/>
                <w:sz w:val="16"/>
                <w:szCs w:val="16"/>
              </w:rPr>
            </w:pPr>
            <w:r w:rsidRPr="0027701C">
              <w:rPr>
                <w:rFonts w:ascii="Sylfaen" w:hAnsi="Sylfaen"/>
                <w:sz w:val="16"/>
                <w:szCs w:val="16"/>
              </w:rPr>
              <w:t>դԲ(Ա)</w:t>
            </w:r>
          </w:p>
        </w:tc>
      </w:tr>
      <w:tr w:rsidR="009338B9" w:rsidRPr="0027701C" w14:paraId="32EE06BA" w14:textId="77777777" w:rsidTr="0027701C">
        <w:trPr>
          <w:jc w:val="center"/>
        </w:trPr>
        <w:tc>
          <w:tcPr>
            <w:tcW w:w="1681" w:type="dxa"/>
            <w:tcBorders>
              <w:top w:val="single" w:sz="4" w:space="0" w:color="auto"/>
              <w:left w:val="single" w:sz="4" w:space="0" w:color="auto"/>
            </w:tcBorders>
            <w:shd w:val="clear" w:color="auto" w:fill="FFFFFF"/>
            <w:vAlign w:val="center"/>
          </w:tcPr>
          <w:p w14:paraId="09B1372A" w14:textId="77777777" w:rsidR="009338B9" w:rsidRPr="0027701C" w:rsidRDefault="009338B9" w:rsidP="0027701C">
            <w:pPr>
              <w:pStyle w:val="Bodytext20"/>
              <w:spacing w:after="120" w:line="240" w:lineRule="auto"/>
              <w:ind w:right="300"/>
              <w:rPr>
                <w:rFonts w:ascii="Sylfaen" w:hAnsi="Sylfaen"/>
                <w:sz w:val="16"/>
                <w:szCs w:val="16"/>
              </w:rPr>
            </w:pPr>
            <w:r w:rsidRPr="0027701C">
              <w:rPr>
                <w:rStyle w:val="Bodytext211pt"/>
                <w:rFonts w:ascii="Sylfaen" w:hAnsi="Sylfaen"/>
                <w:sz w:val="16"/>
                <w:szCs w:val="16"/>
              </w:rPr>
              <w:t>Աստիճանավոր</w:t>
            </w:r>
          </w:p>
        </w:tc>
        <w:tc>
          <w:tcPr>
            <w:tcW w:w="3138" w:type="dxa"/>
            <w:gridSpan w:val="4"/>
            <w:tcBorders>
              <w:top w:val="single" w:sz="4" w:space="0" w:color="auto"/>
              <w:left w:val="single" w:sz="4" w:space="0" w:color="auto"/>
            </w:tcBorders>
            <w:shd w:val="clear" w:color="auto" w:fill="FFFFFF"/>
            <w:vAlign w:val="center"/>
          </w:tcPr>
          <w:p w14:paraId="6E9E018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առկա է/առկա չէ</w:t>
            </w:r>
          </w:p>
        </w:tc>
        <w:tc>
          <w:tcPr>
            <w:tcW w:w="1870" w:type="dxa"/>
            <w:gridSpan w:val="2"/>
            <w:tcBorders>
              <w:top w:val="single" w:sz="4" w:space="0" w:color="auto"/>
              <w:left w:val="single" w:sz="4" w:space="0" w:color="auto"/>
            </w:tcBorders>
            <w:shd w:val="clear" w:color="auto" w:fill="FFFFFF"/>
            <w:vAlign w:val="center"/>
          </w:tcPr>
          <w:p w14:paraId="3EAD658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Գլոբալ տաքացման ներուժը</w:t>
            </w:r>
          </w:p>
        </w:tc>
        <w:tc>
          <w:tcPr>
            <w:tcW w:w="1247" w:type="dxa"/>
            <w:gridSpan w:val="2"/>
            <w:tcBorders>
              <w:top w:val="single" w:sz="4" w:space="0" w:color="auto"/>
              <w:left w:val="single" w:sz="4" w:space="0" w:color="auto"/>
            </w:tcBorders>
            <w:shd w:val="clear" w:color="auto" w:fill="FFFFFF"/>
            <w:vAlign w:val="center"/>
          </w:tcPr>
          <w:p w14:paraId="1D1C7244"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GWP</w:t>
            </w:r>
          </w:p>
        </w:tc>
        <w:tc>
          <w:tcPr>
            <w:tcW w:w="893" w:type="dxa"/>
            <w:gridSpan w:val="2"/>
            <w:tcBorders>
              <w:top w:val="single" w:sz="4" w:space="0" w:color="auto"/>
              <w:left w:val="single" w:sz="4" w:space="0" w:color="auto"/>
            </w:tcBorders>
            <w:shd w:val="clear" w:color="auto" w:fill="FFFFFF"/>
            <w:vAlign w:val="center"/>
          </w:tcPr>
          <w:p w14:paraId="67585119"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w:t>
            </w:r>
          </w:p>
        </w:tc>
        <w:tc>
          <w:tcPr>
            <w:tcW w:w="1150" w:type="dxa"/>
            <w:tcBorders>
              <w:top w:val="single" w:sz="4" w:space="0" w:color="auto"/>
              <w:left w:val="single" w:sz="4" w:space="0" w:color="auto"/>
              <w:right w:val="single" w:sz="4" w:space="0" w:color="auto"/>
            </w:tcBorders>
            <w:shd w:val="clear" w:color="auto" w:fill="FFFFFF"/>
          </w:tcPr>
          <w:p w14:paraId="422C2757" w14:textId="77777777" w:rsidR="009338B9" w:rsidRPr="0027701C" w:rsidRDefault="009338B9" w:rsidP="0027701C">
            <w:pPr>
              <w:pStyle w:val="Bodytext20"/>
              <w:spacing w:after="120" w:line="240" w:lineRule="auto"/>
              <w:rPr>
                <w:rFonts w:ascii="Sylfaen" w:hAnsi="Sylfaen"/>
                <w:sz w:val="16"/>
                <w:szCs w:val="16"/>
              </w:rPr>
            </w:pPr>
            <w:r w:rsidRPr="0027701C">
              <w:rPr>
                <w:rFonts w:ascii="Sylfaen" w:hAnsi="Sylfaen"/>
                <w:sz w:val="16"/>
                <w:szCs w:val="16"/>
              </w:rPr>
              <w:t>կգ CO</w:t>
            </w:r>
            <w:r w:rsidRPr="0027701C">
              <w:rPr>
                <w:rFonts w:ascii="Sylfaen" w:hAnsi="Sylfaen"/>
                <w:sz w:val="16"/>
                <w:szCs w:val="16"/>
                <w:vertAlign w:val="subscript"/>
              </w:rPr>
              <w:t>2</w:t>
            </w:r>
          </w:p>
        </w:tc>
      </w:tr>
      <w:tr w:rsidR="009338B9" w:rsidRPr="0027701C" w14:paraId="52DFA66A" w14:textId="77777777" w:rsidTr="0027701C">
        <w:trPr>
          <w:jc w:val="center"/>
        </w:trPr>
        <w:tc>
          <w:tcPr>
            <w:tcW w:w="1681" w:type="dxa"/>
            <w:tcBorders>
              <w:top w:val="single" w:sz="4" w:space="0" w:color="auto"/>
              <w:left w:val="single" w:sz="4" w:space="0" w:color="auto"/>
              <w:bottom w:val="single" w:sz="4" w:space="0" w:color="auto"/>
            </w:tcBorders>
            <w:shd w:val="clear" w:color="auto" w:fill="FFFFFF"/>
            <w:vAlign w:val="center"/>
          </w:tcPr>
          <w:p w14:paraId="7084EA67" w14:textId="77777777" w:rsidR="009338B9" w:rsidRPr="0027701C" w:rsidRDefault="009338B9" w:rsidP="0027701C">
            <w:pPr>
              <w:pStyle w:val="Bodytext20"/>
              <w:spacing w:after="120" w:line="240" w:lineRule="auto"/>
              <w:ind w:right="300"/>
              <w:rPr>
                <w:rFonts w:ascii="Sylfaen" w:hAnsi="Sylfaen"/>
                <w:sz w:val="16"/>
                <w:szCs w:val="16"/>
              </w:rPr>
            </w:pPr>
            <w:r w:rsidRPr="0027701C">
              <w:rPr>
                <w:rStyle w:val="Bodytext211pt"/>
                <w:rFonts w:ascii="Sylfaen" w:hAnsi="Sylfaen"/>
                <w:sz w:val="16"/>
                <w:szCs w:val="16"/>
              </w:rPr>
              <w:t>Կարգավորվող</w:t>
            </w:r>
          </w:p>
        </w:tc>
        <w:tc>
          <w:tcPr>
            <w:tcW w:w="3138" w:type="dxa"/>
            <w:gridSpan w:val="4"/>
            <w:tcBorders>
              <w:top w:val="single" w:sz="4" w:space="0" w:color="auto"/>
              <w:left w:val="single" w:sz="4" w:space="0" w:color="auto"/>
              <w:bottom w:val="single" w:sz="4" w:space="0" w:color="auto"/>
            </w:tcBorders>
            <w:shd w:val="clear" w:color="auto" w:fill="FFFFFF"/>
            <w:vAlign w:val="center"/>
          </w:tcPr>
          <w:p w14:paraId="362173A5"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առկա է/առկա չէ</w:t>
            </w:r>
          </w:p>
        </w:tc>
        <w:tc>
          <w:tcPr>
            <w:tcW w:w="1870" w:type="dxa"/>
            <w:gridSpan w:val="2"/>
            <w:tcBorders>
              <w:top w:val="single" w:sz="4" w:space="0" w:color="auto"/>
              <w:left w:val="single" w:sz="4" w:space="0" w:color="auto"/>
              <w:bottom w:val="single" w:sz="4" w:space="0" w:color="auto"/>
            </w:tcBorders>
            <w:shd w:val="clear" w:color="auto" w:fill="FFFFFF"/>
            <w:vAlign w:val="center"/>
          </w:tcPr>
          <w:p w14:paraId="3C5E4F18"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Օդի անվանական հոսքը</w:t>
            </w:r>
          </w:p>
        </w:tc>
        <w:tc>
          <w:tcPr>
            <w:tcW w:w="1247" w:type="dxa"/>
            <w:gridSpan w:val="2"/>
            <w:tcBorders>
              <w:top w:val="single" w:sz="4" w:space="0" w:color="auto"/>
              <w:left w:val="single" w:sz="4" w:space="0" w:color="auto"/>
              <w:bottom w:val="single" w:sz="4" w:space="0" w:color="auto"/>
            </w:tcBorders>
            <w:shd w:val="clear" w:color="auto" w:fill="FFFFFF"/>
            <w:vAlign w:val="center"/>
          </w:tcPr>
          <w:p w14:paraId="090D1082"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w:t>
            </w:r>
          </w:p>
        </w:tc>
        <w:tc>
          <w:tcPr>
            <w:tcW w:w="893" w:type="dxa"/>
            <w:gridSpan w:val="2"/>
            <w:tcBorders>
              <w:top w:val="single" w:sz="4" w:space="0" w:color="auto"/>
              <w:left w:val="single" w:sz="4" w:space="0" w:color="auto"/>
              <w:bottom w:val="single" w:sz="4" w:space="0" w:color="auto"/>
            </w:tcBorders>
            <w:shd w:val="clear" w:color="auto" w:fill="FFFFFF"/>
            <w:vAlign w:val="center"/>
          </w:tcPr>
          <w:p w14:paraId="553EF4F6" w14:textId="77777777" w:rsidR="009338B9" w:rsidRPr="0027701C" w:rsidRDefault="009338B9" w:rsidP="0027701C">
            <w:pPr>
              <w:pStyle w:val="Bodytext20"/>
              <w:spacing w:after="120" w:line="240" w:lineRule="auto"/>
              <w:rPr>
                <w:rFonts w:ascii="Sylfaen" w:hAnsi="Sylfaen"/>
                <w:sz w:val="16"/>
                <w:szCs w:val="16"/>
              </w:rPr>
            </w:pPr>
            <w:r w:rsidRPr="0027701C">
              <w:rPr>
                <w:rStyle w:val="Bodytext211pt"/>
                <w:rFonts w:ascii="Sylfaen" w:hAnsi="Sylfaen"/>
                <w:sz w:val="16"/>
                <w:szCs w:val="16"/>
              </w:rPr>
              <w:t>x/x</w:t>
            </w:r>
          </w:p>
        </w:tc>
        <w:tc>
          <w:tcPr>
            <w:tcW w:w="1150" w:type="dxa"/>
            <w:tcBorders>
              <w:top w:val="single" w:sz="4" w:space="0" w:color="auto"/>
              <w:left w:val="single" w:sz="4" w:space="0" w:color="auto"/>
              <w:bottom w:val="single" w:sz="4" w:space="0" w:color="auto"/>
              <w:right w:val="single" w:sz="4" w:space="0" w:color="auto"/>
            </w:tcBorders>
            <w:shd w:val="clear" w:color="auto" w:fill="FFFFFF"/>
          </w:tcPr>
          <w:p w14:paraId="6B4861DF" w14:textId="77777777" w:rsidR="009338B9" w:rsidRPr="0027701C" w:rsidRDefault="009338B9" w:rsidP="0027701C">
            <w:pPr>
              <w:pStyle w:val="Bodytext20"/>
              <w:spacing w:after="120" w:line="240" w:lineRule="auto"/>
              <w:rPr>
                <w:rFonts w:ascii="Sylfaen" w:hAnsi="Sylfaen"/>
                <w:sz w:val="16"/>
                <w:szCs w:val="16"/>
              </w:rPr>
            </w:pPr>
            <w:r w:rsidRPr="0027701C">
              <w:rPr>
                <w:rFonts w:ascii="Sylfaen" w:hAnsi="Sylfaen"/>
                <w:sz w:val="16"/>
                <w:szCs w:val="16"/>
              </w:rPr>
              <w:t>մ</w:t>
            </w:r>
            <w:r w:rsidRPr="0027701C">
              <w:rPr>
                <w:rFonts w:ascii="Sylfaen" w:hAnsi="Sylfaen"/>
                <w:sz w:val="16"/>
                <w:szCs w:val="16"/>
                <w:vertAlign w:val="superscript"/>
              </w:rPr>
              <w:t>3</w:t>
            </w:r>
            <w:r w:rsidRPr="0027701C">
              <w:rPr>
                <w:rFonts w:ascii="Sylfaen" w:hAnsi="Sylfaen"/>
                <w:sz w:val="16"/>
                <w:szCs w:val="16"/>
              </w:rPr>
              <w:t>/ժ</w:t>
            </w:r>
          </w:p>
        </w:tc>
      </w:tr>
    </w:tbl>
    <w:p w14:paraId="69001AD4" w14:textId="77777777" w:rsidR="009338B9" w:rsidRPr="00CF39EE" w:rsidRDefault="009338B9" w:rsidP="009338B9">
      <w:pPr>
        <w:spacing w:after="160" w:line="360" w:lineRule="auto"/>
        <w:rPr>
          <w:rFonts w:ascii="Sylfaen" w:hAnsi="Sylfaen"/>
        </w:rPr>
      </w:pPr>
    </w:p>
    <w:p w14:paraId="44122D8D" w14:textId="77777777" w:rsidR="009338B9" w:rsidRPr="0027701C" w:rsidRDefault="009338B9" w:rsidP="0027701C">
      <w:pPr>
        <w:pStyle w:val="Bodytext50"/>
        <w:spacing w:before="0" w:after="160" w:line="360" w:lineRule="auto"/>
        <w:rPr>
          <w:rFonts w:ascii="Sylfaen" w:hAnsi="Sylfaen"/>
          <w:sz w:val="20"/>
          <w:szCs w:val="20"/>
        </w:rPr>
      </w:pPr>
      <w:r w:rsidRPr="0027701C">
        <w:rPr>
          <w:rFonts w:ascii="Sylfaen" w:hAnsi="Sylfaen"/>
          <w:sz w:val="20"/>
          <w:szCs w:val="20"/>
        </w:rPr>
        <w:t>Ծանոթագրություն։</w:t>
      </w:r>
    </w:p>
    <w:p w14:paraId="086A61B4" w14:textId="77777777" w:rsidR="009338B9" w:rsidRPr="0027701C" w:rsidRDefault="009338B9" w:rsidP="0027701C">
      <w:pPr>
        <w:pStyle w:val="Bodytext50"/>
        <w:spacing w:before="0" w:after="160" w:line="360" w:lineRule="auto"/>
        <w:rPr>
          <w:rFonts w:ascii="Sylfaen" w:hAnsi="Sylfaen"/>
          <w:sz w:val="20"/>
          <w:szCs w:val="20"/>
        </w:rPr>
      </w:pPr>
      <w:r w:rsidRPr="0027701C">
        <w:rPr>
          <w:rFonts w:ascii="Sylfaen" w:hAnsi="Sylfaen"/>
          <w:sz w:val="20"/>
          <w:szCs w:val="20"/>
        </w:rPr>
        <w:t>Աղյուսակի վանդակներում «х» տասնորդական նիշերի քանակը համապատասխանում է տվյալների պահանջվող ճշգրտությանը:</w:t>
      </w:r>
    </w:p>
    <w:p w14:paraId="7432E3F2" w14:textId="77777777" w:rsidR="009338B9" w:rsidRPr="0027701C" w:rsidRDefault="009338B9" w:rsidP="0027701C">
      <w:pPr>
        <w:pStyle w:val="Bodytext50"/>
        <w:tabs>
          <w:tab w:val="left" w:pos="567"/>
        </w:tabs>
        <w:spacing w:before="0" w:after="160" w:line="360" w:lineRule="auto"/>
        <w:rPr>
          <w:rFonts w:ascii="Sylfaen" w:hAnsi="Sylfaen"/>
          <w:sz w:val="20"/>
          <w:szCs w:val="20"/>
        </w:rPr>
      </w:pPr>
      <w:r w:rsidRPr="0027701C">
        <w:rPr>
          <w:rFonts w:ascii="Sylfaen" w:hAnsi="Sylfaen"/>
          <w:sz w:val="20"/>
          <w:szCs w:val="20"/>
        </w:rPr>
        <w:t xml:space="preserve">* </w:t>
      </w:r>
      <w:r w:rsidR="0027701C" w:rsidRPr="0027701C">
        <w:rPr>
          <w:rFonts w:ascii="Sylfaen" w:hAnsi="Sylfaen"/>
          <w:sz w:val="20"/>
          <w:szCs w:val="20"/>
        </w:rPr>
        <w:tab/>
      </w:r>
      <w:r w:rsidRPr="0027701C">
        <w:rPr>
          <w:rFonts w:ascii="Sylfaen" w:hAnsi="Sylfaen"/>
          <w:sz w:val="20"/>
          <w:szCs w:val="20"/>
        </w:rPr>
        <w:t xml:space="preserve">Հզորության աստիճանավոր կարգավորմամբ սարքերի համար «Հայտարարված հզորությունը» եւ «Հայտարարված էներգետիկ արդյունավետությունը» բաժնի յուրաքանչյուր վանդակում հարկ է նշել EER եւ (կամ) </w:t>
      </w:r>
      <w:smartTag w:uri="urn:schemas-microsoft-com:office:smarttags" w:element="stockticker">
        <w:r w:rsidRPr="0027701C">
          <w:rPr>
            <w:rFonts w:ascii="Sylfaen" w:hAnsi="Sylfaen"/>
            <w:sz w:val="20"/>
            <w:szCs w:val="20"/>
          </w:rPr>
          <w:t>COP</w:t>
        </w:r>
      </w:smartTag>
      <w:r w:rsidRPr="0027701C">
        <w:rPr>
          <w:rFonts w:ascii="Sylfaen" w:hAnsi="Sylfaen"/>
          <w:sz w:val="20"/>
          <w:szCs w:val="20"/>
        </w:rPr>
        <w:t xml:space="preserve"> արժեքները, որոնք բաժանված են «/» նշանի միջոցով հզորության կարգավորման աստիճանների երկուսից յուրաքանչյուրի համար:</w:t>
      </w:r>
    </w:p>
    <w:p w14:paraId="5F5FA589" w14:textId="77777777" w:rsidR="009338B9" w:rsidRPr="0027701C" w:rsidRDefault="009338B9" w:rsidP="0027701C">
      <w:pPr>
        <w:pStyle w:val="Bodytext50"/>
        <w:tabs>
          <w:tab w:val="left" w:pos="567"/>
        </w:tabs>
        <w:spacing w:before="0" w:after="160" w:line="360" w:lineRule="auto"/>
        <w:rPr>
          <w:rFonts w:ascii="Sylfaen" w:hAnsi="Sylfaen"/>
          <w:sz w:val="20"/>
          <w:szCs w:val="20"/>
        </w:rPr>
      </w:pPr>
      <w:r w:rsidRPr="0027701C">
        <w:rPr>
          <w:rFonts w:ascii="Sylfaen" w:hAnsi="Sylfaen"/>
          <w:sz w:val="20"/>
          <w:szCs w:val="20"/>
        </w:rPr>
        <w:t>**</w:t>
      </w:r>
      <w:r w:rsidR="0027701C" w:rsidRPr="0027701C">
        <w:rPr>
          <w:rFonts w:ascii="Sylfaen" w:hAnsi="Sylfaen"/>
          <w:sz w:val="20"/>
          <w:szCs w:val="20"/>
        </w:rPr>
        <w:tab/>
      </w:r>
      <w:r w:rsidRPr="0027701C">
        <w:rPr>
          <w:rFonts w:ascii="Sylfaen" w:hAnsi="Sylfaen"/>
          <w:sz w:val="20"/>
          <w:szCs w:val="20"/>
        </w:rPr>
        <w:t>Եթե սկզբնադիր ընտրվում է C</w:t>
      </w:r>
      <w:r w:rsidRPr="0027701C">
        <w:rPr>
          <w:rFonts w:ascii="Sylfaen" w:hAnsi="Sylfaen"/>
          <w:sz w:val="20"/>
          <w:szCs w:val="20"/>
          <w:vertAlign w:val="subscript"/>
        </w:rPr>
        <w:t>d</w:t>
      </w:r>
      <w:r w:rsidRPr="0027701C">
        <w:rPr>
          <w:rFonts w:ascii="Sylfaen" w:hAnsi="Sylfaen"/>
          <w:sz w:val="20"/>
          <w:szCs w:val="20"/>
        </w:rPr>
        <w:t xml:space="preserve"> = 0,25, ապա ցիկլային ռեժիմում փորձարկումների անցկացում (եւ դրանց արդյունքները) չի պահանջվում: Այլ դեպքում պահանջվում է նշել արժեքը՝ հովացման եւ (կամ) տաքացման ռեժիմում ցիկլային փորձարկման համար:</w:t>
      </w:r>
    </w:p>
    <w:p w14:paraId="735E64E3" w14:textId="77777777" w:rsidR="009338B9" w:rsidRPr="0027701C" w:rsidRDefault="009338B9" w:rsidP="0027701C">
      <w:pPr>
        <w:pStyle w:val="Bodytext50"/>
        <w:tabs>
          <w:tab w:val="left" w:pos="567"/>
        </w:tabs>
        <w:spacing w:before="0" w:after="160" w:line="360" w:lineRule="auto"/>
        <w:rPr>
          <w:rFonts w:ascii="Sylfaen" w:hAnsi="Sylfaen"/>
          <w:sz w:val="20"/>
          <w:szCs w:val="20"/>
        </w:rPr>
      </w:pPr>
      <w:r w:rsidRPr="0027701C">
        <w:rPr>
          <w:rFonts w:ascii="Sylfaen" w:hAnsi="Sylfaen"/>
          <w:sz w:val="20"/>
          <w:szCs w:val="20"/>
        </w:rPr>
        <w:t>***</w:t>
      </w:r>
      <w:r w:rsidR="0027701C" w:rsidRPr="0027701C">
        <w:rPr>
          <w:rFonts w:ascii="Sylfaen" w:hAnsi="Sylfaen"/>
          <w:sz w:val="20"/>
          <w:szCs w:val="20"/>
        </w:rPr>
        <w:tab/>
      </w:r>
      <w:r w:rsidRPr="0027701C">
        <w:rPr>
          <w:rFonts w:ascii="Sylfaen" w:hAnsi="Sylfaen"/>
          <w:sz w:val="20"/>
          <w:szCs w:val="20"/>
        </w:rPr>
        <w:t>Ներսում/դուրսը ձայնային հզորության մակարդակը:</w:t>
      </w:r>
    </w:p>
    <w:p w14:paraId="07515CCB" w14:textId="77777777" w:rsidR="0027701C" w:rsidRDefault="0027701C">
      <w:pPr>
        <w:rPr>
          <w:rFonts w:ascii="Sylfaen" w:eastAsia="Times New Roman" w:hAnsi="Sylfaen" w:cs="Times New Roman"/>
          <w:color w:val="auto"/>
        </w:rPr>
      </w:pPr>
      <w:r>
        <w:rPr>
          <w:rFonts w:ascii="Sylfaen" w:hAnsi="Sylfaen"/>
        </w:rPr>
        <w:br w:type="page"/>
      </w:r>
    </w:p>
    <w:p w14:paraId="576182D4" w14:textId="77777777" w:rsidR="009338B9" w:rsidRPr="00CF39EE" w:rsidRDefault="009338B9" w:rsidP="009338B9">
      <w:pPr>
        <w:pStyle w:val="Bodytext50"/>
        <w:spacing w:after="160" w:line="360" w:lineRule="auto"/>
        <w:jc w:val="right"/>
        <w:rPr>
          <w:rFonts w:ascii="Sylfaen" w:hAnsi="Sylfaen"/>
          <w:sz w:val="24"/>
          <w:szCs w:val="24"/>
        </w:rPr>
      </w:pPr>
      <w:r w:rsidRPr="00CF39EE">
        <w:rPr>
          <w:rFonts w:ascii="Sylfaen" w:hAnsi="Sylfaen"/>
          <w:sz w:val="24"/>
          <w:szCs w:val="24"/>
        </w:rPr>
        <w:lastRenderedPageBreak/>
        <w:t>Աղյուսակ 10</w:t>
      </w:r>
    </w:p>
    <w:p w14:paraId="52E4E9DD" w14:textId="77777777" w:rsidR="009338B9" w:rsidRPr="00CF39EE" w:rsidRDefault="009338B9" w:rsidP="0027701C">
      <w:pPr>
        <w:pStyle w:val="Bodytext20"/>
        <w:spacing w:after="160" w:line="360" w:lineRule="auto"/>
        <w:ind w:left="567" w:right="559"/>
        <w:rPr>
          <w:rFonts w:ascii="Sylfaen" w:hAnsi="Sylfaen"/>
          <w:sz w:val="24"/>
          <w:szCs w:val="24"/>
        </w:rPr>
      </w:pPr>
      <w:r w:rsidRPr="00CF39EE">
        <w:rPr>
          <w:rFonts w:ascii="Sylfaen" w:hAnsi="Sylfaen"/>
          <w:sz w:val="24"/>
          <w:szCs w:val="24"/>
        </w:rPr>
        <w:t xml:space="preserve">Մի- </w:t>
      </w:r>
      <w:r>
        <w:rPr>
          <w:rFonts w:ascii="Sylfaen" w:hAnsi="Sylfaen"/>
          <w:sz w:val="24"/>
          <w:szCs w:val="24"/>
        </w:rPr>
        <w:t>եւ</w:t>
      </w:r>
      <w:r w:rsidRPr="00CF39EE">
        <w:rPr>
          <w:rFonts w:ascii="Sylfaen" w:hAnsi="Sylfaen"/>
          <w:sz w:val="24"/>
          <w:szCs w:val="24"/>
        </w:rPr>
        <w:t xml:space="preserve"> երկուղի օդորակիչների մասին տեղեկատվությունը (պայմանավորված ֆունկցիաների առկայությամբ)</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36"/>
        <w:gridCol w:w="1978"/>
        <w:gridCol w:w="1973"/>
        <w:gridCol w:w="1987"/>
      </w:tblGrid>
      <w:tr w:rsidR="009338B9" w:rsidRPr="0027701C" w14:paraId="5D00DF83" w14:textId="77777777" w:rsidTr="0027701C">
        <w:trPr>
          <w:cantSplit/>
          <w:tblHeader/>
          <w:jc w:val="center"/>
        </w:trPr>
        <w:tc>
          <w:tcPr>
            <w:tcW w:w="3936" w:type="dxa"/>
            <w:tcBorders>
              <w:top w:val="single" w:sz="4" w:space="0" w:color="auto"/>
              <w:left w:val="single" w:sz="4" w:space="0" w:color="auto"/>
            </w:tcBorders>
            <w:shd w:val="clear" w:color="auto" w:fill="FFFFFF"/>
          </w:tcPr>
          <w:p w14:paraId="32EC9DE0"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Պարամետր</w:t>
            </w:r>
          </w:p>
        </w:tc>
        <w:tc>
          <w:tcPr>
            <w:tcW w:w="1978" w:type="dxa"/>
            <w:tcBorders>
              <w:top w:val="single" w:sz="4" w:space="0" w:color="auto"/>
              <w:left w:val="single" w:sz="4" w:space="0" w:color="auto"/>
            </w:tcBorders>
            <w:shd w:val="clear" w:color="auto" w:fill="FFFFFF"/>
          </w:tcPr>
          <w:p w14:paraId="3A716501" w14:textId="77777777" w:rsidR="009338B9" w:rsidRPr="0027701C" w:rsidRDefault="009338B9" w:rsidP="0027701C">
            <w:pPr>
              <w:pStyle w:val="Bodytext20"/>
              <w:spacing w:after="120" w:line="240" w:lineRule="auto"/>
              <w:ind w:right="320"/>
              <w:jc w:val="right"/>
              <w:rPr>
                <w:rFonts w:ascii="Sylfaen" w:hAnsi="Sylfaen"/>
                <w:sz w:val="20"/>
                <w:szCs w:val="20"/>
              </w:rPr>
            </w:pPr>
            <w:r w:rsidRPr="0027701C">
              <w:rPr>
                <w:rStyle w:val="Bodytext211pt"/>
                <w:rFonts w:ascii="Sylfaen" w:hAnsi="Sylfaen"/>
                <w:sz w:val="20"/>
                <w:szCs w:val="20"/>
              </w:rPr>
              <w:t>Նշագիրը</w:t>
            </w:r>
          </w:p>
        </w:tc>
        <w:tc>
          <w:tcPr>
            <w:tcW w:w="1973" w:type="dxa"/>
            <w:tcBorders>
              <w:top w:val="single" w:sz="4" w:space="0" w:color="auto"/>
              <w:left w:val="single" w:sz="4" w:space="0" w:color="auto"/>
            </w:tcBorders>
            <w:shd w:val="clear" w:color="auto" w:fill="FFFFFF"/>
          </w:tcPr>
          <w:p w14:paraId="2B3CADE8"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Պարամետրի արժեքը</w:t>
            </w:r>
          </w:p>
        </w:tc>
        <w:tc>
          <w:tcPr>
            <w:tcW w:w="1987" w:type="dxa"/>
            <w:tcBorders>
              <w:top w:val="single" w:sz="4" w:space="0" w:color="auto"/>
              <w:left w:val="single" w:sz="4" w:space="0" w:color="auto"/>
              <w:right w:val="single" w:sz="4" w:space="0" w:color="auto"/>
            </w:tcBorders>
            <w:shd w:val="clear" w:color="auto" w:fill="FFFFFF"/>
          </w:tcPr>
          <w:p w14:paraId="51E86F41"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Չափման միավորները</w:t>
            </w:r>
          </w:p>
        </w:tc>
      </w:tr>
      <w:tr w:rsidR="009338B9" w:rsidRPr="0027701C" w14:paraId="27E80A0F" w14:textId="77777777" w:rsidTr="0027701C">
        <w:trPr>
          <w:cantSplit/>
          <w:jc w:val="center"/>
        </w:trPr>
        <w:tc>
          <w:tcPr>
            <w:tcW w:w="3936" w:type="dxa"/>
            <w:tcBorders>
              <w:top w:val="single" w:sz="4" w:space="0" w:color="auto"/>
              <w:left w:val="single" w:sz="4" w:space="0" w:color="auto"/>
            </w:tcBorders>
            <w:shd w:val="clear" w:color="auto" w:fill="FFFFFF"/>
          </w:tcPr>
          <w:p w14:paraId="058B88B3"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Հովացման ռեժիմում անվանական հզորությունը</w:t>
            </w:r>
          </w:p>
        </w:tc>
        <w:tc>
          <w:tcPr>
            <w:tcW w:w="1978" w:type="dxa"/>
            <w:tcBorders>
              <w:top w:val="single" w:sz="4" w:space="0" w:color="auto"/>
              <w:left w:val="single" w:sz="4" w:space="0" w:color="auto"/>
            </w:tcBorders>
            <w:shd w:val="clear" w:color="auto" w:fill="FFFFFF"/>
            <w:vAlign w:val="center"/>
          </w:tcPr>
          <w:p w14:paraId="5507E1EA" w14:textId="77777777" w:rsidR="009338B9" w:rsidRPr="0027701C" w:rsidRDefault="009338B9" w:rsidP="0027701C">
            <w:pPr>
              <w:pStyle w:val="Bodytext20"/>
              <w:spacing w:after="120" w:line="240" w:lineRule="auto"/>
              <w:ind w:right="112"/>
              <w:rPr>
                <w:rFonts w:ascii="Sylfaen" w:hAnsi="Sylfaen"/>
                <w:sz w:val="20"/>
                <w:szCs w:val="20"/>
              </w:rPr>
            </w:pPr>
            <w:r w:rsidRPr="0027701C">
              <w:rPr>
                <w:rStyle w:val="Bodytext211pt"/>
                <w:rFonts w:ascii="Sylfaen" w:hAnsi="Sylfaen"/>
                <w:sz w:val="20"/>
                <w:szCs w:val="20"/>
              </w:rPr>
              <w:t>հովացման ռեժիմում P</w:t>
            </w:r>
            <w:r w:rsidRPr="0027701C">
              <w:rPr>
                <w:rStyle w:val="Bodytext211pt"/>
                <w:rFonts w:ascii="Sylfaen" w:hAnsi="Sylfaen"/>
                <w:sz w:val="20"/>
                <w:szCs w:val="20"/>
                <w:vertAlign w:val="subscript"/>
              </w:rPr>
              <w:t>rated</w:t>
            </w:r>
          </w:p>
        </w:tc>
        <w:tc>
          <w:tcPr>
            <w:tcW w:w="1973" w:type="dxa"/>
            <w:tcBorders>
              <w:top w:val="single" w:sz="4" w:space="0" w:color="auto"/>
              <w:left w:val="single" w:sz="4" w:space="0" w:color="auto"/>
            </w:tcBorders>
            <w:shd w:val="clear" w:color="auto" w:fill="FFFFFF"/>
            <w:vAlign w:val="center"/>
          </w:tcPr>
          <w:p w14:paraId="2A72B243"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0D2D8F88"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կՎտ</w:t>
            </w:r>
          </w:p>
        </w:tc>
      </w:tr>
      <w:tr w:rsidR="009338B9" w:rsidRPr="0027701C" w14:paraId="2626CD85" w14:textId="77777777" w:rsidTr="0027701C">
        <w:trPr>
          <w:cantSplit/>
          <w:jc w:val="center"/>
        </w:trPr>
        <w:tc>
          <w:tcPr>
            <w:tcW w:w="3936" w:type="dxa"/>
            <w:tcBorders>
              <w:top w:val="single" w:sz="4" w:space="0" w:color="auto"/>
              <w:left w:val="single" w:sz="4" w:space="0" w:color="auto"/>
            </w:tcBorders>
            <w:shd w:val="clear" w:color="auto" w:fill="FFFFFF"/>
          </w:tcPr>
          <w:p w14:paraId="0BD69707"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Տաքացման ռեժիմում անվանական հզորությունը</w:t>
            </w:r>
          </w:p>
        </w:tc>
        <w:tc>
          <w:tcPr>
            <w:tcW w:w="1978" w:type="dxa"/>
            <w:tcBorders>
              <w:top w:val="single" w:sz="4" w:space="0" w:color="auto"/>
              <w:left w:val="single" w:sz="4" w:space="0" w:color="auto"/>
            </w:tcBorders>
            <w:shd w:val="clear" w:color="auto" w:fill="FFFFFF"/>
            <w:vAlign w:val="center"/>
          </w:tcPr>
          <w:p w14:paraId="426C9626"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տաքացման ռեժիմում P</w:t>
            </w:r>
            <w:r w:rsidRPr="0027701C">
              <w:rPr>
                <w:rStyle w:val="Bodytext211pt"/>
                <w:rFonts w:ascii="Sylfaen" w:hAnsi="Sylfaen"/>
                <w:sz w:val="20"/>
                <w:szCs w:val="20"/>
                <w:vertAlign w:val="subscript"/>
              </w:rPr>
              <w:t>rated</w:t>
            </w:r>
          </w:p>
        </w:tc>
        <w:tc>
          <w:tcPr>
            <w:tcW w:w="1973" w:type="dxa"/>
            <w:tcBorders>
              <w:top w:val="single" w:sz="4" w:space="0" w:color="auto"/>
              <w:left w:val="single" w:sz="4" w:space="0" w:color="auto"/>
            </w:tcBorders>
            <w:shd w:val="clear" w:color="auto" w:fill="FFFFFF"/>
            <w:vAlign w:val="center"/>
          </w:tcPr>
          <w:p w14:paraId="5AC908E5"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6D6711E7"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կՎտ</w:t>
            </w:r>
          </w:p>
        </w:tc>
      </w:tr>
      <w:tr w:rsidR="009338B9" w:rsidRPr="0027701C" w14:paraId="2DEBF915" w14:textId="77777777" w:rsidTr="0027701C">
        <w:trPr>
          <w:cantSplit/>
          <w:jc w:val="center"/>
        </w:trPr>
        <w:tc>
          <w:tcPr>
            <w:tcW w:w="3936" w:type="dxa"/>
            <w:tcBorders>
              <w:top w:val="single" w:sz="4" w:space="0" w:color="auto"/>
              <w:left w:val="single" w:sz="4" w:space="0" w:color="auto"/>
            </w:tcBorders>
            <w:shd w:val="clear" w:color="auto" w:fill="FFFFFF"/>
          </w:tcPr>
          <w:p w14:paraId="39A731DF"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Հովացման ռեժիմում մուտքային անվանական հզորությունը</w:t>
            </w:r>
          </w:p>
        </w:tc>
        <w:tc>
          <w:tcPr>
            <w:tcW w:w="1978" w:type="dxa"/>
            <w:tcBorders>
              <w:top w:val="single" w:sz="4" w:space="0" w:color="auto"/>
              <w:left w:val="single" w:sz="4" w:space="0" w:color="auto"/>
            </w:tcBorders>
            <w:shd w:val="clear" w:color="auto" w:fill="FFFFFF"/>
            <w:vAlign w:val="center"/>
          </w:tcPr>
          <w:p w14:paraId="5E310796"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P</w:t>
            </w:r>
            <w:r w:rsidRPr="0027701C">
              <w:rPr>
                <w:rStyle w:val="Bodytext211pt"/>
                <w:rFonts w:ascii="Sylfaen" w:hAnsi="Sylfaen"/>
                <w:sz w:val="20"/>
                <w:szCs w:val="20"/>
                <w:vertAlign w:val="subscript"/>
              </w:rPr>
              <w:t>EER</w:t>
            </w:r>
          </w:p>
        </w:tc>
        <w:tc>
          <w:tcPr>
            <w:tcW w:w="1973" w:type="dxa"/>
            <w:tcBorders>
              <w:top w:val="single" w:sz="4" w:space="0" w:color="auto"/>
              <w:left w:val="single" w:sz="4" w:space="0" w:color="auto"/>
            </w:tcBorders>
            <w:shd w:val="clear" w:color="auto" w:fill="FFFFFF"/>
            <w:vAlign w:val="center"/>
          </w:tcPr>
          <w:p w14:paraId="19FCDB96"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1480D805"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կՎտ</w:t>
            </w:r>
          </w:p>
        </w:tc>
      </w:tr>
      <w:tr w:rsidR="009338B9" w:rsidRPr="0027701C" w14:paraId="2309F43A" w14:textId="77777777" w:rsidTr="0027701C">
        <w:trPr>
          <w:cantSplit/>
          <w:jc w:val="center"/>
        </w:trPr>
        <w:tc>
          <w:tcPr>
            <w:tcW w:w="3936" w:type="dxa"/>
            <w:tcBorders>
              <w:top w:val="single" w:sz="4" w:space="0" w:color="auto"/>
              <w:left w:val="single" w:sz="4" w:space="0" w:color="auto"/>
            </w:tcBorders>
            <w:shd w:val="clear" w:color="auto" w:fill="FFFFFF"/>
          </w:tcPr>
          <w:p w14:paraId="50BF561F"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Տաքացման ռեժիմում մուտքային անվանական հզորությունը</w:t>
            </w:r>
          </w:p>
        </w:tc>
        <w:tc>
          <w:tcPr>
            <w:tcW w:w="1978" w:type="dxa"/>
            <w:tcBorders>
              <w:top w:val="single" w:sz="4" w:space="0" w:color="auto"/>
              <w:left w:val="single" w:sz="4" w:space="0" w:color="auto"/>
            </w:tcBorders>
            <w:shd w:val="clear" w:color="auto" w:fill="FFFFFF"/>
            <w:vAlign w:val="center"/>
          </w:tcPr>
          <w:p w14:paraId="5757C5A4" w14:textId="77777777" w:rsidR="009338B9" w:rsidRPr="0027701C" w:rsidRDefault="009338B9" w:rsidP="0027701C">
            <w:pPr>
              <w:pStyle w:val="Bodytext20"/>
              <w:spacing w:after="120" w:line="240" w:lineRule="auto"/>
              <w:rPr>
                <w:rFonts w:ascii="Sylfaen" w:hAnsi="Sylfaen"/>
                <w:sz w:val="20"/>
                <w:szCs w:val="20"/>
              </w:rPr>
            </w:pPr>
            <w:smartTag w:uri="urn:schemas-microsoft-com:office:smarttags" w:element="stockticker">
              <w:r w:rsidRPr="0027701C">
                <w:rPr>
                  <w:rStyle w:val="Bodytext211pt"/>
                  <w:rFonts w:ascii="Sylfaen" w:hAnsi="Sylfaen"/>
                  <w:sz w:val="20"/>
                  <w:szCs w:val="20"/>
                </w:rPr>
                <w:t>P</w:t>
              </w:r>
              <w:r w:rsidRPr="0027701C">
                <w:rPr>
                  <w:rStyle w:val="Bodytext211pt"/>
                  <w:rFonts w:ascii="Sylfaen" w:hAnsi="Sylfaen"/>
                  <w:sz w:val="20"/>
                  <w:szCs w:val="20"/>
                  <w:vertAlign w:val="subscript"/>
                </w:rPr>
                <w:t>COP</w:t>
              </w:r>
            </w:smartTag>
          </w:p>
        </w:tc>
        <w:tc>
          <w:tcPr>
            <w:tcW w:w="1973" w:type="dxa"/>
            <w:tcBorders>
              <w:top w:val="single" w:sz="4" w:space="0" w:color="auto"/>
              <w:left w:val="single" w:sz="4" w:space="0" w:color="auto"/>
            </w:tcBorders>
            <w:shd w:val="clear" w:color="auto" w:fill="FFFFFF"/>
            <w:vAlign w:val="center"/>
          </w:tcPr>
          <w:p w14:paraId="5D46115F"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64155FD2"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կՎտ</w:t>
            </w:r>
          </w:p>
        </w:tc>
      </w:tr>
      <w:tr w:rsidR="009338B9" w:rsidRPr="0027701C" w14:paraId="212EF6BB" w14:textId="77777777" w:rsidTr="0027701C">
        <w:trPr>
          <w:cantSplit/>
          <w:jc w:val="center"/>
        </w:trPr>
        <w:tc>
          <w:tcPr>
            <w:tcW w:w="3936" w:type="dxa"/>
            <w:tcBorders>
              <w:top w:val="single" w:sz="4" w:space="0" w:color="auto"/>
              <w:left w:val="single" w:sz="4" w:space="0" w:color="auto"/>
            </w:tcBorders>
            <w:shd w:val="clear" w:color="auto" w:fill="FFFFFF"/>
          </w:tcPr>
          <w:p w14:paraId="4FEB0EFD"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Հովացման ռեժիմում անվանական էներգաարդյունավետությունը</w:t>
            </w:r>
          </w:p>
        </w:tc>
        <w:tc>
          <w:tcPr>
            <w:tcW w:w="1978" w:type="dxa"/>
            <w:tcBorders>
              <w:top w:val="single" w:sz="4" w:space="0" w:color="auto"/>
              <w:left w:val="single" w:sz="4" w:space="0" w:color="auto"/>
            </w:tcBorders>
            <w:shd w:val="clear" w:color="auto" w:fill="FFFFFF"/>
            <w:vAlign w:val="center"/>
          </w:tcPr>
          <w:p w14:paraId="07AAE96A"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EER</w:t>
            </w:r>
            <w:r w:rsidRPr="0027701C">
              <w:rPr>
                <w:rStyle w:val="Bodytext211pt"/>
                <w:rFonts w:ascii="Sylfaen" w:hAnsi="Sylfaen"/>
                <w:sz w:val="20"/>
                <w:szCs w:val="20"/>
                <w:vertAlign w:val="subscript"/>
              </w:rPr>
              <w:t>d</w:t>
            </w:r>
          </w:p>
        </w:tc>
        <w:tc>
          <w:tcPr>
            <w:tcW w:w="1973" w:type="dxa"/>
            <w:tcBorders>
              <w:top w:val="single" w:sz="4" w:space="0" w:color="auto"/>
              <w:left w:val="single" w:sz="4" w:space="0" w:color="auto"/>
            </w:tcBorders>
            <w:shd w:val="clear" w:color="auto" w:fill="FFFFFF"/>
            <w:vAlign w:val="center"/>
          </w:tcPr>
          <w:p w14:paraId="42C93165"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3B78B7C6"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w:t>
            </w:r>
          </w:p>
        </w:tc>
      </w:tr>
      <w:tr w:rsidR="009338B9" w:rsidRPr="0027701C" w14:paraId="3FCF51EC" w14:textId="77777777" w:rsidTr="0027701C">
        <w:trPr>
          <w:cantSplit/>
          <w:jc w:val="center"/>
        </w:trPr>
        <w:tc>
          <w:tcPr>
            <w:tcW w:w="3936" w:type="dxa"/>
            <w:tcBorders>
              <w:top w:val="single" w:sz="4" w:space="0" w:color="auto"/>
              <w:left w:val="single" w:sz="4" w:space="0" w:color="auto"/>
            </w:tcBorders>
            <w:shd w:val="clear" w:color="auto" w:fill="FFFFFF"/>
          </w:tcPr>
          <w:p w14:paraId="21BC2892"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Տաքացման ռեժիմում անվանական էներգաարդյունավետությունը</w:t>
            </w:r>
          </w:p>
        </w:tc>
        <w:tc>
          <w:tcPr>
            <w:tcW w:w="1978" w:type="dxa"/>
            <w:tcBorders>
              <w:top w:val="single" w:sz="4" w:space="0" w:color="auto"/>
              <w:left w:val="single" w:sz="4" w:space="0" w:color="auto"/>
            </w:tcBorders>
            <w:shd w:val="clear" w:color="auto" w:fill="FFFFFF"/>
            <w:vAlign w:val="center"/>
          </w:tcPr>
          <w:p w14:paraId="4A6D2B33"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COP</w:t>
            </w:r>
            <w:r w:rsidRPr="0027701C">
              <w:rPr>
                <w:rStyle w:val="Bodytext211pt"/>
                <w:rFonts w:ascii="Sylfaen" w:hAnsi="Sylfaen"/>
                <w:sz w:val="20"/>
                <w:szCs w:val="20"/>
                <w:vertAlign w:val="subscript"/>
              </w:rPr>
              <w:t>d</w:t>
            </w:r>
          </w:p>
        </w:tc>
        <w:tc>
          <w:tcPr>
            <w:tcW w:w="1973" w:type="dxa"/>
            <w:tcBorders>
              <w:top w:val="single" w:sz="4" w:space="0" w:color="auto"/>
              <w:left w:val="single" w:sz="4" w:space="0" w:color="auto"/>
            </w:tcBorders>
            <w:shd w:val="clear" w:color="auto" w:fill="FFFFFF"/>
            <w:vAlign w:val="center"/>
          </w:tcPr>
          <w:p w14:paraId="591F2C47"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1BF27716"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w:t>
            </w:r>
          </w:p>
        </w:tc>
      </w:tr>
      <w:tr w:rsidR="009338B9" w:rsidRPr="0027701C" w14:paraId="59BD03D0" w14:textId="77777777" w:rsidTr="0027701C">
        <w:trPr>
          <w:cantSplit/>
          <w:jc w:val="center"/>
        </w:trPr>
        <w:tc>
          <w:tcPr>
            <w:tcW w:w="3936" w:type="dxa"/>
            <w:tcBorders>
              <w:top w:val="single" w:sz="4" w:space="0" w:color="auto"/>
              <w:left w:val="single" w:sz="4" w:space="0" w:color="auto"/>
            </w:tcBorders>
            <w:shd w:val="clear" w:color="auto" w:fill="FFFFFF"/>
          </w:tcPr>
          <w:p w14:paraId="0F8696CA"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Անջատված ջերմակարգավորիչով ռեժիմում սպառվող հզորությունը</w:t>
            </w:r>
          </w:p>
        </w:tc>
        <w:tc>
          <w:tcPr>
            <w:tcW w:w="1978" w:type="dxa"/>
            <w:tcBorders>
              <w:top w:val="single" w:sz="4" w:space="0" w:color="auto"/>
              <w:left w:val="single" w:sz="4" w:space="0" w:color="auto"/>
            </w:tcBorders>
            <w:shd w:val="clear" w:color="auto" w:fill="FFFFFF"/>
            <w:vAlign w:val="center"/>
          </w:tcPr>
          <w:p w14:paraId="395384DF" w14:textId="77777777" w:rsidR="009338B9" w:rsidRPr="0027701C" w:rsidRDefault="009338B9" w:rsidP="0027701C">
            <w:pPr>
              <w:spacing w:after="120"/>
              <w:jc w:val="center"/>
              <w:rPr>
                <w:rFonts w:ascii="Sylfaen" w:hAnsi="Sylfaen"/>
                <w:sz w:val="20"/>
                <w:szCs w:val="20"/>
              </w:rPr>
            </w:pPr>
            <w:r w:rsidRPr="0027701C">
              <w:rPr>
                <w:rStyle w:val="Bodytext211pt"/>
                <w:rFonts w:ascii="Sylfaen" w:eastAsia="Sylfaen" w:hAnsi="Sylfaen"/>
                <w:sz w:val="20"/>
                <w:szCs w:val="20"/>
              </w:rPr>
              <w:t>P</w:t>
            </w:r>
            <w:r w:rsidRPr="0027701C">
              <w:rPr>
                <w:rStyle w:val="Bodytext211pt"/>
                <w:rFonts w:ascii="Sylfaen" w:eastAsia="Sylfaen" w:hAnsi="Sylfaen"/>
                <w:sz w:val="20"/>
                <w:szCs w:val="20"/>
                <w:vertAlign w:val="subscript"/>
              </w:rPr>
              <w:t>TO</w:t>
            </w:r>
          </w:p>
        </w:tc>
        <w:tc>
          <w:tcPr>
            <w:tcW w:w="1973" w:type="dxa"/>
            <w:tcBorders>
              <w:top w:val="single" w:sz="4" w:space="0" w:color="auto"/>
              <w:left w:val="single" w:sz="4" w:space="0" w:color="auto"/>
            </w:tcBorders>
            <w:shd w:val="clear" w:color="auto" w:fill="FFFFFF"/>
            <w:vAlign w:val="center"/>
          </w:tcPr>
          <w:p w14:paraId="541D2F69"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7EB0A529"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Վտ</w:t>
            </w:r>
          </w:p>
        </w:tc>
      </w:tr>
      <w:tr w:rsidR="009338B9" w:rsidRPr="0027701C" w14:paraId="30CAD859" w14:textId="77777777" w:rsidTr="0027701C">
        <w:trPr>
          <w:cantSplit/>
          <w:jc w:val="center"/>
        </w:trPr>
        <w:tc>
          <w:tcPr>
            <w:tcW w:w="3936" w:type="dxa"/>
            <w:tcBorders>
              <w:top w:val="single" w:sz="4" w:space="0" w:color="auto"/>
              <w:left w:val="single" w:sz="4" w:space="0" w:color="auto"/>
            </w:tcBorders>
            <w:shd w:val="clear" w:color="auto" w:fill="FFFFFF"/>
          </w:tcPr>
          <w:p w14:paraId="43482E62"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Սպասման ռեժիմում սպառվող հզորությունը</w:t>
            </w:r>
          </w:p>
        </w:tc>
        <w:tc>
          <w:tcPr>
            <w:tcW w:w="1978" w:type="dxa"/>
            <w:tcBorders>
              <w:top w:val="single" w:sz="4" w:space="0" w:color="auto"/>
              <w:left w:val="single" w:sz="4" w:space="0" w:color="auto"/>
            </w:tcBorders>
            <w:shd w:val="clear" w:color="auto" w:fill="FFFFFF"/>
            <w:vAlign w:val="center"/>
          </w:tcPr>
          <w:p w14:paraId="43284E0D" w14:textId="77777777" w:rsidR="009338B9" w:rsidRPr="0027701C" w:rsidRDefault="009338B9" w:rsidP="0027701C">
            <w:pPr>
              <w:pStyle w:val="Bodytext20"/>
              <w:spacing w:after="120" w:line="240" w:lineRule="auto"/>
              <w:rPr>
                <w:rFonts w:ascii="Sylfaen" w:hAnsi="Sylfaen"/>
                <w:sz w:val="20"/>
                <w:szCs w:val="20"/>
              </w:rPr>
            </w:pPr>
            <w:smartTag w:uri="urn:schemas-microsoft-com:office:smarttags" w:element="stockticker">
              <w:r w:rsidRPr="0027701C">
                <w:rPr>
                  <w:rStyle w:val="Bodytext211pt"/>
                  <w:rFonts w:ascii="Sylfaen" w:hAnsi="Sylfaen"/>
                  <w:sz w:val="20"/>
                  <w:szCs w:val="20"/>
                </w:rPr>
                <w:t>P</w:t>
              </w:r>
              <w:r w:rsidRPr="0027701C">
                <w:rPr>
                  <w:rStyle w:val="Bodytext211pt"/>
                  <w:rFonts w:ascii="Sylfaen" w:hAnsi="Sylfaen"/>
                  <w:sz w:val="20"/>
                  <w:szCs w:val="20"/>
                  <w:vertAlign w:val="subscript"/>
                </w:rPr>
                <w:t>SB</w:t>
              </w:r>
            </w:smartTag>
          </w:p>
        </w:tc>
        <w:tc>
          <w:tcPr>
            <w:tcW w:w="1973" w:type="dxa"/>
            <w:tcBorders>
              <w:top w:val="single" w:sz="4" w:space="0" w:color="auto"/>
              <w:left w:val="single" w:sz="4" w:space="0" w:color="auto"/>
            </w:tcBorders>
            <w:shd w:val="clear" w:color="auto" w:fill="FFFFFF"/>
            <w:vAlign w:val="center"/>
          </w:tcPr>
          <w:p w14:paraId="7C472A80"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x,x</w:t>
            </w:r>
          </w:p>
        </w:tc>
        <w:tc>
          <w:tcPr>
            <w:tcW w:w="1987" w:type="dxa"/>
            <w:tcBorders>
              <w:top w:val="single" w:sz="4" w:space="0" w:color="auto"/>
              <w:left w:val="single" w:sz="4" w:space="0" w:color="auto"/>
              <w:right w:val="single" w:sz="4" w:space="0" w:color="auto"/>
            </w:tcBorders>
            <w:shd w:val="clear" w:color="auto" w:fill="FFFFFF"/>
            <w:vAlign w:val="center"/>
          </w:tcPr>
          <w:p w14:paraId="51367246"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Վտ</w:t>
            </w:r>
          </w:p>
        </w:tc>
      </w:tr>
      <w:tr w:rsidR="009338B9" w:rsidRPr="0027701C" w14:paraId="5A3476F5" w14:textId="77777777" w:rsidTr="0027701C">
        <w:trPr>
          <w:cantSplit/>
          <w:jc w:val="center"/>
        </w:trPr>
        <w:tc>
          <w:tcPr>
            <w:tcW w:w="3936" w:type="dxa"/>
            <w:tcBorders>
              <w:top w:val="single" w:sz="4" w:space="0" w:color="auto"/>
              <w:left w:val="single" w:sz="4" w:space="0" w:color="auto"/>
            </w:tcBorders>
            <w:shd w:val="clear" w:color="auto" w:fill="FFFFFF"/>
          </w:tcPr>
          <w:p w14:paraId="70DA9DE7"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Հովացման եւ տաքացման ռեժիմում մի- եւ երկուղի (SD եւ DD) օդորակիչների էներգասպառումը</w:t>
            </w:r>
          </w:p>
        </w:tc>
        <w:tc>
          <w:tcPr>
            <w:tcW w:w="1978" w:type="dxa"/>
            <w:tcBorders>
              <w:top w:val="single" w:sz="4" w:space="0" w:color="auto"/>
              <w:left w:val="single" w:sz="4" w:space="0" w:color="auto"/>
            </w:tcBorders>
            <w:shd w:val="clear" w:color="auto" w:fill="FFFFFF"/>
            <w:vAlign w:val="center"/>
          </w:tcPr>
          <w:p w14:paraId="0DE8A361" w14:textId="77777777" w:rsidR="009338B9" w:rsidRPr="0027701C" w:rsidRDefault="009338B9" w:rsidP="0027701C">
            <w:pPr>
              <w:pStyle w:val="Bodytext20"/>
              <w:spacing w:after="120" w:line="240" w:lineRule="auto"/>
              <w:rPr>
                <w:rFonts w:ascii="Sylfaen" w:hAnsi="Sylfaen"/>
                <w:sz w:val="20"/>
                <w:szCs w:val="20"/>
              </w:rPr>
            </w:pPr>
            <w:r w:rsidRPr="0027701C">
              <w:rPr>
                <w:rFonts w:ascii="Sylfaen" w:hAnsi="Sylfaen"/>
                <w:sz w:val="20"/>
                <w:szCs w:val="20"/>
              </w:rPr>
              <w:t>DD-ի համար՝ Q</w:t>
            </w:r>
            <w:r w:rsidRPr="0027701C">
              <w:rPr>
                <w:rFonts w:ascii="Sylfaen" w:hAnsi="Sylfaen"/>
                <w:sz w:val="20"/>
                <w:szCs w:val="20"/>
                <w:vertAlign w:val="subscript"/>
              </w:rPr>
              <w:t>DD</w:t>
            </w:r>
            <w:r w:rsidRPr="0027701C">
              <w:rPr>
                <w:rFonts w:ascii="Sylfaen" w:hAnsi="Sylfaen"/>
                <w:sz w:val="20"/>
                <w:szCs w:val="20"/>
              </w:rPr>
              <w:t xml:space="preserve"> SD-ի համար՝ Q</w:t>
            </w:r>
            <w:r w:rsidRPr="0027701C">
              <w:rPr>
                <w:rFonts w:ascii="Sylfaen" w:hAnsi="Sylfaen"/>
                <w:sz w:val="20"/>
                <w:szCs w:val="20"/>
                <w:vertAlign w:val="subscript"/>
              </w:rPr>
              <w:t>SD</w:t>
            </w:r>
          </w:p>
        </w:tc>
        <w:tc>
          <w:tcPr>
            <w:tcW w:w="1973" w:type="dxa"/>
            <w:tcBorders>
              <w:top w:val="single" w:sz="4" w:space="0" w:color="auto"/>
              <w:left w:val="single" w:sz="4" w:space="0" w:color="auto"/>
            </w:tcBorders>
            <w:shd w:val="clear" w:color="auto" w:fill="FFFFFF"/>
            <w:vAlign w:val="center"/>
          </w:tcPr>
          <w:p w14:paraId="30D0687A" w14:textId="77777777" w:rsidR="009338B9" w:rsidRPr="0027701C" w:rsidRDefault="009338B9" w:rsidP="0027701C">
            <w:pPr>
              <w:pStyle w:val="Bodytext20"/>
              <w:spacing w:after="120" w:line="240" w:lineRule="auto"/>
              <w:ind w:left="10"/>
              <w:rPr>
                <w:rFonts w:ascii="Sylfaen" w:hAnsi="Sylfaen"/>
                <w:sz w:val="20"/>
                <w:szCs w:val="20"/>
              </w:rPr>
            </w:pPr>
            <w:r w:rsidRPr="0027701C">
              <w:rPr>
                <w:rStyle w:val="Bodytext211pt"/>
                <w:rFonts w:ascii="Sylfaen" w:hAnsi="Sylfaen"/>
                <w:sz w:val="20"/>
                <w:szCs w:val="20"/>
              </w:rPr>
              <w:t>DD-ի համար՝ x SD-ի համար՝ xx</w:t>
            </w:r>
          </w:p>
        </w:tc>
        <w:tc>
          <w:tcPr>
            <w:tcW w:w="1987" w:type="dxa"/>
            <w:tcBorders>
              <w:top w:val="single" w:sz="4" w:space="0" w:color="auto"/>
              <w:left w:val="single" w:sz="4" w:space="0" w:color="auto"/>
              <w:right w:val="single" w:sz="4" w:space="0" w:color="auto"/>
            </w:tcBorders>
            <w:shd w:val="clear" w:color="auto" w:fill="FFFFFF"/>
            <w:vAlign w:val="center"/>
          </w:tcPr>
          <w:p w14:paraId="4644D88D" w14:textId="77777777" w:rsidR="009338B9" w:rsidRPr="0027701C" w:rsidRDefault="0027701C" w:rsidP="0027701C">
            <w:pPr>
              <w:pStyle w:val="Bodytext20"/>
              <w:spacing w:after="120" w:line="240" w:lineRule="auto"/>
              <w:rPr>
                <w:rFonts w:ascii="Sylfaen" w:hAnsi="Sylfaen"/>
                <w:sz w:val="20"/>
                <w:szCs w:val="20"/>
              </w:rPr>
            </w:pPr>
            <w:r>
              <w:rPr>
                <w:rFonts w:ascii="Sylfaen" w:hAnsi="Sylfaen"/>
                <w:sz w:val="20"/>
                <w:szCs w:val="20"/>
              </w:rPr>
              <w:t>DD-ի համար՝ կՎտժ/տարի</w:t>
            </w:r>
            <w:r>
              <w:rPr>
                <w:rFonts w:ascii="Sylfaen" w:hAnsi="Sylfaen"/>
                <w:sz w:val="20"/>
                <w:szCs w:val="20"/>
              </w:rPr>
              <w:br/>
            </w:r>
            <w:r w:rsidR="009338B9" w:rsidRPr="0027701C">
              <w:rPr>
                <w:rFonts w:ascii="Sylfaen" w:hAnsi="Sylfaen"/>
                <w:sz w:val="20"/>
                <w:szCs w:val="20"/>
              </w:rPr>
              <w:t>SD-ի համար՝ կՎտժ/ժ</w:t>
            </w:r>
            <w:hyperlink r:id="rId35"/>
          </w:p>
        </w:tc>
      </w:tr>
      <w:tr w:rsidR="009338B9" w:rsidRPr="0027701C" w14:paraId="5E0FD1F3" w14:textId="77777777" w:rsidTr="0027701C">
        <w:trPr>
          <w:cantSplit/>
          <w:jc w:val="center"/>
        </w:trPr>
        <w:tc>
          <w:tcPr>
            <w:tcW w:w="3936" w:type="dxa"/>
            <w:tcBorders>
              <w:top w:val="single" w:sz="4" w:space="0" w:color="auto"/>
              <w:left w:val="single" w:sz="4" w:space="0" w:color="auto"/>
            </w:tcBorders>
            <w:shd w:val="clear" w:color="auto" w:fill="FFFFFF"/>
          </w:tcPr>
          <w:p w14:paraId="29C477C3"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Ձայնային հզորության մակարդակը</w:t>
            </w:r>
          </w:p>
        </w:tc>
        <w:tc>
          <w:tcPr>
            <w:tcW w:w="1978" w:type="dxa"/>
            <w:tcBorders>
              <w:top w:val="single" w:sz="4" w:space="0" w:color="auto"/>
              <w:left w:val="single" w:sz="4" w:space="0" w:color="auto"/>
            </w:tcBorders>
            <w:shd w:val="clear" w:color="auto" w:fill="FFFFFF"/>
            <w:vAlign w:val="center"/>
          </w:tcPr>
          <w:p w14:paraId="713336C0"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L</w:t>
            </w:r>
            <w:r w:rsidRPr="0027701C">
              <w:rPr>
                <w:rStyle w:val="Bodytext211pt"/>
                <w:rFonts w:ascii="Sylfaen" w:hAnsi="Sylfaen"/>
                <w:sz w:val="20"/>
                <w:szCs w:val="20"/>
                <w:vertAlign w:val="subscript"/>
              </w:rPr>
              <w:t>WA</w:t>
            </w:r>
          </w:p>
        </w:tc>
        <w:tc>
          <w:tcPr>
            <w:tcW w:w="1973" w:type="dxa"/>
            <w:tcBorders>
              <w:top w:val="single" w:sz="4" w:space="0" w:color="auto"/>
              <w:left w:val="single" w:sz="4" w:space="0" w:color="auto"/>
            </w:tcBorders>
            <w:shd w:val="clear" w:color="auto" w:fill="FFFFFF"/>
            <w:vAlign w:val="center"/>
          </w:tcPr>
          <w:p w14:paraId="54C84575"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w:t>
            </w:r>
          </w:p>
        </w:tc>
        <w:tc>
          <w:tcPr>
            <w:tcW w:w="1987" w:type="dxa"/>
            <w:tcBorders>
              <w:top w:val="single" w:sz="4" w:space="0" w:color="auto"/>
              <w:left w:val="single" w:sz="4" w:space="0" w:color="auto"/>
              <w:right w:val="single" w:sz="4" w:space="0" w:color="auto"/>
            </w:tcBorders>
            <w:shd w:val="clear" w:color="auto" w:fill="FFFFFF"/>
            <w:vAlign w:val="center"/>
          </w:tcPr>
          <w:p w14:paraId="221D6DF3"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դԲ(Ա)</w:t>
            </w:r>
          </w:p>
        </w:tc>
      </w:tr>
      <w:tr w:rsidR="009338B9" w:rsidRPr="0027701C" w14:paraId="5D4CC0B8" w14:textId="77777777" w:rsidTr="0027701C">
        <w:trPr>
          <w:cantSplit/>
          <w:jc w:val="center"/>
        </w:trPr>
        <w:tc>
          <w:tcPr>
            <w:tcW w:w="3936" w:type="dxa"/>
            <w:tcBorders>
              <w:top w:val="single" w:sz="4" w:space="0" w:color="auto"/>
              <w:left w:val="single" w:sz="4" w:space="0" w:color="auto"/>
              <w:bottom w:val="single" w:sz="4" w:space="0" w:color="auto"/>
            </w:tcBorders>
            <w:shd w:val="clear" w:color="auto" w:fill="FFFFFF"/>
          </w:tcPr>
          <w:p w14:paraId="1FF64CD8" w14:textId="77777777" w:rsidR="009338B9" w:rsidRPr="0027701C" w:rsidRDefault="009338B9" w:rsidP="0027701C">
            <w:pPr>
              <w:pStyle w:val="Bodytext20"/>
              <w:spacing w:after="120" w:line="240" w:lineRule="auto"/>
              <w:ind w:left="59" w:right="105"/>
              <w:jc w:val="both"/>
              <w:rPr>
                <w:rFonts w:ascii="Sylfaen" w:hAnsi="Sylfaen"/>
                <w:sz w:val="20"/>
                <w:szCs w:val="20"/>
              </w:rPr>
            </w:pPr>
            <w:r w:rsidRPr="0027701C">
              <w:rPr>
                <w:rStyle w:val="Bodytext211pt"/>
                <w:rFonts w:ascii="Sylfaen" w:hAnsi="Sylfaen"/>
                <w:sz w:val="20"/>
                <w:szCs w:val="20"/>
              </w:rPr>
              <w:t>Գլոբալ տաքացման ներուժը</w:t>
            </w:r>
          </w:p>
        </w:tc>
        <w:tc>
          <w:tcPr>
            <w:tcW w:w="1978" w:type="dxa"/>
            <w:tcBorders>
              <w:top w:val="single" w:sz="4" w:space="0" w:color="auto"/>
              <w:left w:val="single" w:sz="4" w:space="0" w:color="auto"/>
              <w:bottom w:val="single" w:sz="4" w:space="0" w:color="auto"/>
            </w:tcBorders>
            <w:shd w:val="clear" w:color="auto" w:fill="FFFFFF"/>
            <w:vAlign w:val="center"/>
          </w:tcPr>
          <w:p w14:paraId="46EEADB8"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GWP</w:t>
            </w:r>
          </w:p>
        </w:tc>
        <w:tc>
          <w:tcPr>
            <w:tcW w:w="1973" w:type="dxa"/>
            <w:tcBorders>
              <w:top w:val="single" w:sz="4" w:space="0" w:color="auto"/>
              <w:left w:val="single" w:sz="4" w:space="0" w:color="auto"/>
              <w:bottom w:val="single" w:sz="4" w:space="0" w:color="auto"/>
            </w:tcBorders>
            <w:shd w:val="clear" w:color="auto" w:fill="FFFFFF"/>
            <w:vAlign w:val="center"/>
          </w:tcPr>
          <w:p w14:paraId="4D8B4EF9" w14:textId="77777777" w:rsidR="009338B9" w:rsidRPr="0027701C" w:rsidRDefault="009338B9" w:rsidP="0027701C">
            <w:pPr>
              <w:pStyle w:val="Bodytext20"/>
              <w:spacing w:after="120" w:line="240" w:lineRule="auto"/>
              <w:rPr>
                <w:rFonts w:ascii="Sylfaen" w:hAnsi="Sylfaen"/>
                <w:sz w:val="20"/>
                <w:szCs w:val="20"/>
              </w:rPr>
            </w:pPr>
            <w:r w:rsidRPr="0027701C">
              <w:rPr>
                <w:rStyle w:val="Bodytext211pt"/>
                <w:rFonts w:ascii="Sylfaen" w:hAnsi="Sylfaen"/>
                <w:sz w:val="20"/>
                <w:szCs w:val="20"/>
              </w:rPr>
              <w:t>x</w:t>
            </w:r>
          </w:p>
        </w:tc>
        <w:tc>
          <w:tcPr>
            <w:tcW w:w="1987" w:type="dxa"/>
            <w:tcBorders>
              <w:top w:val="single" w:sz="4" w:space="0" w:color="auto"/>
              <w:left w:val="single" w:sz="4" w:space="0" w:color="auto"/>
              <w:bottom w:val="single" w:sz="4" w:space="0" w:color="auto"/>
              <w:right w:val="single" w:sz="4" w:space="0" w:color="auto"/>
            </w:tcBorders>
            <w:shd w:val="clear" w:color="auto" w:fill="FFFFFF"/>
            <w:vAlign w:val="center"/>
          </w:tcPr>
          <w:p w14:paraId="74618C35" w14:textId="77777777" w:rsidR="009338B9" w:rsidRPr="0027701C" w:rsidRDefault="009338B9" w:rsidP="0027701C">
            <w:pPr>
              <w:pStyle w:val="Bodytext20"/>
              <w:spacing w:after="120" w:line="240" w:lineRule="auto"/>
              <w:rPr>
                <w:rFonts w:ascii="Sylfaen" w:hAnsi="Sylfaen"/>
                <w:sz w:val="20"/>
                <w:szCs w:val="20"/>
              </w:rPr>
            </w:pPr>
            <w:r w:rsidRPr="0027701C">
              <w:rPr>
                <w:rFonts w:ascii="Sylfaen" w:hAnsi="Sylfaen"/>
                <w:sz w:val="20"/>
                <w:szCs w:val="20"/>
              </w:rPr>
              <w:t>կգ CO</w:t>
            </w:r>
            <w:r w:rsidRPr="0027701C">
              <w:rPr>
                <w:rFonts w:ascii="Sylfaen" w:hAnsi="Sylfaen"/>
                <w:sz w:val="20"/>
                <w:szCs w:val="20"/>
                <w:vertAlign w:val="subscript"/>
              </w:rPr>
              <w:t>2</w:t>
            </w:r>
          </w:p>
        </w:tc>
      </w:tr>
    </w:tbl>
    <w:p w14:paraId="648A293C" w14:textId="77777777" w:rsidR="009338B9" w:rsidRPr="00CF39EE" w:rsidRDefault="009338B9" w:rsidP="009338B9">
      <w:pPr>
        <w:spacing w:after="160" w:line="360" w:lineRule="auto"/>
        <w:rPr>
          <w:rFonts w:ascii="Sylfaen" w:hAnsi="Sylfaen"/>
        </w:rPr>
      </w:pPr>
    </w:p>
    <w:p w14:paraId="235CCD32" w14:textId="77777777" w:rsidR="009338B9" w:rsidRPr="00CF39EE" w:rsidRDefault="009338B9" w:rsidP="009338B9">
      <w:pPr>
        <w:pStyle w:val="Bodytext20"/>
        <w:spacing w:after="160" w:line="360" w:lineRule="auto"/>
        <w:ind w:firstLine="560"/>
        <w:jc w:val="both"/>
        <w:rPr>
          <w:rFonts w:ascii="Sylfaen" w:hAnsi="Sylfaen"/>
          <w:sz w:val="24"/>
          <w:szCs w:val="24"/>
        </w:rPr>
      </w:pPr>
      <w:r w:rsidRPr="00CF39EE">
        <w:rPr>
          <w:rFonts w:ascii="Sylfaen" w:hAnsi="Sylfaen"/>
          <w:sz w:val="24"/>
          <w:szCs w:val="24"/>
        </w:rPr>
        <w:t>Միուղի օդորակիչները մակնշվում են որպես «տեղային տեղադրման համար օդորակիչներ»:</w:t>
      </w:r>
    </w:p>
    <w:p w14:paraId="3A38CE4E" w14:textId="77777777" w:rsidR="009338B9" w:rsidRPr="00CF39EE" w:rsidRDefault="009338B9" w:rsidP="0027701C">
      <w:pPr>
        <w:pStyle w:val="Bodytext20"/>
        <w:tabs>
          <w:tab w:val="left" w:pos="1134"/>
          <w:tab w:val="left" w:pos="7797"/>
        </w:tabs>
        <w:spacing w:after="160" w:line="360" w:lineRule="auto"/>
        <w:ind w:firstLine="567"/>
        <w:jc w:val="both"/>
        <w:rPr>
          <w:rFonts w:ascii="Sylfaen" w:hAnsi="Sylfaen"/>
          <w:sz w:val="24"/>
          <w:szCs w:val="24"/>
        </w:rPr>
      </w:pPr>
      <w:r w:rsidRPr="00CF39EE">
        <w:rPr>
          <w:rFonts w:ascii="Sylfaen" w:hAnsi="Sylfaen"/>
          <w:sz w:val="24"/>
          <w:szCs w:val="24"/>
        </w:rPr>
        <w:t>6.</w:t>
      </w:r>
      <w:r w:rsidR="0027701C" w:rsidRPr="0027701C">
        <w:rPr>
          <w:rFonts w:ascii="Sylfaen" w:hAnsi="Sylfaen"/>
          <w:sz w:val="24"/>
          <w:szCs w:val="24"/>
        </w:rPr>
        <w:tab/>
      </w:r>
      <w:r w:rsidRPr="00CF39EE">
        <w:rPr>
          <w:rFonts w:ascii="Sylfaen" w:hAnsi="Sylfaen"/>
          <w:sz w:val="24"/>
          <w:szCs w:val="24"/>
        </w:rPr>
        <w:t xml:space="preserve">Եթե ներքին </w:t>
      </w:r>
      <w:r>
        <w:rPr>
          <w:rFonts w:ascii="Sylfaen" w:hAnsi="Sylfaen"/>
          <w:sz w:val="24"/>
          <w:szCs w:val="24"/>
        </w:rPr>
        <w:t>եւ</w:t>
      </w:r>
      <w:r w:rsidRPr="00CF39EE">
        <w:rPr>
          <w:rFonts w:ascii="Sylfaen" w:hAnsi="Sylfaen"/>
          <w:sz w:val="24"/>
          <w:szCs w:val="24"/>
        </w:rPr>
        <w:t xml:space="preserve"> արտաքին բլոկների համակցություններից կազմված՝ օդորակիչի որոշակի մոդելի վերաբերյալ տեղեկատվությունն ստացվել է կառուցվածքային տիպի </w:t>
      </w:r>
      <w:r>
        <w:rPr>
          <w:rFonts w:ascii="Sylfaen" w:hAnsi="Sylfaen"/>
          <w:sz w:val="24"/>
          <w:szCs w:val="24"/>
        </w:rPr>
        <w:t>եւ</w:t>
      </w:r>
      <w:r w:rsidRPr="00CF39EE">
        <w:rPr>
          <w:rFonts w:ascii="Sylfaen" w:hAnsi="Sylfaen"/>
          <w:sz w:val="24"/>
          <w:szCs w:val="24"/>
        </w:rPr>
        <w:t xml:space="preserve"> (կամ) այլ համակցությունների արտարկման հիման վրա հաշվարկների միջոցով, ապա «Էներգասպառող սարքվածքների էներգետիկ արդյունավետությանը ներկայացվող պահանջների մասին» Եվրասիական տնտեսական միության տեխնիկական կանոնակարգի (ԵԱՏՄ ՏԿ</w:t>
      </w:r>
      <w:r w:rsidR="0027701C" w:rsidRPr="0027701C">
        <w:rPr>
          <w:rFonts w:ascii="Sylfaen" w:hAnsi="Sylfaen"/>
          <w:sz w:val="24"/>
          <w:szCs w:val="24"/>
        </w:rPr>
        <w:tab/>
      </w:r>
      <w:r w:rsidRPr="00CF39EE">
        <w:rPr>
          <w:rFonts w:ascii="Sylfaen" w:hAnsi="Sylfaen"/>
          <w:sz w:val="24"/>
          <w:szCs w:val="24"/>
        </w:rPr>
        <w:t>/20</w:t>
      </w:r>
      <w:r w:rsidR="0027701C" w:rsidRPr="0027701C">
        <w:rPr>
          <w:rFonts w:ascii="Sylfaen" w:hAnsi="Sylfaen"/>
          <w:sz w:val="24"/>
          <w:szCs w:val="24"/>
        </w:rPr>
        <w:tab/>
      </w:r>
      <w:r w:rsidRPr="00CF39EE">
        <w:rPr>
          <w:rFonts w:ascii="Sylfaen" w:hAnsi="Sylfaen"/>
          <w:sz w:val="24"/>
          <w:szCs w:val="24"/>
        </w:rPr>
        <w:t xml:space="preserve">) </w:t>
      </w:r>
      <w:r w:rsidRPr="00CF39EE">
        <w:rPr>
          <w:rFonts w:ascii="Sylfaen" w:hAnsi="Sylfaen"/>
          <w:sz w:val="24"/>
          <w:szCs w:val="24"/>
        </w:rPr>
        <w:lastRenderedPageBreak/>
        <w:t xml:space="preserve">(այսուհետ՝ տեխնիկական կանոնակարգ) 23-րդ կետի «ա» ենթակետում նշված՝ փաստաթղթերի հավաքակազմի մեջ լրացուցիչ պետք է ներառվեն հաշվարկների </w:t>
      </w:r>
      <w:r>
        <w:rPr>
          <w:rFonts w:ascii="Sylfaen" w:hAnsi="Sylfaen"/>
          <w:sz w:val="24"/>
          <w:szCs w:val="24"/>
        </w:rPr>
        <w:t>եւ</w:t>
      </w:r>
      <w:r w:rsidRPr="00CF39EE">
        <w:rPr>
          <w:rFonts w:ascii="Sylfaen" w:hAnsi="Sylfaen"/>
          <w:sz w:val="24"/>
          <w:szCs w:val="24"/>
        </w:rPr>
        <w:t xml:space="preserve"> (կամ) արտարկման մասին մանրամասն տեղեկությունները, ինչպես նա</w:t>
      </w:r>
      <w:r>
        <w:rPr>
          <w:rFonts w:ascii="Sylfaen" w:hAnsi="Sylfaen"/>
          <w:sz w:val="24"/>
          <w:szCs w:val="24"/>
        </w:rPr>
        <w:t>եւ</w:t>
      </w:r>
      <w:r w:rsidRPr="00CF39EE">
        <w:rPr>
          <w:rFonts w:ascii="Sylfaen" w:hAnsi="Sylfaen"/>
          <w:sz w:val="24"/>
          <w:szCs w:val="24"/>
        </w:rPr>
        <w:t xml:space="preserve"> հաշվարկների ճշգրտությունը ստուգելու ուղղությամբ փորձարկումների արձանագրությունները (հստակ տվյալներ՝ այդպիսի համակցությունների հզորության հաշվարկի մաթեմատիկական մոդելի </w:t>
      </w:r>
      <w:r>
        <w:rPr>
          <w:rFonts w:ascii="Sylfaen" w:hAnsi="Sylfaen"/>
          <w:sz w:val="24"/>
          <w:szCs w:val="24"/>
        </w:rPr>
        <w:t>եւ</w:t>
      </w:r>
      <w:r w:rsidRPr="00CF39EE">
        <w:rPr>
          <w:rFonts w:ascii="Sylfaen" w:hAnsi="Sylfaen"/>
          <w:sz w:val="24"/>
          <w:szCs w:val="24"/>
        </w:rPr>
        <w:t xml:space="preserve"> տվյալ մոդելի ճշգրտությունը ստուգելու համար անցկացվող չափումների համար):</w:t>
      </w:r>
    </w:p>
    <w:p w14:paraId="304F69B1" w14:textId="77777777" w:rsidR="009338B9" w:rsidRPr="00CF39EE" w:rsidRDefault="009338B9" w:rsidP="009338B9">
      <w:pPr>
        <w:pStyle w:val="Bodytext20"/>
        <w:spacing w:after="160" w:line="360" w:lineRule="auto"/>
        <w:ind w:firstLine="560"/>
        <w:jc w:val="both"/>
        <w:rPr>
          <w:rFonts w:ascii="Sylfaen" w:hAnsi="Sylfaen"/>
          <w:sz w:val="24"/>
          <w:szCs w:val="24"/>
        </w:rPr>
      </w:pPr>
    </w:p>
    <w:p w14:paraId="71967F98" w14:textId="77777777" w:rsidR="009338B9" w:rsidRPr="00CF39EE" w:rsidRDefault="009338B9" w:rsidP="009338B9">
      <w:pPr>
        <w:pStyle w:val="Bodytext20"/>
        <w:spacing w:after="160" w:line="360" w:lineRule="auto"/>
        <w:rPr>
          <w:rFonts w:ascii="Sylfaen" w:hAnsi="Sylfaen"/>
          <w:sz w:val="24"/>
          <w:szCs w:val="24"/>
        </w:rPr>
      </w:pPr>
      <w:r w:rsidRPr="00CF39EE">
        <w:rPr>
          <w:rFonts w:ascii="Sylfaen" w:hAnsi="Sylfaen"/>
          <w:sz w:val="24"/>
          <w:szCs w:val="24"/>
        </w:rPr>
        <w:t xml:space="preserve">IV. Օդորակիչների </w:t>
      </w:r>
      <w:r>
        <w:rPr>
          <w:rFonts w:ascii="Sylfaen" w:hAnsi="Sylfaen"/>
          <w:sz w:val="24"/>
          <w:szCs w:val="24"/>
        </w:rPr>
        <w:t>եւ</w:t>
      </w:r>
      <w:r w:rsidRPr="00CF39EE">
        <w:rPr>
          <w:rFonts w:ascii="Sylfaen" w:hAnsi="Sylfaen"/>
          <w:sz w:val="24"/>
          <w:szCs w:val="24"/>
        </w:rPr>
        <w:t xml:space="preserve"> օդափոխիչների էներգետիկ արդյունավետության պարամետրերի թույլատրելի շեղումները շրջանառության դնելուց հետո դրանց փորձարկումներ (չափումներ) անցկացնելիս </w:t>
      </w:r>
    </w:p>
    <w:p w14:paraId="35A9D152" w14:textId="77777777" w:rsidR="009338B9" w:rsidRPr="00CF39EE" w:rsidRDefault="009338B9" w:rsidP="0027701C">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7.</w:t>
      </w:r>
      <w:r w:rsidR="0027701C" w:rsidRPr="0027701C">
        <w:rPr>
          <w:rFonts w:ascii="Sylfaen" w:hAnsi="Sylfaen"/>
          <w:sz w:val="24"/>
          <w:szCs w:val="24"/>
        </w:rPr>
        <w:tab/>
      </w:r>
      <w:r w:rsidRPr="00CF39EE">
        <w:rPr>
          <w:rFonts w:ascii="Sylfaen" w:hAnsi="Sylfaen"/>
          <w:sz w:val="24"/>
          <w:szCs w:val="24"/>
        </w:rPr>
        <w:t>Շրջանառության մեջ դնելուց հետո օդորակիչների էներգետիկ արդյունավետության պարամետրերի փորձարկումներ (չափումներ) անցկացնելիս պետք է փորձարկվի օդորակիչի 1 օրինակ:</w:t>
      </w:r>
    </w:p>
    <w:p w14:paraId="4ED00E3B" w14:textId="77777777" w:rsidR="009338B9" w:rsidRPr="0027701C" w:rsidRDefault="009338B9" w:rsidP="009338B9">
      <w:pPr>
        <w:pStyle w:val="Bodytext20"/>
        <w:spacing w:after="160" w:line="360" w:lineRule="auto"/>
        <w:ind w:firstLine="567"/>
        <w:jc w:val="both"/>
        <w:rPr>
          <w:rFonts w:ascii="Sylfaen" w:hAnsi="Sylfaen"/>
          <w:spacing w:val="6"/>
          <w:sz w:val="24"/>
          <w:szCs w:val="24"/>
        </w:rPr>
      </w:pPr>
      <w:r w:rsidRPr="0027701C">
        <w:rPr>
          <w:rFonts w:ascii="Sylfaen" w:hAnsi="Sylfaen"/>
          <w:spacing w:val="6"/>
          <w:sz w:val="24"/>
          <w:szCs w:val="24"/>
        </w:rPr>
        <w:t>Օդորակիչի մոդելը, բացի մի- եւ երկուղի օդորակիչներից, համարվում է սույն պահանջներին համապատասխանող, եթե չափումների արդյունքում ստացված՝ հովացման SEER եւ (կամ) տաքացման SCOP ռեժիմներում (առկայության դեպքում) սեզոնային էներգետիկ արդյունավետության արժեքը պակաս չէ, քան արտադրողի կողմից հայտարարված արժեքը օդորակիչի նշված հզորության դեպքում՝ հանած 8 %-ը:</w:t>
      </w:r>
    </w:p>
    <w:p w14:paraId="1EBEC64D"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 xml:space="preserve">Մի- </w:t>
      </w:r>
      <w:r>
        <w:rPr>
          <w:rFonts w:ascii="Sylfaen" w:hAnsi="Sylfaen"/>
          <w:sz w:val="24"/>
          <w:szCs w:val="24"/>
        </w:rPr>
        <w:t>եւ</w:t>
      </w:r>
      <w:r w:rsidRPr="00CF39EE">
        <w:rPr>
          <w:rFonts w:ascii="Sylfaen" w:hAnsi="Sylfaen"/>
          <w:sz w:val="24"/>
          <w:szCs w:val="24"/>
        </w:rPr>
        <w:t xml:space="preserve"> երկուղի օդորակիչի մոդելը համարվում է սույն պահանջներին համապատասխանող, եթե չափումների արդյունքում ստացված՝ սպասման </w:t>
      </w:r>
      <w:r>
        <w:rPr>
          <w:rFonts w:ascii="Sylfaen" w:hAnsi="Sylfaen"/>
          <w:sz w:val="24"/>
          <w:szCs w:val="24"/>
        </w:rPr>
        <w:t>եւ</w:t>
      </w:r>
      <w:r w:rsidRPr="00CF39EE">
        <w:rPr>
          <w:rFonts w:ascii="Sylfaen" w:hAnsi="Sylfaen"/>
          <w:sz w:val="24"/>
          <w:szCs w:val="24"/>
        </w:rPr>
        <w:t xml:space="preserve"> անջատման ռեժիմներում էներգասպառման արժեքները չեն գերազանցում սահմանային թույլատրելի մակարդակներն ավելի քան 10%-ով, </w:t>
      </w:r>
      <w:r>
        <w:rPr>
          <w:rFonts w:ascii="Sylfaen" w:hAnsi="Sylfaen"/>
          <w:sz w:val="24"/>
          <w:szCs w:val="24"/>
        </w:rPr>
        <w:t>եւ</w:t>
      </w:r>
      <w:r w:rsidRPr="00CF39EE">
        <w:rPr>
          <w:rFonts w:ascii="Sylfaen" w:hAnsi="Sylfaen"/>
          <w:sz w:val="24"/>
          <w:szCs w:val="24"/>
        </w:rPr>
        <w:t xml:space="preserve"> եթե հովացման EER</w:t>
      </w:r>
      <w:r w:rsidRPr="00CF39EE">
        <w:rPr>
          <w:rFonts w:ascii="Sylfaen" w:hAnsi="Sylfaen"/>
          <w:sz w:val="24"/>
          <w:szCs w:val="24"/>
          <w:vertAlign w:val="subscript"/>
        </w:rPr>
        <w:t>rated</w:t>
      </w:r>
      <w:r w:rsidRPr="00CF39EE">
        <w:rPr>
          <w:rFonts w:ascii="Sylfaen" w:hAnsi="Sylfaen"/>
          <w:sz w:val="24"/>
          <w:szCs w:val="24"/>
        </w:rPr>
        <w:t xml:space="preserve"> </w:t>
      </w:r>
      <w:r>
        <w:rPr>
          <w:rFonts w:ascii="Sylfaen" w:hAnsi="Sylfaen"/>
          <w:sz w:val="24"/>
          <w:szCs w:val="24"/>
        </w:rPr>
        <w:t>եւ</w:t>
      </w:r>
      <w:r w:rsidRPr="00CF39EE">
        <w:rPr>
          <w:rFonts w:ascii="Sylfaen" w:hAnsi="Sylfaen"/>
          <w:sz w:val="24"/>
          <w:szCs w:val="24"/>
        </w:rPr>
        <w:t xml:space="preserve"> (կամ) տաքացման COP</w:t>
      </w:r>
      <w:r w:rsidRPr="00CF39EE">
        <w:rPr>
          <w:rFonts w:ascii="Sylfaen" w:hAnsi="Sylfaen"/>
          <w:sz w:val="24"/>
          <w:szCs w:val="24"/>
          <w:vertAlign w:val="subscript"/>
        </w:rPr>
        <w:t>rated</w:t>
      </w:r>
      <w:r w:rsidRPr="00CF39EE">
        <w:rPr>
          <w:rFonts w:ascii="Sylfaen" w:hAnsi="Sylfaen"/>
          <w:sz w:val="24"/>
          <w:szCs w:val="24"/>
        </w:rPr>
        <w:t xml:space="preserve"> ռեժիմներում (առկայության դեպքում) անվանական էներգետիկ արդյունավետությունը պակաս չէ, քան արտադրողի կողմից հայտարարված արժեքները՝ հանած 10%-ը:</w:t>
      </w:r>
    </w:p>
    <w:p w14:paraId="17CA3BC9"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lastRenderedPageBreak/>
        <w:t>Օդորակիչի մոդելը համարվում է սույն պահանջներին համապատասխանող, եթե ձայնային հզորության առավելագույն մակարդակը ոչ ավելի, քան 2 դԲ(Ա)-ով գերազանցում է հայտարարված արժեքը:</w:t>
      </w:r>
    </w:p>
    <w:p w14:paraId="44645042" w14:textId="77777777" w:rsidR="009338B9" w:rsidRPr="00CF39EE" w:rsidRDefault="009338B9" w:rsidP="0027701C">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t>8.</w:t>
      </w:r>
      <w:r w:rsidR="0027701C" w:rsidRPr="0027701C">
        <w:rPr>
          <w:rFonts w:ascii="Sylfaen" w:hAnsi="Sylfaen"/>
          <w:sz w:val="24"/>
          <w:szCs w:val="24"/>
        </w:rPr>
        <w:tab/>
      </w:r>
      <w:r w:rsidRPr="00CF39EE">
        <w:rPr>
          <w:rFonts w:ascii="Sylfaen" w:hAnsi="Sylfaen"/>
          <w:sz w:val="24"/>
          <w:szCs w:val="24"/>
        </w:rPr>
        <w:t>Եթե սույն պահանջների 7-րդ կետում նշված արդյունքը չի ստացվել, ապա ստուգվում է տվյալ մոդելի օդորակիչի պատահականորեն ընտրված 3 նմուշ:</w:t>
      </w:r>
    </w:p>
    <w:p w14:paraId="5767BD55"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 xml:space="preserve">Օդորակիչի մոդելը, բացի մի- </w:t>
      </w:r>
      <w:r>
        <w:rPr>
          <w:rFonts w:ascii="Sylfaen" w:hAnsi="Sylfaen"/>
          <w:sz w:val="24"/>
          <w:szCs w:val="24"/>
        </w:rPr>
        <w:t>եւ</w:t>
      </w:r>
      <w:r w:rsidRPr="00CF39EE">
        <w:rPr>
          <w:rFonts w:ascii="Sylfaen" w:hAnsi="Sylfaen"/>
          <w:sz w:val="24"/>
          <w:szCs w:val="24"/>
        </w:rPr>
        <w:t xml:space="preserve"> երկուղի օդորակիչներից, համարվում է սույն պահանջներին համապատասխանող, եթե փորձարկված 3 օրինակների մասով հովացման SEER </w:t>
      </w:r>
      <w:r>
        <w:rPr>
          <w:rFonts w:ascii="Sylfaen" w:hAnsi="Sylfaen"/>
          <w:sz w:val="24"/>
          <w:szCs w:val="24"/>
        </w:rPr>
        <w:t>եւ</w:t>
      </w:r>
      <w:r w:rsidRPr="00CF39EE">
        <w:rPr>
          <w:rFonts w:ascii="Sylfaen" w:hAnsi="Sylfaen"/>
          <w:sz w:val="24"/>
          <w:szCs w:val="24"/>
        </w:rPr>
        <w:t xml:space="preserve"> տաքացման SCOP ռեժիմներում (առկայության դեպքում) սեզոնային էներգետիկ արդյունավետության միջին արժեքը պակաս չէ, քան հայտարարված արժեքը օդորակիչի նշված հզորության դեպքում՝ հանած 8 %-ը:</w:t>
      </w:r>
    </w:p>
    <w:p w14:paraId="41D7390D"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Այլ դեպքերում օդորակիչի մոդելը հարկ է դիտարկել որպես տեխնիկական կանոնակարգի պահանջներին չհամապատասխանող։</w:t>
      </w:r>
    </w:p>
    <w:p w14:paraId="78B47306"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 xml:space="preserve">Մի- </w:t>
      </w:r>
      <w:r>
        <w:rPr>
          <w:rFonts w:ascii="Sylfaen" w:hAnsi="Sylfaen"/>
          <w:sz w:val="24"/>
          <w:szCs w:val="24"/>
        </w:rPr>
        <w:t>եւ</w:t>
      </w:r>
      <w:r w:rsidRPr="00CF39EE">
        <w:rPr>
          <w:rFonts w:ascii="Sylfaen" w:hAnsi="Sylfaen"/>
          <w:sz w:val="24"/>
          <w:szCs w:val="24"/>
        </w:rPr>
        <w:t xml:space="preserve"> երկուղի օդորակիչի մոդելը համարվում է սույն պահանջներին համապատասխանող, եթե 3 փորձարկված նմուշների մասով սպասման </w:t>
      </w:r>
      <w:r>
        <w:rPr>
          <w:rFonts w:ascii="Sylfaen" w:hAnsi="Sylfaen"/>
          <w:sz w:val="24"/>
          <w:szCs w:val="24"/>
        </w:rPr>
        <w:t>եւ</w:t>
      </w:r>
      <w:r w:rsidRPr="00CF39EE">
        <w:rPr>
          <w:rFonts w:ascii="Sylfaen" w:hAnsi="Sylfaen"/>
          <w:sz w:val="24"/>
          <w:szCs w:val="24"/>
        </w:rPr>
        <w:t xml:space="preserve"> անջատման ռեժիմներում էներգասպառման միջին արժեքները չեն գերազանցում սահմանային թույլատրելի արժեքներն ավելի քան 10%-ով, </w:t>
      </w:r>
      <w:r>
        <w:rPr>
          <w:rFonts w:ascii="Sylfaen" w:hAnsi="Sylfaen"/>
          <w:sz w:val="24"/>
          <w:szCs w:val="24"/>
        </w:rPr>
        <w:t>եւ</w:t>
      </w:r>
      <w:r w:rsidRPr="00CF39EE">
        <w:rPr>
          <w:rFonts w:ascii="Sylfaen" w:hAnsi="Sylfaen"/>
          <w:sz w:val="24"/>
          <w:szCs w:val="24"/>
        </w:rPr>
        <w:t xml:space="preserve"> եթե հովացման EER</w:t>
      </w:r>
      <w:r w:rsidRPr="00CF39EE">
        <w:rPr>
          <w:rFonts w:ascii="Sylfaen" w:hAnsi="Sylfaen"/>
          <w:sz w:val="24"/>
          <w:szCs w:val="24"/>
          <w:vertAlign w:val="subscript"/>
        </w:rPr>
        <w:t>rated</w:t>
      </w:r>
      <w:r w:rsidRPr="00CF39EE">
        <w:rPr>
          <w:rFonts w:ascii="Sylfaen" w:hAnsi="Sylfaen"/>
          <w:sz w:val="24"/>
          <w:szCs w:val="24"/>
        </w:rPr>
        <w:t xml:space="preserve"> </w:t>
      </w:r>
      <w:r>
        <w:rPr>
          <w:rFonts w:ascii="Sylfaen" w:hAnsi="Sylfaen"/>
          <w:sz w:val="24"/>
          <w:szCs w:val="24"/>
        </w:rPr>
        <w:t>եւ</w:t>
      </w:r>
      <w:r w:rsidRPr="00CF39EE">
        <w:rPr>
          <w:rFonts w:ascii="Sylfaen" w:hAnsi="Sylfaen"/>
          <w:sz w:val="24"/>
          <w:szCs w:val="24"/>
        </w:rPr>
        <w:t xml:space="preserve"> տաքացման COP</w:t>
      </w:r>
      <w:r w:rsidRPr="00CF39EE">
        <w:rPr>
          <w:rFonts w:ascii="Sylfaen" w:hAnsi="Sylfaen"/>
          <w:sz w:val="24"/>
          <w:szCs w:val="24"/>
          <w:vertAlign w:val="subscript"/>
        </w:rPr>
        <w:t>rated</w:t>
      </w:r>
      <w:r w:rsidRPr="00CF39EE">
        <w:rPr>
          <w:rFonts w:ascii="Sylfaen" w:hAnsi="Sylfaen"/>
          <w:sz w:val="24"/>
          <w:szCs w:val="24"/>
        </w:rPr>
        <w:t xml:space="preserve"> ռեժիմներում (առկայության դեպքում) անվանական էներգետիկ արդյունավետության միջին արժեքը պակաս չէ, քան արտադրողի կողմից հայտարարված արժեքները՝ հանած 10%-ը:</w:t>
      </w:r>
    </w:p>
    <w:p w14:paraId="3DAD9C13"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Այլ դեպքերում օդորակիչի մոդելը հարկ է դիտարկել որպես տեխնիկական կանոնակարգի պահանջներին չհամապատասխանող։</w:t>
      </w:r>
    </w:p>
    <w:p w14:paraId="48495826"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Օդորակիչի մոդելը համարվում է սույն պահանջներին համապատասխանող, եթե փորձարկված 3 նմուշների ձայնային հզորության առավելագույն մակարդակի միջին արժեքը գերազանցում է արտադրողի կողմից հայտարարված արժեքը ոչ ավելի, քան 2 դԲ(Ա)-ով:</w:t>
      </w:r>
    </w:p>
    <w:p w14:paraId="40C77C14"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Այլ դեպքերում օդորակիչի տվյալ մոդելը հարկ է դիտարկել որպես տեխնիկական կանոնակարգի պահանջներին չհամապատասխանող։</w:t>
      </w:r>
    </w:p>
    <w:p w14:paraId="3FEFCFAD" w14:textId="77777777" w:rsidR="009338B9" w:rsidRPr="00CF39EE" w:rsidRDefault="009338B9" w:rsidP="0027701C">
      <w:pPr>
        <w:pStyle w:val="Bodytext20"/>
        <w:tabs>
          <w:tab w:val="left" w:pos="1134"/>
        </w:tabs>
        <w:spacing w:after="160" w:line="360" w:lineRule="auto"/>
        <w:ind w:firstLine="567"/>
        <w:jc w:val="both"/>
        <w:rPr>
          <w:rFonts w:ascii="Sylfaen" w:hAnsi="Sylfaen"/>
          <w:sz w:val="24"/>
          <w:szCs w:val="24"/>
        </w:rPr>
      </w:pPr>
      <w:r w:rsidRPr="00CF39EE">
        <w:rPr>
          <w:rFonts w:ascii="Sylfaen" w:hAnsi="Sylfaen"/>
          <w:sz w:val="24"/>
          <w:szCs w:val="24"/>
        </w:rPr>
        <w:lastRenderedPageBreak/>
        <w:t>9.</w:t>
      </w:r>
      <w:r w:rsidR="0027701C" w:rsidRPr="0027701C">
        <w:rPr>
          <w:rFonts w:ascii="Sylfaen" w:hAnsi="Sylfaen"/>
          <w:sz w:val="24"/>
          <w:szCs w:val="24"/>
        </w:rPr>
        <w:tab/>
      </w:r>
      <w:r w:rsidRPr="00CF39EE">
        <w:rPr>
          <w:rFonts w:ascii="Sylfaen" w:hAnsi="Sylfaen"/>
          <w:sz w:val="24"/>
          <w:szCs w:val="24"/>
        </w:rPr>
        <w:t>Շրջանառության մեջ դնելուց հետո օդափոխիչների փորձարկումները (չափումները) անցկացնելիս պետք է փորձարկվի օդափոխիչի 1 օրինակ։</w:t>
      </w:r>
    </w:p>
    <w:p w14:paraId="6DFEF377"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 xml:space="preserve">Օդափոխիչի մոդելը համարվում է սույն պահանջներին համապատասխանող, եթե սույն պահանջների 3-րդ աղյուսակում նշված՝ չափումների արդյունքում ստացված՝ օդափոխիչի նմուշի պարամետրերի </w:t>
      </w:r>
      <w:r>
        <w:rPr>
          <w:rFonts w:ascii="Sylfaen" w:hAnsi="Sylfaen"/>
          <w:sz w:val="24"/>
          <w:szCs w:val="24"/>
        </w:rPr>
        <w:t>եւ</w:t>
      </w:r>
      <w:r w:rsidRPr="00CF39EE">
        <w:rPr>
          <w:rFonts w:ascii="Sylfaen" w:hAnsi="Sylfaen"/>
          <w:sz w:val="24"/>
          <w:szCs w:val="24"/>
        </w:rPr>
        <w:t xml:space="preserve"> բնութագրերի արժեքները չեն տարբերվում արտադրողի կողմից հայտարարված անվանական արժեքներից ավելի քան 15 %-ով:</w:t>
      </w:r>
    </w:p>
    <w:p w14:paraId="68CF1157"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 xml:space="preserve">Այլ դեպքերում ստուգվում է օդափոխիչի </w:t>
      </w:r>
      <w:r>
        <w:rPr>
          <w:rFonts w:ascii="Sylfaen" w:hAnsi="Sylfaen"/>
          <w:sz w:val="24"/>
          <w:szCs w:val="24"/>
        </w:rPr>
        <w:t>եւ</w:t>
      </w:r>
      <w:r w:rsidRPr="00CF39EE">
        <w:rPr>
          <w:rFonts w:ascii="Sylfaen" w:hAnsi="Sylfaen"/>
          <w:sz w:val="24"/>
          <w:szCs w:val="24"/>
        </w:rPr>
        <w:t>ս 3 նմուշ: Օդափոխիչի մոդելը համարվում է սույն պահանջներին համապատասխանող, եթե այդ 3 նմուշների չափումների արդյունքների միջին արժեքը համապատասխանում է սույն կետի նախորդ երկրորդ պարբերությունում նշված պահանջներին:</w:t>
      </w:r>
    </w:p>
    <w:p w14:paraId="6AD93335" w14:textId="77777777" w:rsidR="009338B9" w:rsidRPr="00CF39EE" w:rsidRDefault="009338B9" w:rsidP="009338B9">
      <w:pPr>
        <w:pStyle w:val="Bodytext20"/>
        <w:spacing w:after="160" w:line="360" w:lineRule="auto"/>
        <w:ind w:firstLine="567"/>
        <w:jc w:val="both"/>
        <w:rPr>
          <w:rFonts w:ascii="Sylfaen" w:hAnsi="Sylfaen"/>
          <w:sz w:val="24"/>
          <w:szCs w:val="24"/>
        </w:rPr>
      </w:pPr>
      <w:r w:rsidRPr="00CF39EE">
        <w:rPr>
          <w:rFonts w:ascii="Sylfaen" w:hAnsi="Sylfaen"/>
          <w:sz w:val="24"/>
          <w:szCs w:val="24"/>
        </w:rPr>
        <w:t>Այլ դեպքերում օդափոխիչի տվյալ մոդելը հարկ է դիտարկել որպես տեխնիկական կանոնակարգի պահանջներին չհամապատասխանող։</w:t>
      </w:r>
    </w:p>
    <w:p w14:paraId="298E7B15" w14:textId="77777777" w:rsidR="00FD48C7" w:rsidRPr="0027701C" w:rsidRDefault="0027701C" w:rsidP="0027701C">
      <w:pPr>
        <w:pStyle w:val="BodyText1"/>
        <w:shd w:val="clear" w:color="auto" w:fill="auto"/>
        <w:spacing w:after="160"/>
        <w:ind w:firstLine="567"/>
        <w:jc w:val="center"/>
        <w:rPr>
          <w:rFonts w:ascii="Sylfaen" w:hAnsi="Sylfaen" w:cs="Sylfaen"/>
          <w:sz w:val="24"/>
          <w:szCs w:val="24"/>
          <w:lang w:val="en-US"/>
        </w:rPr>
      </w:pPr>
      <w:r>
        <w:rPr>
          <w:rFonts w:ascii="Sylfaen" w:hAnsi="Sylfaen" w:cs="Sylfaen"/>
          <w:sz w:val="24"/>
          <w:szCs w:val="24"/>
          <w:lang w:val="en-US"/>
        </w:rPr>
        <w:t>___________</w:t>
      </w:r>
    </w:p>
    <w:sectPr w:rsidR="00FD48C7" w:rsidRPr="0027701C" w:rsidSect="003C5DE2">
      <w:pgSz w:w="11900" w:h="16840" w:code="9"/>
      <w:pgMar w:top="1418" w:right="1418" w:bottom="1418" w:left="1418" w:header="0" w:footer="68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3C753" w14:textId="77777777" w:rsidR="00A04788" w:rsidRDefault="00A04788" w:rsidP="00FD48C7">
      <w:r>
        <w:separator/>
      </w:r>
    </w:p>
  </w:endnote>
  <w:endnote w:type="continuationSeparator" w:id="0">
    <w:p w14:paraId="12650B91" w14:textId="77777777" w:rsidR="00A04788" w:rsidRDefault="00A04788" w:rsidP="00FD4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n AMU">
    <w:altName w:val="Calibri"/>
    <w:charset w:val="CC"/>
    <w:family w:val="auto"/>
    <w:pitch w:val="variable"/>
    <w:sig w:usb0="00000000" w:usb1="10000008" w:usb2="00000000" w:usb3="00000000" w:csb0="0001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David">
    <w:charset w:val="B1"/>
    <w:family w:val="swiss"/>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imesNewRoman">
    <w:altName w:val="MS Mincho"/>
    <w:panose1 w:val="00000000000000000000"/>
    <w:charset w:val="00"/>
    <w:family w:val="auto"/>
    <w:notTrueType/>
    <w:pitch w:val="default"/>
    <w:sig w:usb0="00000000" w:usb1="08070000" w:usb2="00000010" w:usb3="00000000" w:csb0="0002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7181150"/>
      <w:docPartObj>
        <w:docPartGallery w:val="Page Numbers (Bottom of Page)"/>
        <w:docPartUnique/>
      </w:docPartObj>
    </w:sdtPr>
    <w:sdtEndPr>
      <w:rPr>
        <w:rFonts w:ascii="Sylfaen" w:hAnsi="Sylfaen"/>
      </w:rPr>
    </w:sdtEndPr>
    <w:sdtContent>
      <w:p w14:paraId="78228489" w14:textId="77777777" w:rsidR="0027701C" w:rsidRPr="0027701C" w:rsidRDefault="00145969">
        <w:pPr>
          <w:pStyle w:val="Footer"/>
          <w:jc w:val="center"/>
          <w:rPr>
            <w:rFonts w:ascii="Sylfaen" w:hAnsi="Sylfaen"/>
          </w:rPr>
        </w:pPr>
        <w:r w:rsidRPr="0027701C">
          <w:rPr>
            <w:rFonts w:ascii="Sylfaen" w:hAnsi="Sylfaen"/>
          </w:rPr>
          <w:fldChar w:fldCharType="begin"/>
        </w:r>
        <w:r w:rsidR="0027701C" w:rsidRPr="0027701C">
          <w:rPr>
            <w:rFonts w:ascii="Sylfaen" w:hAnsi="Sylfaen"/>
          </w:rPr>
          <w:instrText xml:space="preserve"> PAGE   \* MERGEFORMAT </w:instrText>
        </w:r>
        <w:r w:rsidRPr="0027701C">
          <w:rPr>
            <w:rFonts w:ascii="Sylfaen" w:hAnsi="Sylfaen"/>
          </w:rPr>
          <w:fldChar w:fldCharType="separate"/>
        </w:r>
        <w:r w:rsidR="003D2C38">
          <w:rPr>
            <w:rFonts w:ascii="Sylfaen" w:hAnsi="Sylfaen"/>
            <w:noProof/>
          </w:rPr>
          <w:t>7</w:t>
        </w:r>
        <w:r w:rsidRPr="0027701C">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F153A" w14:textId="77777777" w:rsidR="00A04788" w:rsidRDefault="00A04788">
      <w:r>
        <w:separator/>
      </w:r>
    </w:p>
  </w:footnote>
  <w:footnote w:type="continuationSeparator" w:id="0">
    <w:p w14:paraId="387E052A" w14:textId="77777777" w:rsidR="00A04788" w:rsidRDefault="00A04788">
      <w:r>
        <w:continuationSeparator/>
      </w:r>
    </w:p>
  </w:footnote>
  <w:footnote w:id="1">
    <w:p w14:paraId="3CFAB2A2" w14:textId="77777777" w:rsidR="0027701C" w:rsidRPr="00D41A9D" w:rsidRDefault="0027701C" w:rsidP="0078386D">
      <w:pPr>
        <w:pStyle w:val="FootnoteText"/>
        <w:jc w:val="both"/>
        <w:rPr>
          <w:rFonts w:ascii="Sylfaen" w:hAnsi="Sylfaen"/>
          <w:sz w:val="16"/>
        </w:rPr>
      </w:pPr>
      <w:r>
        <w:rPr>
          <w:rStyle w:val="FootnoteReference"/>
          <w:rFonts w:ascii="Sylfaen" w:hAnsi="Sylfaen"/>
          <w:sz w:val="16"/>
        </w:rPr>
        <w:footnoteRef/>
      </w:r>
      <w:r>
        <w:rPr>
          <w:rFonts w:ascii="Sylfaen" w:hAnsi="Sylfaen"/>
          <w:sz w:val="16"/>
        </w:rPr>
        <w:t xml:space="preserve"> </w:t>
      </w:r>
      <w:r w:rsidRPr="0078386D">
        <w:rPr>
          <w:rFonts w:ascii="Sylfaen" w:hAnsi="Sylfaen"/>
        </w:rPr>
        <w:t>«+»՝ առկա է, «-»՝ բացակայում է, «±»՝ արտադրողի հայեցողությամբ։</w:t>
      </w:r>
    </w:p>
  </w:footnote>
  <w:footnote w:id="2">
    <w:p w14:paraId="78A3C3A5" w14:textId="77777777" w:rsidR="0027701C" w:rsidRPr="00D41A9D" w:rsidRDefault="0027701C" w:rsidP="0078386D">
      <w:pPr>
        <w:pStyle w:val="FootnoteText"/>
        <w:jc w:val="both"/>
        <w:rPr>
          <w:rFonts w:ascii="Sylfaen" w:hAnsi="Sylfaen"/>
          <w:sz w:val="16"/>
        </w:rPr>
      </w:pPr>
      <w:r>
        <w:rPr>
          <w:rStyle w:val="FootnoteReference"/>
          <w:rFonts w:ascii="Sylfaen" w:hAnsi="Sylfaen"/>
          <w:sz w:val="16"/>
        </w:rPr>
        <w:footnoteRef/>
      </w:r>
      <w:r>
        <w:rPr>
          <w:rFonts w:ascii="Sylfaen" w:hAnsi="Sylfaen"/>
          <w:sz w:val="16"/>
        </w:rPr>
        <w:t xml:space="preserve"> </w:t>
      </w:r>
      <w:r w:rsidRPr="0078386D">
        <w:rPr>
          <w:rFonts w:ascii="Sylfaen" w:hAnsi="Sylfaen"/>
        </w:rPr>
        <w:t>Խցիկում կամ բաժանմունքում պահման ջերմաստիճանը (Тс)՝ +5 °C-ից մինչեւ +20 °C։</w:t>
      </w:r>
    </w:p>
  </w:footnote>
  <w:footnote w:id="3">
    <w:p w14:paraId="3D958621" w14:textId="77777777" w:rsidR="0027701C" w:rsidRPr="0078386D" w:rsidRDefault="0027701C" w:rsidP="0078386D">
      <w:pPr>
        <w:pStyle w:val="FootnoteText"/>
        <w:jc w:val="both"/>
        <w:rPr>
          <w:rFonts w:ascii="Sylfaen" w:hAnsi="Sylfaen"/>
        </w:rPr>
      </w:pPr>
      <w:r w:rsidRPr="0078386D">
        <w:rPr>
          <w:rStyle w:val="FootnoteReference"/>
          <w:rFonts w:ascii="Sylfaen" w:hAnsi="Sylfaen"/>
        </w:rPr>
        <w:footnoteRef/>
      </w:r>
      <w:r w:rsidRPr="0078386D">
        <w:rPr>
          <w:rFonts w:ascii="Sylfaen" w:hAnsi="Sylfaen"/>
        </w:rPr>
        <w:t xml:space="preserve"> T</w:t>
      </w:r>
      <w:r w:rsidRPr="0078386D">
        <w:rPr>
          <w:rFonts w:ascii="Sylfaen" w:hAnsi="Sylfaen"/>
          <w:vertAlign w:val="subscript"/>
        </w:rPr>
        <w:t>c</w:t>
      </w:r>
      <w:r w:rsidRPr="0078386D">
        <w:rPr>
          <w:rFonts w:ascii="Sylfaen" w:hAnsi="Sylfaen"/>
        </w:rPr>
        <w:t>՝ +8 °C-ից մինչեւ 14 °C։</w:t>
      </w:r>
    </w:p>
  </w:footnote>
  <w:footnote w:id="4">
    <w:p w14:paraId="2C477D20" w14:textId="77777777" w:rsidR="0027701C" w:rsidRPr="0078386D" w:rsidRDefault="0027701C" w:rsidP="0078386D">
      <w:pPr>
        <w:pStyle w:val="FootnoteText"/>
        <w:jc w:val="both"/>
        <w:rPr>
          <w:rFonts w:ascii="Sylfaen" w:hAnsi="Sylfaen"/>
        </w:rPr>
      </w:pPr>
      <w:r w:rsidRPr="0078386D">
        <w:rPr>
          <w:rStyle w:val="FootnoteReference"/>
          <w:rFonts w:ascii="Sylfaen" w:hAnsi="Sylfaen"/>
        </w:rPr>
        <w:footnoteRef/>
      </w:r>
      <w:r w:rsidRPr="0078386D">
        <w:rPr>
          <w:rFonts w:ascii="Sylfaen" w:hAnsi="Sylfaen"/>
        </w:rPr>
        <w:t xml:space="preserve"> T</w:t>
      </w:r>
      <w:r w:rsidRPr="0078386D">
        <w:rPr>
          <w:rFonts w:ascii="Sylfaen" w:hAnsi="Sylfaen"/>
          <w:vertAlign w:val="subscript"/>
        </w:rPr>
        <w:t>c</w:t>
      </w:r>
      <w:r w:rsidRPr="0078386D">
        <w:rPr>
          <w:rFonts w:ascii="Sylfaen" w:hAnsi="Sylfaen"/>
        </w:rPr>
        <w:t>՝ 0 °C-ից մինչեւ +8 °C, միջին Тс՝ +4 °C։</w:t>
      </w:r>
    </w:p>
  </w:footnote>
  <w:footnote w:id="5">
    <w:p w14:paraId="4D9805FF" w14:textId="77777777" w:rsidR="0027701C" w:rsidRPr="0078386D" w:rsidRDefault="0027701C" w:rsidP="0078386D">
      <w:pPr>
        <w:pStyle w:val="FootnoteText"/>
        <w:jc w:val="both"/>
        <w:rPr>
          <w:rFonts w:ascii="Sylfaen" w:hAnsi="Sylfaen"/>
        </w:rPr>
      </w:pPr>
      <w:r>
        <w:rPr>
          <w:rStyle w:val="FootnoteReference"/>
          <w:rFonts w:ascii="Sylfaen" w:hAnsi="Sylfaen"/>
          <w:sz w:val="16"/>
        </w:rPr>
        <w:footnoteRef/>
      </w:r>
      <w:r>
        <w:rPr>
          <w:rFonts w:ascii="Sylfaen" w:hAnsi="Sylfaen"/>
          <w:sz w:val="16"/>
        </w:rPr>
        <w:t xml:space="preserve"> </w:t>
      </w:r>
      <w:r w:rsidRPr="0078386D">
        <w:rPr>
          <w:rFonts w:ascii="Sylfaen" w:hAnsi="Sylfaen"/>
        </w:rPr>
        <w:t>T</w:t>
      </w:r>
      <w:r w:rsidRPr="0078386D">
        <w:rPr>
          <w:rFonts w:ascii="Sylfaen" w:hAnsi="Sylfaen"/>
          <w:vertAlign w:val="subscript"/>
        </w:rPr>
        <w:t>c</w:t>
      </w:r>
      <w:r w:rsidRPr="0078386D">
        <w:rPr>
          <w:rFonts w:ascii="Sylfaen" w:hAnsi="Sylfaen"/>
        </w:rPr>
        <w:t>՝ -2 °C-ից մինչեւ +3°С։</w:t>
      </w:r>
    </w:p>
  </w:footnote>
  <w:footnote w:id="6">
    <w:p w14:paraId="5C2AEB84" w14:textId="77777777" w:rsidR="0027701C" w:rsidRPr="00D41A9D" w:rsidRDefault="0027701C" w:rsidP="0078386D">
      <w:pPr>
        <w:pStyle w:val="FootnoteText"/>
        <w:jc w:val="both"/>
        <w:rPr>
          <w:rFonts w:ascii="Sylfaen" w:hAnsi="Sylfaen"/>
          <w:sz w:val="16"/>
        </w:rPr>
      </w:pPr>
      <w:r>
        <w:rPr>
          <w:rStyle w:val="FootnoteReference"/>
          <w:rFonts w:ascii="Sylfaen" w:hAnsi="Sylfaen"/>
          <w:sz w:val="16"/>
        </w:rPr>
        <w:footnoteRef/>
      </w:r>
      <w:r>
        <w:rPr>
          <w:rFonts w:ascii="Sylfaen" w:hAnsi="Sylfaen"/>
          <w:sz w:val="16"/>
        </w:rPr>
        <w:t xml:space="preserve"> </w:t>
      </w:r>
      <w:r w:rsidRPr="0078386D">
        <w:rPr>
          <w:rFonts w:ascii="Sylfaen" w:hAnsi="Sylfaen"/>
        </w:rPr>
        <w:t>T</w:t>
      </w:r>
      <w:r w:rsidRPr="0078386D">
        <w:rPr>
          <w:rFonts w:ascii="Sylfaen" w:hAnsi="Sylfaen"/>
          <w:vertAlign w:val="subscript"/>
        </w:rPr>
        <w:t>c</w:t>
      </w:r>
      <w:r w:rsidRPr="0078386D">
        <w:rPr>
          <w:rFonts w:ascii="Sylfaen" w:hAnsi="Sylfaen"/>
        </w:rPr>
        <w:t>՝ 0 °C եւ ցածր։</w:t>
      </w:r>
    </w:p>
  </w:footnote>
  <w:footnote w:id="7">
    <w:p w14:paraId="759A05A9" w14:textId="77777777" w:rsidR="0027701C" w:rsidRPr="0078386D" w:rsidRDefault="0027701C" w:rsidP="0078386D">
      <w:pPr>
        <w:pStyle w:val="FootnoteText"/>
        <w:jc w:val="both"/>
        <w:rPr>
          <w:rFonts w:ascii="Sylfaen" w:hAnsi="Sylfaen"/>
        </w:rPr>
      </w:pPr>
      <w:r>
        <w:rPr>
          <w:rStyle w:val="FootnoteReference"/>
          <w:rFonts w:ascii="Sylfaen" w:hAnsi="Sylfaen"/>
          <w:sz w:val="16"/>
        </w:rPr>
        <w:footnoteRef/>
      </w:r>
      <w:r>
        <w:rPr>
          <w:rFonts w:ascii="Sylfaen" w:hAnsi="Sylfaen"/>
          <w:sz w:val="16"/>
        </w:rPr>
        <w:t xml:space="preserve"> </w:t>
      </w:r>
      <w:r w:rsidRPr="0078386D">
        <w:rPr>
          <w:rFonts w:ascii="Sylfaen" w:hAnsi="Sylfaen"/>
        </w:rPr>
        <w:t>«*» մականշվածքով բաժանմունք։</w:t>
      </w:r>
    </w:p>
  </w:footnote>
  <w:footnote w:id="8">
    <w:p w14:paraId="30D81503" w14:textId="77777777" w:rsidR="0027701C" w:rsidRPr="00D41A9D" w:rsidRDefault="0027701C" w:rsidP="0078386D">
      <w:pPr>
        <w:pStyle w:val="FootnoteText"/>
        <w:jc w:val="both"/>
        <w:rPr>
          <w:rFonts w:ascii="Sylfaen" w:hAnsi="Sylfaen"/>
          <w:sz w:val="16"/>
        </w:rPr>
      </w:pPr>
      <w:r>
        <w:rPr>
          <w:rStyle w:val="FootnoteReference"/>
          <w:rFonts w:ascii="Sylfaen" w:hAnsi="Sylfaen"/>
          <w:sz w:val="16"/>
        </w:rPr>
        <w:footnoteRef/>
      </w:r>
      <w:r>
        <w:rPr>
          <w:rFonts w:ascii="Sylfaen" w:hAnsi="Sylfaen"/>
          <w:sz w:val="16"/>
        </w:rPr>
        <w:t xml:space="preserve"> </w:t>
      </w:r>
      <w:r w:rsidRPr="0078386D">
        <w:rPr>
          <w:rFonts w:ascii="Sylfaen" w:hAnsi="Sylfaen"/>
        </w:rPr>
        <w:t>«**» մականշվածքով բաժանմունք։</w:t>
      </w:r>
    </w:p>
  </w:footnote>
  <w:footnote w:id="9">
    <w:p w14:paraId="6CAAEE3A" w14:textId="77777777" w:rsidR="0027701C" w:rsidRPr="0078386D" w:rsidRDefault="0027701C" w:rsidP="0078386D">
      <w:pPr>
        <w:pStyle w:val="FootnoteText"/>
        <w:jc w:val="both"/>
        <w:rPr>
          <w:rFonts w:ascii="Sylfaen" w:hAnsi="Sylfaen"/>
        </w:rPr>
      </w:pPr>
      <w:r w:rsidRPr="0078386D">
        <w:rPr>
          <w:rStyle w:val="FootnoteReference"/>
          <w:rFonts w:ascii="Sylfaen" w:hAnsi="Sylfaen"/>
        </w:rPr>
        <w:footnoteRef/>
      </w:r>
      <w:r w:rsidRPr="0078386D">
        <w:rPr>
          <w:rFonts w:ascii="Sylfaen" w:hAnsi="Sylfaen"/>
        </w:rPr>
        <w:t xml:space="preserve"> «***» մականշվածքով բաժանմունք։</w:t>
      </w:r>
    </w:p>
  </w:footnote>
  <w:footnote w:id="10">
    <w:p w14:paraId="7482149D" w14:textId="77777777" w:rsidR="0027701C" w:rsidRPr="0078386D" w:rsidRDefault="0027701C" w:rsidP="0078386D">
      <w:pPr>
        <w:pStyle w:val="FootnoteText"/>
        <w:jc w:val="both"/>
        <w:rPr>
          <w:rFonts w:ascii="Sylfaen" w:hAnsi="Sylfaen"/>
        </w:rPr>
      </w:pPr>
      <w:r w:rsidRPr="0078386D">
        <w:rPr>
          <w:rStyle w:val="FootnoteReference"/>
          <w:rFonts w:ascii="Sylfaen" w:hAnsi="Sylfaen"/>
        </w:rPr>
        <w:footnoteRef/>
      </w:r>
      <w:r w:rsidRPr="0078386D">
        <w:rPr>
          <w:rFonts w:ascii="Sylfaen" w:hAnsi="Sylfaen"/>
        </w:rPr>
        <w:t xml:space="preserve"> «****» մականշվածքով բաժանմունք։</w:t>
      </w:r>
    </w:p>
  </w:footnote>
  <w:footnote w:id="11">
    <w:p w14:paraId="3D5DBA74" w14:textId="77777777" w:rsidR="0027701C" w:rsidRPr="00181016" w:rsidRDefault="0027701C" w:rsidP="0078386D">
      <w:pPr>
        <w:pStyle w:val="FootnoteText"/>
        <w:jc w:val="both"/>
        <w:rPr>
          <w:rFonts w:ascii="Sylfaen" w:hAnsi="Sylfaen"/>
          <w:sz w:val="16"/>
        </w:rPr>
      </w:pPr>
      <w:r>
        <w:rPr>
          <w:rStyle w:val="FootnoteReference"/>
        </w:rPr>
        <w:footnoteRef/>
      </w:r>
      <w:r>
        <w:t xml:space="preserve"> </w:t>
      </w:r>
      <w:r w:rsidRPr="0078386D">
        <w:rPr>
          <w:rFonts w:ascii="Sylfaen" w:hAnsi="Sylfaen"/>
        </w:rPr>
        <w:t>Այդ թվում՝ սառեցրած սննդամթերքի պահման համար նախատեսված պահարաններ՝ «***» մականշվածքով</w:t>
      </w:r>
      <w:r>
        <w:rPr>
          <w:rFonts w:ascii="Sylfaen" w:hAnsi="Sylfaen"/>
          <w:sz w:val="16"/>
        </w:rPr>
        <w:t>։</w:t>
      </w:r>
    </w:p>
  </w:footnote>
  <w:footnote w:id="12">
    <w:p w14:paraId="4FC6D1E0" w14:textId="77777777" w:rsidR="0027701C" w:rsidRPr="0078386D" w:rsidRDefault="0027701C" w:rsidP="0078386D">
      <w:pPr>
        <w:pStyle w:val="FootnoteText"/>
        <w:jc w:val="both"/>
        <w:rPr>
          <w:rFonts w:ascii="Sylfaen" w:hAnsi="Sylfaen"/>
        </w:rPr>
      </w:pPr>
      <w:r>
        <w:rPr>
          <w:rStyle w:val="FootnoteReference"/>
          <w:rFonts w:ascii="Sylfaen" w:hAnsi="Sylfaen"/>
          <w:sz w:val="16"/>
        </w:rPr>
        <w:footnoteRef/>
      </w:r>
      <w:r>
        <w:rPr>
          <w:rFonts w:ascii="Sylfaen" w:hAnsi="Sylfaen"/>
          <w:sz w:val="16"/>
        </w:rPr>
        <w:t xml:space="preserve"> </w:t>
      </w:r>
      <w:r w:rsidRPr="0078386D">
        <w:rPr>
          <w:rFonts w:ascii="Sylfaen" w:hAnsi="Sylfaen"/>
        </w:rPr>
        <w:t>10-րդ տիպի համար M եւ N ճշգրտման գործակիցներն ընտրվում են 1-9-րդ տիպերի համար նշված արժեքներից՝ ելնելով պահման ամենացածր ջերմաստիճանից (7-9-րդ տիպեր) կամ արտադրողի կողմից սահմանված՝ առավելագույն թվով «աստղանիշերով» մականշվածք ունեցող բաժանմունքների առկայությունից (1-6-րդ տիպեր)։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83D2E"/>
    <w:multiLevelType w:val="multilevel"/>
    <w:tmpl w:val="B4B2B6C8"/>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7635F"/>
    <w:multiLevelType w:val="multilevel"/>
    <w:tmpl w:val="09FC82CE"/>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0D368C"/>
    <w:multiLevelType w:val="multilevel"/>
    <w:tmpl w:val="8D7E92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4B3782"/>
    <w:multiLevelType w:val="multilevel"/>
    <w:tmpl w:val="80885F6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941439"/>
    <w:multiLevelType w:val="multilevel"/>
    <w:tmpl w:val="E74E59D0"/>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416FA2"/>
    <w:multiLevelType w:val="multilevel"/>
    <w:tmpl w:val="AE544D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BC3538"/>
    <w:multiLevelType w:val="multilevel"/>
    <w:tmpl w:val="E2C65C8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ABF48FF"/>
    <w:multiLevelType w:val="multilevel"/>
    <w:tmpl w:val="4F4212C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DE91A48"/>
    <w:multiLevelType w:val="multilevel"/>
    <w:tmpl w:val="F074112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711328"/>
    <w:multiLevelType w:val="multilevel"/>
    <w:tmpl w:val="178A9030"/>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8475DDB"/>
    <w:multiLevelType w:val="multilevel"/>
    <w:tmpl w:val="DCEE3D0E"/>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A7F0008"/>
    <w:multiLevelType w:val="multilevel"/>
    <w:tmpl w:val="D3D6741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BF80492"/>
    <w:multiLevelType w:val="multilevel"/>
    <w:tmpl w:val="E74002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E14922"/>
    <w:multiLevelType w:val="multilevel"/>
    <w:tmpl w:val="A63E108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8425D13"/>
    <w:multiLevelType w:val="multilevel"/>
    <w:tmpl w:val="BAB2AE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9230915"/>
    <w:multiLevelType w:val="multilevel"/>
    <w:tmpl w:val="2294E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vertAlign w:val="superscript"/>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9ED43C6"/>
    <w:multiLevelType w:val="multilevel"/>
    <w:tmpl w:val="79842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A5F591D"/>
    <w:multiLevelType w:val="multilevel"/>
    <w:tmpl w:val="D868CBC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8642B7"/>
    <w:multiLevelType w:val="multilevel"/>
    <w:tmpl w:val="43CEBFE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7B5720"/>
    <w:multiLevelType w:val="multilevel"/>
    <w:tmpl w:val="6792A86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D951AFB"/>
    <w:multiLevelType w:val="multilevel"/>
    <w:tmpl w:val="F73C69B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2B11AC9"/>
    <w:multiLevelType w:val="multilevel"/>
    <w:tmpl w:val="9E70B31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57B0E9C"/>
    <w:multiLevelType w:val="multilevel"/>
    <w:tmpl w:val="71AE9E3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9B5EE1"/>
    <w:multiLevelType w:val="multilevel"/>
    <w:tmpl w:val="63C602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61C060A"/>
    <w:multiLevelType w:val="multilevel"/>
    <w:tmpl w:val="AE9408CC"/>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DE362B4"/>
    <w:multiLevelType w:val="multilevel"/>
    <w:tmpl w:val="B85668BE"/>
    <w:lvl w:ilvl="0">
      <w:start w:val="1"/>
      <w:numFmt w:val="bullet"/>
      <w:lvlText w:val="&lt;"/>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4872EA"/>
    <w:multiLevelType w:val="multilevel"/>
    <w:tmpl w:val="B38694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98247C9"/>
    <w:multiLevelType w:val="multilevel"/>
    <w:tmpl w:val="4F8897FC"/>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E3470E7"/>
    <w:multiLevelType w:val="multilevel"/>
    <w:tmpl w:val="11BCD36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E3287B"/>
    <w:multiLevelType w:val="multilevel"/>
    <w:tmpl w:val="613806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51412274">
    <w:abstractNumId w:val="20"/>
  </w:num>
  <w:num w:numId="2" w16cid:durableId="298658674">
    <w:abstractNumId w:val="2"/>
  </w:num>
  <w:num w:numId="3" w16cid:durableId="1532264144">
    <w:abstractNumId w:val="16"/>
  </w:num>
  <w:num w:numId="4" w16cid:durableId="1967003394">
    <w:abstractNumId w:val="9"/>
  </w:num>
  <w:num w:numId="5" w16cid:durableId="519929254">
    <w:abstractNumId w:val="3"/>
  </w:num>
  <w:num w:numId="6" w16cid:durableId="1809859133">
    <w:abstractNumId w:val="17"/>
  </w:num>
  <w:num w:numId="7" w16cid:durableId="1901863924">
    <w:abstractNumId w:val="8"/>
  </w:num>
  <w:num w:numId="8" w16cid:durableId="1678314551">
    <w:abstractNumId w:val="19"/>
  </w:num>
  <w:num w:numId="9" w16cid:durableId="1532187930">
    <w:abstractNumId w:val="13"/>
  </w:num>
  <w:num w:numId="10" w16cid:durableId="1086616376">
    <w:abstractNumId w:val="7"/>
  </w:num>
  <w:num w:numId="11" w16cid:durableId="1158182139">
    <w:abstractNumId w:val="26"/>
  </w:num>
  <w:num w:numId="12" w16cid:durableId="154342497">
    <w:abstractNumId w:val="25"/>
  </w:num>
  <w:num w:numId="13" w16cid:durableId="1383289435">
    <w:abstractNumId w:val="22"/>
  </w:num>
  <w:num w:numId="14" w16cid:durableId="612519698">
    <w:abstractNumId w:val="29"/>
  </w:num>
  <w:num w:numId="15" w16cid:durableId="203948946">
    <w:abstractNumId w:val="14"/>
  </w:num>
  <w:num w:numId="16" w16cid:durableId="186141785">
    <w:abstractNumId w:val="12"/>
  </w:num>
  <w:num w:numId="17" w16cid:durableId="1816868821">
    <w:abstractNumId w:val="18"/>
  </w:num>
  <w:num w:numId="18" w16cid:durableId="202376101">
    <w:abstractNumId w:val="21"/>
  </w:num>
  <w:num w:numId="19" w16cid:durableId="630206491">
    <w:abstractNumId w:val="11"/>
  </w:num>
  <w:num w:numId="20" w16cid:durableId="261183564">
    <w:abstractNumId w:val="5"/>
  </w:num>
  <w:num w:numId="21" w16cid:durableId="1761561803">
    <w:abstractNumId w:val="10"/>
  </w:num>
  <w:num w:numId="22" w16cid:durableId="797723591">
    <w:abstractNumId w:val="24"/>
  </w:num>
  <w:num w:numId="23" w16cid:durableId="77949173">
    <w:abstractNumId w:val="27"/>
  </w:num>
  <w:num w:numId="24" w16cid:durableId="665129327">
    <w:abstractNumId w:val="6"/>
  </w:num>
  <w:num w:numId="25" w16cid:durableId="1116406532">
    <w:abstractNumId w:val="1"/>
  </w:num>
  <w:num w:numId="26" w16cid:durableId="1205869291">
    <w:abstractNumId w:val="28"/>
  </w:num>
  <w:num w:numId="27" w16cid:durableId="1850827921">
    <w:abstractNumId w:val="23"/>
  </w:num>
  <w:num w:numId="28" w16cid:durableId="1458177407">
    <w:abstractNumId w:val="0"/>
  </w:num>
  <w:num w:numId="29" w16cid:durableId="1316881443">
    <w:abstractNumId w:val="15"/>
  </w:num>
  <w:num w:numId="30" w16cid:durableId="1021131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hideSpellingErrors/>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FD48C7"/>
    <w:rsid w:val="00000D59"/>
    <w:rsid w:val="00003F9A"/>
    <w:rsid w:val="00041553"/>
    <w:rsid w:val="00053212"/>
    <w:rsid w:val="00054AD2"/>
    <w:rsid w:val="00060D28"/>
    <w:rsid w:val="00066F60"/>
    <w:rsid w:val="0007153C"/>
    <w:rsid w:val="000809D3"/>
    <w:rsid w:val="000C2B8E"/>
    <w:rsid w:val="000E6C97"/>
    <w:rsid w:val="00101122"/>
    <w:rsid w:val="00137BB2"/>
    <w:rsid w:val="00145969"/>
    <w:rsid w:val="00146B99"/>
    <w:rsid w:val="00152E07"/>
    <w:rsid w:val="00155814"/>
    <w:rsid w:val="00174DE9"/>
    <w:rsid w:val="00181016"/>
    <w:rsid w:val="001C0F06"/>
    <w:rsid w:val="001D64BF"/>
    <w:rsid w:val="001E750E"/>
    <w:rsid w:val="00211C46"/>
    <w:rsid w:val="00213FCC"/>
    <w:rsid w:val="002140E3"/>
    <w:rsid w:val="0023317E"/>
    <w:rsid w:val="0024157F"/>
    <w:rsid w:val="00250D3E"/>
    <w:rsid w:val="00254FB5"/>
    <w:rsid w:val="0025735D"/>
    <w:rsid w:val="0027701C"/>
    <w:rsid w:val="002B080C"/>
    <w:rsid w:val="002B7C53"/>
    <w:rsid w:val="002D3977"/>
    <w:rsid w:val="002D41F7"/>
    <w:rsid w:val="002E1CAE"/>
    <w:rsid w:val="002F07D1"/>
    <w:rsid w:val="003222DC"/>
    <w:rsid w:val="00334A60"/>
    <w:rsid w:val="0034095C"/>
    <w:rsid w:val="00363C92"/>
    <w:rsid w:val="003A58A3"/>
    <w:rsid w:val="003B272E"/>
    <w:rsid w:val="003B4610"/>
    <w:rsid w:val="003C07D4"/>
    <w:rsid w:val="003C4350"/>
    <w:rsid w:val="003C5DE2"/>
    <w:rsid w:val="003D2C38"/>
    <w:rsid w:val="003D7C6D"/>
    <w:rsid w:val="003E4D60"/>
    <w:rsid w:val="004017F0"/>
    <w:rsid w:val="00411BB9"/>
    <w:rsid w:val="004257E1"/>
    <w:rsid w:val="0044081B"/>
    <w:rsid w:val="00443961"/>
    <w:rsid w:val="00453D81"/>
    <w:rsid w:val="004657BA"/>
    <w:rsid w:val="00497D89"/>
    <w:rsid w:val="004A4E35"/>
    <w:rsid w:val="004C08EC"/>
    <w:rsid w:val="004C3226"/>
    <w:rsid w:val="004D5828"/>
    <w:rsid w:val="004E151F"/>
    <w:rsid w:val="004E46D9"/>
    <w:rsid w:val="005002B3"/>
    <w:rsid w:val="005058A8"/>
    <w:rsid w:val="005170ED"/>
    <w:rsid w:val="00524097"/>
    <w:rsid w:val="00530191"/>
    <w:rsid w:val="005310D1"/>
    <w:rsid w:val="0053212F"/>
    <w:rsid w:val="005343B5"/>
    <w:rsid w:val="005503F1"/>
    <w:rsid w:val="005630B5"/>
    <w:rsid w:val="0057067E"/>
    <w:rsid w:val="0057370C"/>
    <w:rsid w:val="005754A8"/>
    <w:rsid w:val="00583DF1"/>
    <w:rsid w:val="005A4FA0"/>
    <w:rsid w:val="005C1B3A"/>
    <w:rsid w:val="005C50BB"/>
    <w:rsid w:val="005D6C2A"/>
    <w:rsid w:val="005F0644"/>
    <w:rsid w:val="005F2963"/>
    <w:rsid w:val="006001B9"/>
    <w:rsid w:val="0061753D"/>
    <w:rsid w:val="00622862"/>
    <w:rsid w:val="0063066F"/>
    <w:rsid w:val="00647F3B"/>
    <w:rsid w:val="00661290"/>
    <w:rsid w:val="006646CA"/>
    <w:rsid w:val="00666F61"/>
    <w:rsid w:val="00667625"/>
    <w:rsid w:val="00696F04"/>
    <w:rsid w:val="006C5F2F"/>
    <w:rsid w:val="006D14D3"/>
    <w:rsid w:val="006F789E"/>
    <w:rsid w:val="006F7D0E"/>
    <w:rsid w:val="00700709"/>
    <w:rsid w:val="007209C7"/>
    <w:rsid w:val="00750A65"/>
    <w:rsid w:val="0077719B"/>
    <w:rsid w:val="0078386D"/>
    <w:rsid w:val="00783CEE"/>
    <w:rsid w:val="007B461B"/>
    <w:rsid w:val="007D713A"/>
    <w:rsid w:val="007F4973"/>
    <w:rsid w:val="008154F3"/>
    <w:rsid w:val="00826259"/>
    <w:rsid w:val="008461A6"/>
    <w:rsid w:val="00853BFD"/>
    <w:rsid w:val="008777C1"/>
    <w:rsid w:val="008A2162"/>
    <w:rsid w:val="008C013D"/>
    <w:rsid w:val="008D262B"/>
    <w:rsid w:val="008E78DD"/>
    <w:rsid w:val="008F7D6C"/>
    <w:rsid w:val="009049EF"/>
    <w:rsid w:val="0092264D"/>
    <w:rsid w:val="00923537"/>
    <w:rsid w:val="009338B9"/>
    <w:rsid w:val="009512C8"/>
    <w:rsid w:val="009727B7"/>
    <w:rsid w:val="00980903"/>
    <w:rsid w:val="00984A6E"/>
    <w:rsid w:val="00985114"/>
    <w:rsid w:val="009A0A7A"/>
    <w:rsid w:val="009B0E7A"/>
    <w:rsid w:val="009B275C"/>
    <w:rsid w:val="009B27BF"/>
    <w:rsid w:val="009B70B7"/>
    <w:rsid w:val="009D2A05"/>
    <w:rsid w:val="009D445D"/>
    <w:rsid w:val="009D60D1"/>
    <w:rsid w:val="009D61D7"/>
    <w:rsid w:val="009E687F"/>
    <w:rsid w:val="00A04788"/>
    <w:rsid w:val="00A5270F"/>
    <w:rsid w:val="00A8467E"/>
    <w:rsid w:val="00AE3E19"/>
    <w:rsid w:val="00AE7E95"/>
    <w:rsid w:val="00AF6CE2"/>
    <w:rsid w:val="00B0255B"/>
    <w:rsid w:val="00B04AE0"/>
    <w:rsid w:val="00B05B00"/>
    <w:rsid w:val="00B132B9"/>
    <w:rsid w:val="00B14FDF"/>
    <w:rsid w:val="00B82A38"/>
    <w:rsid w:val="00B83AD7"/>
    <w:rsid w:val="00BB04FF"/>
    <w:rsid w:val="00BE2B4C"/>
    <w:rsid w:val="00BE2DE9"/>
    <w:rsid w:val="00BE6AC0"/>
    <w:rsid w:val="00BE7ECE"/>
    <w:rsid w:val="00BF0755"/>
    <w:rsid w:val="00BF26A1"/>
    <w:rsid w:val="00BF2C5A"/>
    <w:rsid w:val="00BF48AF"/>
    <w:rsid w:val="00BF7FB9"/>
    <w:rsid w:val="00C230EC"/>
    <w:rsid w:val="00C27E22"/>
    <w:rsid w:val="00C5775D"/>
    <w:rsid w:val="00C70245"/>
    <w:rsid w:val="00C7264F"/>
    <w:rsid w:val="00C75D82"/>
    <w:rsid w:val="00C764C7"/>
    <w:rsid w:val="00C76B19"/>
    <w:rsid w:val="00C85BD0"/>
    <w:rsid w:val="00C87384"/>
    <w:rsid w:val="00CA27E3"/>
    <w:rsid w:val="00CA581F"/>
    <w:rsid w:val="00CA6297"/>
    <w:rsid w:val="00CC5E75"/>
    <w:rsid w:val="00CC69C6"/>
    <w:rsid w:val="00CD2519"/>
    <w:rsid w:val="00CD64D4"/>
    <w:rsid w:val="00CE3919"/>
    <w:rsid w:val="00CE5CBB"/>
    <w:rsid w:val="00D018FB"/>
    <w:rsid w:val="00D2022F"/>
    <w:rsid w:val="00D236C9"/>
    <w:rsid w:val="00D303C2"/>
    <w:rsid w:val="00D3520C"/>
    <w:rsid w:val="00D41A9D"/>
    <w:rsid w:val="00D619EB"/>
    <w:rsid w:val="00D67BDD"/>
    <w:rsid w:val="00D70EFB"/>
    <w:rsid w:val="00D83000"/>
    <w:rsid w:val="00D95D5E"/>
    <w:rsid w:val="00DA44E6"/>
    <w:rsid w:val="00DA6FDE"/>
    <w:rsid w:val="00DC5495"/>
    <w:rsid w:val="00DD1287"/>
    <w:rsid w:val="00DD454D"/>
    <w:rsid w:val="00DE7878"/>
    <w:rsid w:val="00E02572"/>
    <w:rsid w:val="00E12D44"/>
    <w:rsid w:val="00E262BF"/>
    <w:rsid w:val="00E30204"/>
    <w:rsid w:val="00E30B04"/>
    <w:rsid w:val="00E5115A"/>
    <w:rsid w:val="00E608CC"/>
    <w:rsid w:val="00E66EF4"/>
    <w:rsid w:val="00EC09C9"/>
    <w:rsid w:val="00EC512E"/>
    <w:rsid w:val="00ED3937"/>
    <w:rsid w:val="00ED79E5"/>
    <w:rsid w:val="00EE3786"/>
    <w:rsid w:val="00EF13B5"/>
    <w:rsid w:val="00EF7AAD"/>
    <w:rsid w:val="00F0028F"/>
    <w:rsid w:val="00F42E9F"/>
    <w:rsid w:val="00F500B5"/>
    <w:rsid w:val="00F51002"/>
    <w:rsid w:val="00F606E4"/>
    <w:rsid w:val="00F84DC6"/>
    <w:rsid w:val="00F90B4C"/>
    <w:rsid w:val="00F963AF"/>
    <w:rsid w:val="00F96469"/>
    <w:rsid w:val="00F96C1C"/>
    <w:rsid w:val="00FB1512"/>
    <w:rsid w:val="00FC0568"/>
    <w:rsid w:val="00FC5080"/>
    <w:rsid w:val="00FD48C7"/>
    <w:rsid w:val="00FF0F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stockticker"/>
  <w:shapeDefaults>
    <o:shapedefaults v:ext="edit" spidmax="1033"/>
    <o:shapelayout v:ext="edit">
      <o:idmap v:ext="edit" data="1"/>
    </o:shapelayout>
  </w:shapeDefaults>
  <w:decimalSymbol w:val="."/>
  <w:listSeparator w:val=","/>
  <w14:docId w14:val="406A56CA"/>
  <w15:docId w15:val="{605809C3-188A-4D86-A597-9E6B566D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D48C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D48C7"/>
    <w:rPr>
      <w:color w:val="0066CC"/>
      <w:u w:val="single"/>
    </w:rPr>
  </w:style>
  <w:style w:type="character" w:customStyle="1" w:styleId="Bodytext">
    <w:name w:val="Body text_"/>
    <w:basedOn w:val="DefaultParagraphFont"/>
    <w:link w:val="BodyText1"/>
    <w:rsid w:val="00FD48C7"/>
    <w:rPr>
      <w:rFonts w:ascii="Times New Roman" w:eastAsia="Times New Roman" w:hAnsi="Times New Roman" w:cs="Times New Roman"/>
      <w:b w:val="0"/>
      <w:bCs w:val="0"/>
      <w:i w:val="0"/>
      <w:iCs w:val="0"/>
      <w:smallCaps w:val="0"/>
      <w:strike w:val="0"/>
      <w:sz w:val="30"/>
      <w:szCs w:val="30"/>
      <w:u w:val="none"/>
    </w:rPr>
  </w:style>
  <w:style w:type="paragraph" w:customStyle="1" w:styleId="BodyText1">
    <w:name w:val="Body Text1"/>
    <w:basedOn w:val="Normal"/>
    <w:link w:val="Bodytext"/>
    <w:qFormat/>
    <w:rsid w:val="00FD48C7"/>
    <w:pPr>
      <w:shd w:val="clear" w:color="auto" w:fill="FFFFFF"/>
      <w:spacing w:line="360" w:lineRule="auto"/>
      <w:ind w:firstLine="400"/>
    </w:pPr>
    <w:rPr>
      <w:rFonts w:ascii="Times New Roman" w:eastAsia="Times New Roman" w:hAnsi="Times New Roman" w:cs="Times New Roman"/>
      <w:sz w:val="30"/>
      <w:szCs w:val="30"/>
    </w:rPr>
  </w:style>
  <w:style w:type="character" w:customStyle="1" w:styleId="Heading1">
    <w:name w:val="Heading #1_"/>
    <w:basedOn w:val="DefaultParagraphFont"/>
    <w:link w:val="Heading10"/>
    <w:rsid w:val="00FD48C7"/>
    <w:rPr>
      <w:rFonts w:ascii="Times New Roman" w:eastAsia="Times New Roman" w:hAnsi="Times New Roman" w:cs="Times New Roman"/>
      <w:b w:val="0"/>
      <w:bCs w:val="0"/>
      <w:i w:val="0"/>
      <w:iCs w:val="0"/>
      <w:smallCaps w:val="0"/>
      <w:strike w:val="0"/>
      <w:sz w:val="38"/>
      <w:szCs w:val="38"/>
      <w:u w:val="none"/>
    </w:rPr>
  </w:style>
  <w:style w:type="paragraph" w:customStyle="1" w:styleId="Heading10">
    <w:name w:val="Heading #1"/>
    <w:basedOn w:val="Normal"/>
    <w:link w:val="Heading1"/>
    <w:rsid w:val="00FD48C7"/>
    <w:pPr>
      <w:shd w:val="clear" w:color="auto" w:fill="FFFFFF"/>
      <w:spacing w:after="860" w:line="226" w:lineRule="auto"/>
      <w:jc w:val="center"/>
      <w:outlineLvl w:val="0"/>
    </w:pPr>
    <w:rPr>
      <w:rFonts w:ascii="Times New Roman" w:eastAsia="Times New Roman" w:hAnsi="Times New Roman" w:cs="Times New Roman"/>
      <w:sz w:val="38"/>
      <w:szCs w:val="38"/>
    </w:rPr>
  </w:style>
  <w:style w:type="character" w:customStyle="1" w:styleId="Heading2">
    <w:name w:val="Heading #2_"/>
    <w:basedOn w:val="DefaultParagraphFont"/>
    <w:link w:val="Heading20"/>
    <w:rsid w:val="00FD48C7"/>
    <w:rPr>
      <w:rFonts w:ascii="Times New Roman" w:eastAsia="Times New Roman" w:hAnsi="Times New Roman" w:cs="Times New Roman"/>
      <w:b/>
      <w:bCs/>
      <w:i w:val="0"/>
      <w:iCs w:val="0"/>
      <w:smallCaps w:val="0"/>
      <w:strike w:val="0"/>
      <w:sz w:val="30"/>
      <w:szCs w:val="30"/>
      <w:u w:val="none"/>
    </w:rPr>
  </w:style>
  <w:style w:type="paragraph" w:customStyle="1" w:styleId="Heading20">
    <w:name w:val="Heading #2"/>
    <w:basedOn w:val="Normal"/>
    <w:link w:val="Heading2"/>
    <w:rsid w:val="00FD48C7"/>
    <w:pPr>
      <w:shd w:val="clear" w:color="auto" w:fill="FFFFFF"/>
      <w:spacing w:after="200"/>
      <w:jc w:val="center"/>
      <w:outlineLvl w:val="1"/>
    </w:pPr>
    <w:rPr>
      <w:rFonts w:ascii="Times New Roman" w:eastAsia="Times New Roman" w:hAnsi="Times New Roman" w:cs="Times New Roman"/>
      <w:b/>
      <w:bCs/>
      <w:sz w:val="30"/>
      <w:szCs w:val="30"/>
    </w:rPr>
  </w:style>
  <w:style w:type="character" w:customStyle="1" w:styleId="Other">
    <w:name w:val="Other_"/>
    <w:basedOn w:val="DefaultParagraphFont"/>
    <w:link w:val="Other0"/>
    <w:rsid w:val="00FD48C7"/>
    <w:rPr>
      <w:rFonts w:ascii="Times New Roman" w:eastAsia="Times New Roman" w:hAnsi="Times New Roman" w:cs="Times New Roman"/>
      <w:b w:val="0"/>
      <w:bCs w:val="0"/>
      <w:i w:val="0"/>
      <w:iCs w:val="0"/>
      <w:smallCaps w:val="0"/>
      <w:strike w:val="0"/>
      <w:u w:val="none"/>
    </w:rPr>
  </w:style>
  <w:style w:type="paragraph" w:customStyle="1" w:styleId="Other0">
    <w:name w:val="Other"/>
    <w:basedOn w:val="Normal"/>
    <w:link w:val="Other"/>
    <w:rsid w:val="00FD48C7"/>
    <w:pPr>
      <w:shd w:val="clear" w:color="auto" w:fill="FFFFFF"/>
      <w:jc w:val="center"/>
    </w:pPr>
    <w:rPr>
      <w:rFonts w:ascii="Times New Roman" w:eastAsia="Times New Roman" w:hAnsi="Times New Roman" w:cs="Times New Roman"/>
    </w:rPr>
  </w:style>
  <w:style w:type="character" w:customStyle="1" w:styleId="Tablecaption">
    <w:name w:val="Table caption_"/>
    <w:basedOn w:val="DefaultParagraphFont"/>
    <w:link w:val="Tablecaption0"/>
    <w:rsid w:val="00FD48C7"/>
    <w:rPr>
      <w:rFonts w:ascii="Times New Roman" w:eastAsia="Times New Roman" w:hAnsi="Times New Roman" w:cs="Times New Roman"/>
      <w:b w:val="0"/>
      <w:bCs w:val="0"/>
      <w:i w:val="0"/>
      <w:iCs w:val="0"/>
      <w:smallCaps w:val="0"/>
      <w:strike w:val="0"/>
      <w:sz w:val="30"/>
      <w:szCs w:val="30"/>
      <w:u w:val="none"/>
    </w:rPr>
  </w:style>
  <w:style w:type="paragraph" w:customStyle="1" w:styleId="Tablecaption0">
    <w:name w:val="Table caption"/>
    <w:basedOn w:val="Normal"/>
    <w:link w:val="Tablecaption"/>
    <w:rsid w:val="00FD48C7"/>
    <w:pPr>
      <w:shd w:val="clear" w:color="auto" w:fill="FFFFFF"/>
      <w:jc w:val="right"/>
    </w:pPr>
    <w:rPr>
      <w:rFonts w:ascii="Times New Roman" w:eastAsia="Times New Roman" w:hAnsi="Times New Roman" w:cs="Times New Roman"/>
      <w:sz w:val="30"/>
      <w:szCs w:val="30"/>
    </w:rPr>
  </w:style>
  <w:style w:type="character" w:customStyle="1" w:styleId="Footnote">
    <w:name w:val="Footnote_"/>
    <w:basedOn w:val="DefaultParagraphFont"/>
    <w:link w:val="Footnote0"/>
    <w:rsid w:val="00FD48C7"/>
    <w:rPr>
      <w:rFonts w:ascii="Times New Roman" w:eastAsia="Times New Roman" w:hAnsi="Times New Roman" w:cs="Times New Roman"/>
      <w:b w:val="0"/>
      <w:bCs w:val="0"/>
      <w:i w:val="0"/>
      <w:iCs w:val="0"/>
      <w:smallCaps w:val="0"/>
      <w:strike w:val="0"/>
      <w:u w:val="none"/>
    </w:rPr>
  </w:style>
  <w:style w:type="paragraph" w:customStyle="1" w:styleId="Footnote0">
    <w:name w:val="Footnote"/>
    <w:basedOn w:val="Normal"/>
    <w:link w:val="Footnote"/>
    <w:rsid w:val="00FD48C7"/>
    <w:pPr>
      <w:shd w:val="clear" w:color="auto" w:fill="FFFFFF"/>
    </w:pPr>
    <w:rPr>
      <w:rFonts w:ascii="Times New Roman" w:eastAsia="Times New Roman" w:hAnsi="Times New Roman" w:cs="Times New Roman"/>
    </w:rPr>
  </w:style>
  <w:style w:type="character" w:customStyle="1" w:styleId="Bodytext4">
    <w:name w:val="Body text (4)_"/>
    <w:basedOn w:val="DefaultParagraphFont"/>
    <w:link w:val="Bodytext40"/>
    <w:rsid w:val="00FD48C7"/>
    <w:rPr>
      <w:rFonts w:ascii="Times New Roman" w:eastAsia="Times New Roman" w:hAnsi="Times New Roman" w:cs="Times New Roman"/>
      <w:b w:val="0"/>
      <w:bCs w:val="0"/>
      <w:i w:val="0"/>
      <w:iCs w:val="0"/>
      <w:smallCaps w:val="0"/>
      <w:strike w:val="0"/>
      <w:u w:val="none"/>
    </w:rPr>
  </w:style>
  <w:style w:type="paragraph" w:customStyle="1" w:styleId="Bodytext40">
    <w:name w:val="Body text (4)"/>
    <w:basedOn w:val="Normal"/>
    <w:link w:val="Bodytext4"/>
    <w:rsid w:val="00FD48C7"/>
    <w:pPr>
      <w:shd w:val="clear" w:color="auto" w:fill="FFFFFF"/>
      <w:spacing w:after="90" w:line="192" w:lineRule="auto"/>
      <w:jc w:val="center"/>
    </w:pPr>
    <w:rPr>
      <w:rFonts w:ascii="Times New Roman" w:eastAsia="Times New Roman" w:hAnsi="Times New Roman" w:cs="Times New Roman"/>
    </w:rPr>
  </w:style>
  <w:style w:type="character" w:styleId="PlaceholderText">
    <w:name w:val="Placeholder Text"/>
    <w:basedOn w:val="DefaultParagraphFont"/>
    <w:uiPriority w:val="99"/>
    <w:semiHidden/>
    <w:rsid w:val="0057067E"/>
    <w:rPr>
      <w:color w:val="808080"/>
    </w:rPr>
  </w:style>
  <w:style w:type="paragraph" w:styleId="BalloonText">
    <w:name w:val="Balloon Text"/>
    <w:basedOn w:val="Normal"/>
    <w:link w:val="BalloonTextChar"/>
    <w:uiPriority w:val="99"/>
    <w:semiHidden/>
    <w:unhideWhenUsed/>
    <w:rsid w:val="0057067E"/>
    <w:rPr>
      <w:rFonts w:ascii="Tahoma" w:hAnsi="Tahoma" w:cs="Tahoma"/>
      <w:sz w:val="16"/>
      <w:szCs w:val="16"/>
    </w:rPr>
  </w:style>
  <w:style w:type="character" w:customStyle="1" w:styleId="BalloonTextChar">
    <w:name w:val="Balloon Text Char"/>
    <w:basedOn w:val="DefaultParagraphFont"/>
    <w:link w:val="BalloonText"/>
    <w:uiPriority w:val="99"/>
    <w:semiHidden/>
    <w:rsid w:val="0057067E"/>
    <w:rPr>
      <w:rFonts w:ascii="Tahoma" w:hAnsi="Tahoma" w:cs="Tahoma"/>
      <w:color w:val="000000"/>
      <w:sz w:val="16"/>
      <w:szCs w:val="16"/>
    </w:rPr>
  </w:style>
  <w:style w:type="paragraph" w:styleId="FootnoteText">
    <w:name w:val="footnote text"/>
    <w:basedOn w:val="Normal"/>
    <w:link w:val="FootnoteTextChar"/>
    <w:uiPriority w:val="99"/>
    <w:semiHidden/>
    <w:unhideWhenUsed/>
    <w:rsid w:val="00D41A9D"/>
    <w:rPr>
      <w:sz w:val="20"/>
      <w:szCs w:val="20"/>
    </w:rPr>
  </w:style>
  <w:style w:type="character" w:customStyle="1" w:styleId="FootnoteTextChar">
    <w:name w:val="Footnote Text Char"/>
    <w:basedOn w:val="DefaultParagraphFont"/>
    <w:link w:val="FootnoteText"/>
    <w:uiPriority w:val="99"/>
    <w:semiHidden/>
    <w:rsid w:val="00D41A9D"/>
    <w:rPr>
      <w:color w:val="000000"/>
      <w:sz w:val="20"/>
      <w:szCs w:val="20"/>
    </w:rPr>
  </w:style>
  <w:style w:type="character" w:styleId="FootnoteReference">
    <w:name w:val="footnote reference"/>
    <w:basedOn w:val="DefaultParagraphFont"/>
    <w:uiPriority w:val="99"/>
    <w:semiHidden/>
    <w:unhideWhenUsed/>
    <w:rsid w:val="00D41A9D"/>
    <w:rPr>
      <w:vertAlign w:val="superscript"/>
    </w:rPr>
  </w:style>
  <w:style w:type="character" w:customStyle="1" w:styleId="Bodytext3">
    <w:name w:val="Body text (3)_"/>
    <w:basedOn w:val="DefaultParagraphFont"/>
    <w:link w:val="Bodytext30"/>
    <w:rsid w:val="00CA27E3"/>
    <w:rPr>
      <w:rFonts w:ascii="Times New Roman" w:eastAsia="Times New Roman" w:hAnsi="Times New Roman" w:cs="Times New Roman"/>
      <w:i/>
      <w:iCs/>
      <w:shd w:val="clear" w:color="auto" w:fill="FFFFFF"/>
    </w:rPr>
  </w:style>
  <w:style w:type="paragraph" w:customStyle="1" w:styleId="Bodytext30">
    <w:name w:val="Body text (3)"/>
    <w:basedOn w:val="Normal"/>
    <w:link w:val="Bodytext3"/>
    <w:rsid w:val="00CA27E3"/>
    <w:pPr>
      <w:shd w:val="clear" w:color="auto" w:fill="FFFFFF"/>
      <w:spacing w:after="240" w:line="209" w:lineRule="auto"/>
      <w:jc w:val="center"/>
    </w:pPr>
    <w:rPr>
      <w:rFonts w:ascii="Times New Roman" w:eastAsia="Times New Roman" w:hAnsi="Times New Roman" w:cs="Times New Roman"/>
      <w:i/>
      <w:iCs/>
      <w:color w:val="auto"/>
    </w:rPr>
  </w:style>
  <w:style w:type="character" w:customStyle="1" w:styleId="Bodytext2">
    <w:name w:val="Body text (2)_"/>
    <w:basedOn w:val="DefaultParagraphFont"/>
    <w:link w:val="Bodytext20"/>
    <w:rsid w:val="00CA27E3"/>
    <w:rPr>
      <w:rFonts w:ascii="Times New Roman" w:eastAsia="Times New Roman" w:hAnsi="Times New Roman" w:cs="Times New Roman"/>
      <w:sz w:val="17"/>
      <w:szCs w:val="17"/>
      <w:shd w:val="clear" w:color="auto" w:fill="FFFFFF"/>
    </w:rPr>
  </w:style>
  <w:style w:type="paragraph" w:customStyle="1" w:styleId="Bodytext20">
    <w:name w:val="Body text (2)"/>
    <w:basedOn w:val="Normal"/>
    <w:link w:val="Bodytext2"/>
    <w:rsid w:val="00CA27E3"/>
    <w:pPr>
      <w:shd w:val="clear" w:color="auto" w:fill="FFFFFF"/>
      <w:spacing w:after="20" w:line="182" w:lineRule="auto"/>
      <w:jc w:val="center"/>
    </w:pPr>
    <w:rPr>
      <w:rFonts w:ascii="Times New Roman" w:eastAsia="Times New Roman" w:hAnsi="Times New Roman" w:cs="Times New Roman"/>
      <w:color w:val="auto"/>
      <w:sz w:val="17"/>
      <w:szCs w:val="17"/>
    </w:rPr>
  </w:style>
  <w:style w:type="paragraph" w:customStyle="1" w:styleId="1">
    <w:name w:val="Основной текст1"/>
    <w:basedOn w:val="Normal"/>
    <w:qFormat/>
    <w:rsid w:val="00CA27E3"/>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a">
    <w:name w:val="Основной текст_"/>
    <w:basedOn w:val="DefaultParagraphFont"/>
    <w:link w:val="a0"/>
    <w:rsid w:val="00CA27E3"/>
    <w:rPr>
      <w:rFonts w:ascii="Times New Roman" w:eastAsia="Times New Roman" w:hAnsi="Times New Roman" w:cs="Times New Roman"/>
      <w:sz w:val="30"/>
      <w:szCs w:val="30"/>
      <w:shd w:val="clear" w:color="auto" w:fill="FFFFFF"/>
    </w:rPr>
  </w:style>
  <w:style w:type="paragraph" w:customStyle="1" w:styleId="a0">
    <w:name w:val="Основной текст"/>
    <w:basedOn w:val="Normal"/>
    <w:link w:val="a"/>
    <w:rsid w:val="00CA27E3"/>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10">
    <w:name w:val="Заголовок №1_"/>
    <w:basedOn w:val="DefaultParagraphFont"/>
    <w:link w:val="11"/>
    <w:rsid w:val="00CA27E3"/>
    <w:rPr>
      <w:rFonts w:ascii="Times New Roman" w:eastAsia="Times New Roman" w:hAnsi="Times New Roman" w:cs="Times New Roman"/>
      <w:b/>
      <w:bCs/>
      <w:sz w:val="30"/>
      <w:szCs w:val="30"/>
      <w:shd w:val="clear" w:color="auto" w:fill="FFFFFF"/>
    </w:rPr>
  </w:style>
  <w:style w:type="paragraph" w:customStyle="1" w:styleId="11">
    <w:name w:val="Заголовок №1"/>
    <w:basedOn w:val="Normal"/>
    <w:link w:val="10"/>
    <w:rsid w:val="00CA27E3"/>
    <w:pPr>
      <w:shd w:val="clear" w:color="auto" w:fill="FFFFFF"/>
      <w:spacing w:after="340"/>
      <w:jc w:val="center"/>
      <w:outlineLvl w:val="0"/>
    </w:pPr>
    <w:rPr>
      <w:rFonts w:ascii="Times New Roman" w:eastAsia="Times New Roman" w:hAnsi="Times New Roman" w:cs="Times New Roman"/>
      <w:b/>
      <w:bCs/>
      <w:color w:val="auto"/>
      <w:sz w:val="30"/>
      <w:szCs w:val="30"/>
    </w:rPr>
  </w:style>
  <w:style w:type="character" w:customStyle="1" w:styleId="a1">
    <w:name w:val="Подпись к таблице_"/>
    <w:basedOn w:val="DefaultParagraphFont"/>
    <w:link w:val="a2"/>
    <w:rsid w:val="00CA27E3"/>
    <w:rPr>
      <w:rFonts w:ascii="Times New Roman" w:eastAsia="Times New Roman" w:hAnsi="Times New Roman" w:cs="Times New Roman"/>
      <w:sz w:val="30"/>
      <w:szCs w:val="30"/>
      <w:shd w:val="clear" w:color="auto" w:fill="FFFFFF"/>
    </w:rPr>
  </w:style>
  <w:style w:type="paragraph" w:customStyle="1" w:styleId="a2">
    <w:name w:val="Подпись к таблице"/>
    <w:basedOn w:val="Normal"/>
    <w:link w:val="a1"/>
    <w:rsid w:val="00CA27E3"/>
    <w:pPr>
      <w:shd w:val="clear" w:color="auto" w:fill="FFFFFF"/>
    </w:pPr>
    <w:rPr>
      <w:rFonts w:ascii="Times New Roman" w:eastAsia="Times New Roman" w:hAnsi="Times New Roman" w:cs="Times New Roman"/>
      <w:color w:val="auto"/>
      <w:sz w:val="30"/>
      <w:szCs w:val="30"/>
    </w:rPr>
  </w:style>
  <w:style w:type="character" w:customStyle="1" w:styleId="a3">
    <w:name w:val="Другое_"/>
    <w:basedOn w:val="DefaultParagraphFont"/>
    <w:link w:val="a4"/>
    <w:rsid w:val="00CA27E3"/>
    <w:rPr>
      <w:rFonts w:ascii="Times New Roman" w:eastAsia="Times New Roman" w:hAnsi="Times New Roman" w:cs="Times New Roman"/>
      <w:sz w:val="30"/>
      <w:szCs w:val="30"/>
      <w:shd w:val="clear" w:color="auto" w:fill="FFFFFF"/>
    </w:rPr>
  </w:style>
  <w:style w:type="paragraph" w:customStyle="1" w:styleId="a4">
    <w:name w:val="Другое"/>
    <w:basedOn w:val="Normal"/>
    <w:link w:val="a3"/>
    <w:rsid w:val="00CA27E3"/>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2">
    <w:name w:val="Основной текст (2)_"/>
    <w:basedOn w:val="DefaultParagraphFont"/>
    <w:link w:val="20"/>
    <w:rsid w:val="00CA27E3"/>
    <w:rPr>
      <w:rFonts w:ascii="Times New Roman" w:eastAsia="Times New Roman" w:hAnsi="Times New Roman" w:cs="Times New Roman"/>
      <w:sz w:val="19"/>
      <w:szCs w:val="19"/>
      <w:shd w:val="clear" w:color="auto" w:fill="FFFFFF"/>
    </w:rPr>
  </w:style>
  <w:style w:type="paragraph" w:customStyle="1" w:styleId="20">
    <w:name w:val="Основной текст (2)"/>
    <w:basedOn w:val="Normal"/>
    <w:link w:val="2"/>
    <w:rsid w:val="00CA27E3"/>
    <w:pPr>
      <w:shd w:val="clear" w:color="auto" w:fill="FFFFFF"/>
    </w:pPr>
    <w:rPr>
      <w:rFonts w:ascii="Times New Roman" w:eastAsia="Times New Roman" w:hAnsi="Times New Roman" w:cs="Times New Roman"/>
      <w:color w:val="auto"/>
      <w:sz w:val="19"/>
      <w:szCs w:val="19"/>
    </w:rPr>
  </w:style>
  <w:style w:type="character" w:customStyle="1" w:styleId="a5">
    <w:name w:val="Подпись к картинке_"/>
    <w:basedOn w:val="DefaultParagraphFont"/>
    <w:link w:val="a6"/>
    <w:rsid w:val="00CA27E3"/>
    <w:rPr>
      <w:rFonts w:ascii="Times New Roman" w:eastAsia="Times New Roman" w:hAnsi="Times New Roman" w:cs="Times New Roman"/>
      <w:sz w:val="26"/>
      <w:szCs w:val="26"/>
      <w:shd w:val="clear" w:color="auto" w:fill="FFFFFF"/>
    </w:rPr>
  </w:style>
  <w:style w:type="paragraph" w:customStyle="1" w:styleId="a6">
    <w:name w:val="Подпись к картинке"/>
    <w:basedOn w:val="Normal"/>
    <w:link w:val="a5"/>
    <w:rsid w:val="00CA27E3"/>
    <w:pPr>
      <w:shd w:val="clear" w:color="auto" w:fill="FFFFFF"/>
    </w:pPr>
    <w:rPr>
      <w:rFonts w:ascii="Times New Roman" w:eastAsia="Times New Roman" w:hAnsi="Times New Roman" w:cs="Times New Roman"/>
      <w:color w:val="auto"/>
      <w:sz w:val="26"/>
      <w:szCs w:val="26"/>
    </w:rPr>
  </w:style>
  <w:style w:type="character" w:customStyle="1" w:styleId="3">
    <w:name w:val="Основной текст (3)_"/>
    <w:basedOn w:val="DefaultParagraphFont"/>
    <w:link w:val="30"/>
    <w:rsid w:val="00CA27E3"/>
    <w:rPr>
      <w:rFonts w:ascii="Times New Roman" w:eastAsia="Times New Roman" w:hAnsi="Times New Roman" w:cs="Times New Roman"/>
      <w:sz w:val="26"/>
      <w:szCs w:val="26"/>
      <w:shd w:val="clear" w:color="auto" w:fill="FFFFFF"/>
    </w:rPr>
  </w:style>
  <w:style w:type="paragraph" w:customStyle="1" w:styleId="30">
    <w:name w:val="Основной текст (3)"/>
    <w:basedOn w:val="Normal"/>
    <w:link w:val="3"/>
    <w:rsid w:val="00CA27E3"/>
    <w:pPr>
      <w:shd w:val="clear" w:color="auto" w:fill="FFFFFF"/>
      <w:spacing w:after="150"/>
      <w:jc w:val="center"/>
    </w:pPr>
    <w:rPr>
      <w:rFonts w:ascii="Times New Roman" w:eastAsia="Times New Roman" w:hAnsi="Times New Roman" w:cs="Times New Roman"/>
      <w:color w:val="auto"/>
      <w:sz w:val="26"/>
      <w:szCs w:val="26"/>
    </w:rPr>
  </w:style>
  <w:style w:type="character" w:customStyle="1" w:styleId="4">
    <w:name w:val="Основной текст (4)_"/>
    <w:basedOn w:val="DefaultParagraphFont"/>
    <w:link w:val="40"/>
    <w:rsid w:val="00CA27E3"/>
    <w:rPr>
      <w:rFonts w:ascii="Times New Roman" w:eastAsia="Times New Roman" w:hAnsi="Times New Roman" w:cs="Times New Roman"/>
      <w:sz w:val="14"/>
      <w:szCs w:val="14"/>
      <w:shd w:val="clear" w:color="auto" w:fill="FFFFFF"/>
    </w:rPr>
  </w:style>
  <w:style w:type="paragraph" w:customStyle="1" w:styleId="40">
    <w:name w:val="Основной текст (4)"/>
    <w:basedOn w:val="Normal"/>
    <w:link w:val="4"/>
    <w:rsid w:val="00CA27E3"/>
    <w:pPr>
      <w:shd w:val="clear" w:color="auto" w:fill="FFFFFF"/>
      <w:jc w:val="center"/>
    </w:pPr>
    <w:rPr>
      <w:rFonts w:ascii="Times New Roman" w:eastAsia="Times New Roman" w:hAnsi="Times New Roman" w:cs="Times New Roman"/>
      <w:color w:val="auto"/>
      <w:sz w:val="14"/>
      <w:szCs w:val="14"/>
    </w:rPr>
  </w:style>
  <w:style w:type="paragraph" w:styleId="CommentText">
    <w:name w:val="annotation text"/>
    <w:basedOn w:val="Normal"/>
    <w:link w:val="CommentTextChar"/>
    <w:uiPriority w:val="99"/>
    <w:unhideWhenUsed/>
    <w:rsid w:val="00CA27E3"/>
    <w:rPr>
      <w:rFonts w:ascii="Arian AMU" w:eastAsia="Arian AMU" w:hAnsi="Arian AMU" w:cs="Arian AMU"/>
      <w:sz w:val="20"/>
      <w:szCs w:val="20"/>
    </w:rPr>
  </w:style>
  <w:style w:type="character" w:customStyle="1" w:styleId="CommentTextChar">
    <w:name w:val="Comment Text Char"/>
    <w:basedOn w:val="DefaultParagraphFont"/>
    <w:link w:val="CommentText"/>
    <w:uiPriority w:val="99"/>
    <w:rsid w:val="00CA27E3"/>
    <w:rPr>
      <w:rFonts w:ascii="Arian AMU" w:eastAsia="Arian AMU" w:hAnsi="Arian AMU" w:cs="Arian AMU"/>
      <w:color w:val="000000"/>
      <w:sz w:val="20"/>
      <w:szCs w:val="20"/>
    </w:rPr>
  </w:style>
  <w:style w:type="character" w:styleId="CommentReference">
    <w:name w:val="annotation reference"/>
    <w:basedOn w:val="DefaultParagraphFont"/>
    <w:uiPriority w:val="99"/>
    <w:semiHidden/>
    <w:unhideWhenUsed/>
    <w:rsid w:val="00CA27E3"/>
    <w:rPr>
      <w:sz w:val="16"/>
      <w:szCs w:val="16"/>
    </w:rPr>
  </w:style>
  <w:style w:type="paragraph" w:styleId="CommentSubject">
    <w:name w:val="annotation subject"/>
    <w:basedOn w:val="CommentText"/>
    <w:next w:val="CommentText"/>
    <w:link w:val="CommentSubjectChar"/>
    <w:uiPriority w:val="99"/>
    <w:semiHidden/>
    <w:unhideWhenUsed/>
    <w:rsid w:val="00CA27E3"/>
    <w:rPr>
      <w:b/>
      <w:bCs/>
    </w:rPr>
  </w:style>
  <w:style w:type="character" w:customStyle="1" w:styleId="CommentSubjectChar">
    <w:name w:val="Comment Subject Char"/>
    <w:basedOn w:val="CommentTextChar"/>
    <w:link w:val="CommentSubject"/>
    <w:uiPriority w:val="99"/>
    <w:semiHidden/>
    <w:rsid w:val="00CA27E3"/>
    <w:rPr>
      <w:rFonts w:ascii="Arian AMU" w:eastAsia="Arian AMU" w:hAnsi="Arian AMU" w:cs="Arian AMU"/>
      <w:b/>
      <w:bCs/>
      <w:color w:val="000000"/>
      <w:sz w:val="20"/>
      <w:szCs w:val="20"/>
    </w:rPr>
  </w:style>
  <w:style w:type="paragraph" w:styleId="Header">
    <w:name w:val="header"/>
    <w:basedOn w:val="Normal"/>
    <w:link w:val="HeaderChar"/>
    <w:uiPriority w:val="99"/>
    <w:semiHidden/>
    <w:unhideWhenUsed/>
    <w:rsid w:val="00CA27E3"/>
    <w:pPr>
      <w:tabs>
        <w:tab w:val="center" w:pos="4677"/>
        <w:tab w:val="right" w:pos="9355"/>
      </w:tabs>
    </w:pPr>
    <w:rPr>
      <w:rFonts w:ascii="Arian AMU" w:eastAsia="Arian AMU" w:hAnsi="Arian AMU" w:cs="Arian AMU"/>
    </w:rPr>
  </w:style>
  <w:style w:type="character" w:customStyle="1" w:styleId="HeaderChar">
    <w:name w:val="Header Char"/>
    <w:basedOn w:val="DefaultParagraphFont"/>
    <w:link w:val="Header"/>
    <w:uiPriority w:val="99"/>
    <w:semiHidden/>
    <w:rsid w:val="00CA27E3"/>
    <w:rPr>
      <w:rFonts w:ascii="Arian AMU" w:eastAsia="Arian AMU" w:hAnsi="Arian AMU" w:cs="Arian AMU"/>
      <w:color w:val="000000"/>
    </w:rPr>
  </w:style>
  <w:style w:type="paragraph" w:styleId="Footer">
    <w:name w:val="footer"/>
    <w:basedOn w:val="Normal"/>
    <w:link w:val="FooterChar"/>
    <w:uiPriority w:val="99"/>
    <w:unhideWhenUsed/>
    <w:rsid w:val="00CA27E3"/>
    <w:pPr>
      <w:tabs>
        <w:tab w:val="center" w:pos="4677"/>
        <w:tab w:val="right" w:pos="9355"/>
      </w:tabs>
    </w:pPr>
    <w:rPr>
      <w:rFonts w:ascii="Arian AMU" w:eastAsia="Arian AMU" w:hAnsi="Arian AMU" w:cs="Arian AMU"/>
    </w:rPr>
  </w:style>
  <w:style w:type="character" w:customStyle="1" w:styleId="FooterChar">
    <w:name w:val="Footer Char"/>
    <w:basedOn w:val="DefaultParagraphFont"/>
    <w:link w:val="Footer"/>
    <w:uiPriority w:val="99"/>
    <w:rsid w:val="00CA27E3"/>
    <w:rPr>
      <w:rFonts w:ascii="Arian AMU" w:eastAsia="Arian AMU" w:hAnsi="Arian AMU" w:cs="Arian AMU"/>
      <w:color w:val="000000"/>
    </w:rPr>
  </w:style>
  <w:style w:type="character" w:customStyle="1" w:styleId="Footnote2">
    <w:name w:val="Footnote (2)_"/>
    <w:basedOn w:val="DefaultParagraphFont"/>
    <w:link w:val="Footnote20"/>
    <w:rsid w:val="00CA27E3"/>
    <w:rPr>
      <w:rFonts w:ascii="Times New Roman" w:eastAsia="Times New Roman" w:hAnsi="Times New Roman" w:cs="Times New Roman"/>
      <w:sz w:val="22"/>
      <w:szCs w:val="22"/>
      <w:shd w:val="clear" w:color="auto" w:fill="FFFFFF"/>
    </w:rPr>
  </w:style>
  <w:style w:type="paragraph" w:customStyle="1" w:styleId="Footnote20">
    <w:name w:val="Footnote (2)"/>
    <w:basedOn w:val="Normal"/>
    <w:link w:val="Footnote2"/>
    <w:rsid w:val="00CA27E3"/>
    <w:pPr>
      <w:shd w:val="clear" w:color="auto" w:fill="FFFFFF"/>
      <w:spacing w:after="180" w:line="0" w:lineRule="atLeast"/>
    </w:pPr>
    <w:rPr>
      <w:rFonts w:ascii="Times New Roman" w:eastAsia="Times New Roman" w:hAnsi="Times New Roman" w:cs="Times New Roman"/>
      <w:color w:val="auto"/>
      <w:sz w:val="22"/>
      <w:szCs w:val="22"/>
    </w:rPr>
  </w:style>
  <w:style w:type="character" w:customStyle="1" w:styleId="Footnote3">
    <w:name w:val="Footnote (3)_"/>
    <w:basedOn w:val="DefaultParagraphFont"/>
    <w:link w:val="Footnote30"/>
    <w:rsid w:val="00CA27E3"/>
    <w:rPr>
      <w:rFonts w:ascii="Times New Roman" w:eastAsia="Times New Roman" w:hAnsi="Times New Roman" w:cs="Times New Roman"/>
      <w:sz w:val="28"/>
      <w:szCs w:val="28"/>
      <w:shd w:val="clear" w:color="auto" w:fill="FFFFFF"/>
    </w:rPr>
  </w:style>
  <w:style w:type="paragraph" w:customStyle="1" w:styleId="Footnote30">
    <w:name w:val="Footnote (3)"/>
    <w:basedOn w:val="Normal"/>
    <w:link w:val="Footnote3"/>
    <w:rsid w:val="00CA27E3"/>
    <w:pPr>
      <w:shd w:val="clear" w:color="auto" w:fill="FFFFFF"/>
      <w:spacing w:before="180" w:line="514" w:lineRule="exact"/>
      <w:ind w:firstLine="700"/>
      <w:jc w:val="both"/>
    </w:pPr>
    <w:rPr>
      <w:rFonts w:ascii="Times New Roman" w:eastAsia="Times New Roman" w:hAnsi="Times New Roman" w:cs="Times New Roman"/>
      <w:color w:val="auto"/>
      <w:sz w:val="28"/>
      <w:szCs w:val="28"/>
    </w:rPr>
  </w:style>
  <w:style w:type="character" w:customStyle="1" w:styleId="Footnote3SmallCaps">
    <w:name w:val="Footnote (3) + Small Caps"/>
    <w:basedOn w:val="Footnote3"/>
    <w:rsid w:val="00CA27E3"/>
    <w:rPr>
      <w:rFonts w:ascii="Times New Roman" w:eastAsia="Times New Roman" w:hAnsi="Times New Roman" w:cs="Times New Roman"/>
      <w:smallCaps/>
      <w:color w:val="000000"/>
      <w:spacing w:val="0"/>
      <w:w w:val="100"/>
      <w:position w:val="0"/>
      <w:sz w:val="28"/>
      <w:szCs w:val="28"/>
      <w:shd w:val="clear" w:color="auto" w:fill="FFFFFF"/>
      <w:lang w:val="hy-AM" w:eastAsia="hy-AM" w:bidi="hy-AM"/>
    </w:rPr>
  </w:style>
  <w:style w:type="character" w:customStyle="1" w:styleId="Footnote313pt">
    <w:name w:val="Footnote (3) + 13 pt"/>
    <w:aliases w:val="Small Caps,Body text (2) + 7.5 pt,Body text (2) + 7 pt"/>
    <w:basedOn w:val="Footnote3"/>
    <w:rsid w:val="00CA27E3"/>
    <w:rPr>
      <w:rFonts w:ascii="Times New Roman" w:eastAsia="Times New Roman" w:hAnsi="Times New Roman" w:cs="Times New Roman"/>
      <w:smallCaps/>
      <w:color w:val="000000"/>
      <w:spacing w:val="0"/>
      <w:w w:val="100"/>
      <w:position w:val="0"/>
      <w:sz w:val="26"/>
      <w:szCs w:val="26"/>
      <w:shd w:val="clear" w:color="auto" w:fill="FFFFFF"/>
      <w:lang w:val="hy-AM" w:eastAsia="hy-AM" w:bidi="hy-AM"/>
    </w:rPr>
  </w:style>
  <w:style w:type="character" w:customStyle="1" w:styleId="Bodytext3Spacing2pt">
    <w:name w:val="Body text (3) + Spacing 2 pt"/>
    <w:basedOn w:val="Bodytext3"/>
    <w:rsid w:val="00CA27E3"/>
    <w:rPr>
      <w:rFonts w:ascii="Times New Roman" w:eastAsia="Times New Roman" w:hAnsi="Times New Roman" w:cs="Times New Roman"/>
      <w:b/>
      <w:bCs/>
      <w:i w:val="0"/>
      <w:iCs w:val="0"/>
      <w:smallCaps w:val="0"/>
      <w:strike w:val="0"/>
      <w:color w:val="000000"/>
      <w:spacing w:val="40"/>
      <w:w w:val="100"/>
      <w:position w:val="0"/>
      <w:sz w:val="30"/>
      <w:szCs w:val="30"/>
      <w:u w:val="none"/>
      <w:shd w:val="clear" w:color="auto" w:fill="FFFFFF"/>
      <w:lang w:val="hy-AM" w:eastAsia="hy-AM" w:bidi="hy-AM"/>
    </w:rPr>
  </w:style>
  <w:style w:type="character" w:customStyle="1" w:styleId="Bodytext213pt">
    <w:name w:val="Body text (2) + 13 pt"/>
    <w:basedOn w:val="Bodytext2"/>
    <w:rsid w:val="00CA27E3"/>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hy-AM" w:eastAsia="hy-AM" w:bidi="hy-AM"/>
    </w:rPr>
  </w:style>
  <w:style w:type="character" w:customStyle="1" w:styleId="Bodytext13">
    <w:name w:val="Body text (13)_"/>
    <w:basedOn w:val="DefaultParagraphFont"/>
    <w:link w:val="Bodytext131"/>
    <w:rsid w:val="00CA27E3"/>
    <w:rPr>
      <w:rFonts w:ascii="Consolas" w:eastAsia="Consolas" w:hAnsi="Consolas" w:cs="Consolas"/>
      <w:sz w:val="16"/>
      <w:szCs w:val="16"/>
      <w:shd w:val="clear" w:color="auto" w:fill="FFFFFF"/>
    </w:rPr>
  </w:style>
  <w:style w:type="paragraph" w:customStyle="1" w:styleId="Bodytext131">
    <w:name w:val="Body text (13)1"/>
    <w:basedOn w:val="Normal"/>
    <w:link w:val="Bodytext13"/>
    <w:rsid w:val="00CA27E3"/>
    <w:pPr>
      <w:shd w:val="clear" w:color="auto" w:fill="FFFFFF"/>
      <w:spacing w:before="240" w:line="144" w:lineRule="exact"/>
      <w:jc w:val="both"/>
    </w:pPr>
    <w:rPr>
      <w:rFonts w:ascii="Consolas" w:eastAsia="Consolas" w:hAnsi="Consolas" w:cs="Consolas"/>
      <w:color w:val="auto"/>
      <w:sz w:val="16"/>
      <w:szCs w:val="16"/>
    </w:rPr>
  </w:style>
  <w:style w:type="character" w:customStyle="1" w:styleId="Bodytext130">
    <w:name w:val="Body text (13)"/>
    <w:basedOn w:val="Bodytext13"/>
    <w:rsid w:val="00CA27E3"/>
    <w:rPr>
      <w:rFonts w:ascii="Consolas" w:eastAsia="Consolas" w:hAnsi="Consolas" w:cs="Consolas"/>
      <w:color w:val="000000"/>
      <w:spacing w:val="0"/>
      <w:w w:val="100"/>
      <w:position w:val="0"/>
      <w:sz w:val="16"/>
      <w:szCs w:val="16"/>
      <w:shd w:val="clear" w:color="auto" w:fill="FFFFFF"/>
    </w:rPr>
  </w:style>
  <w:style w:type="character" w:customStyle="1" w:styleId="Bodytext133">
    <w:name w:val="Body text (13)3"/>
    <w:basedOn w:val="Bodytext13"/>
    <w:rsid w:val="00CA27E3"/>
    <w:rPr>
      <w:rFonts w:ascii="Consolas" w:eastAsia="Consolas" w:hAnsi="Consolas" w:cs="Consolas"/>
      <w:color w:val="000000"/>
      <w:spacing w:val="0"/>
      <w:w w:val="100"/>
      <w:position w:val="0"/>
      <w:sz w:val="16"/>
      <w:szCs w:val="16"/>
      <w:shd w:val="clear" w:color="auto" w:fill="FFFFFF"/>
    </w:rPr>
  </w:style>
  <w:style w:type="character" w:customStyle="1" w:styleId="Bodytext132">
    <w:name w:val="Body text (13)2"/>
    <w:basedOn w:val="Bodytext13"/>
    <w:rsid w:val="00CA27E3"/>
    <w:rPr>
      <w:rFonts w:ascii="Consolas" w:eastAsia="Consolas" w:hAnsi="Consolas" w:cs="Consolas"/>
      <w:color w:val="000000"/>
      <w:spacing w:val="0"/>
      <w:w w:val="100"/>
      <w:position w:val="0"/>
      <w:sz w:val="16"/>
      <w:szCs w:val="16"/>
      <w:shd w:val="clear" w:color="auto" w:fill="FFFFFF"/>
    </w:rPr>
  </w:style>
  <w:style w:type="character" w:customStyle="1" w:styleId="Bodytext1395pt">
    <w:name w:val="Body text (13) + 9.5 pt"/>
    <w:aliases w:val="Italic,Body text (6) + 15 pt,Body text (6) + 12 pt,Body text (7) + 17 pt"/>
    <w:basedOn w:val="Bodytext13"/>
    <w:rsid w:val="00CA27E3"/>
    <w:rPr>
      <w:rFonts w:ascii="Consolas" w:eastAsia="Consolas" w:hAnsi="Consolas" w:cs="Consolas"/>
      <w:b/>
      <w:bCs/>
      <w:i/>
      <w:iCs/>
      <w:color w:val="000000"/>
      <w:spacing w:val="0"/>
      <w:w w:val="100"/>
      <w:position w:val="0"/>
      <w:sz w:val="19"/>
      <w:szCs w:val="19"/>
      <w:shd w:val="clear" w:color="auto" w:fill="FFFFFF"/>
    </w:rPr>
  </w:style>
  <w:style w:type="character" w:customStyle="1" w:styleId="Bodytext14">
    <w:name w:val="Body text (14)_"/>
    <w:basedOn w:val="DefaultParagraphFont"/>
    <w:link w:val="Bodytext141"/>
    <w:rsid w:val="00CA27E3"/>
    <w:rPr>
      <w:rFonts w:ascii="Georgia" w:eastAsia="Georgia" w:hAnsi="Georgia" w:cs="Georgia"/>
      <w:sz w:val="17"/>
      <w:szCs w:val="17"/>
      <w:shd w:val="clear" w:color="auto" w:fill="FFFFFF"/>
    </w:rPr>
  </w:style>
  <w:style w:type="paragraph" w:customStyle="1" w:styleId="Bodytext141">
    <w:name w:val="Body text (14)1"/>
    <w:basedOn w:val="Normal"/>
    <w:link w:val="Bodytext14"/>
    <w:rsid w:val="00CA27E3"/>
    <w:pPr>
      <w:shd w:val="clear" w:color="auto" w:fill="FFFFFF"/>
      <w:spacing w:line="144" w:lineRule="exact"/>
      <w:jc w:val="both"/>
    </w:pPr>
    <w:rPr>
      <w:rFonts w:ascii="Georgia" w:eastAsia="Georgia" w:hAnsi="Georgia" w:cs="Georgia"/>
      <w:color w:val="auto"/>
      <w:sz w:val="17"/>
      <w:szCs w:val="17"/>
    </w:rPr>
  </w:style>
  <w:style w:type="character" w:customStyle="1" w:styleId="Bodytext14TimesNewRoman">
    <w:name w:val="Body text (14) + Times New Roman"/>
    <w:aliases w:val="9 pt,Italic13,Spacing 1 pt"/>
    <w:basedOn w:val="Bodytext14"/>
    <w:rsid w:val="00CA27E3"/>
    <w:rPr>
      <w:rFonts w:ascii="Times New Roman" w:eastAsia="Times New Roman" w:hAnsi="Times New Roman" w:cs="Times New Roman"/>
      <w:i/>
      <w:iCs/>
      <w:color w:val="000000"/>
      <w:spacing w:val="30"/>
      <w:w w:val="100"/>
      <w:position w:val="0"/>
      <w:sz w:val="18"/>
      <w:szCs w:val="18"/>
      <w:shd w:val="clear" w:color="auto" w:fill="FFFFFF"/>
      <w:lang w:val="hy-AM" w:eastAsia="hy-AM" w:bidi="hy-AM"/>
    </w:rPr>
  </w:style>
  <w:style w:type="character" w:customStyle="1" w:styleId="Bodytext140">
    <w:name w:val="Body text (14)"/>
    <w:basedOn w:val="Bodytext14"/>
    <w:rsid w:val="00CA27E3"/>
    <w:rPr>
      <w:rFonts w:ascii="Georgia" w:eastAsia="Georgia" w:hAnsi="Georgia" w:cs="Georgia"/>
      <w:color w:val="000000"/>
      <w:spacing w:val="0"/>
      <w:w w:val="100"/>
      <w:position w:val="0"/>
      <w:sz w:val="17"/>
      <w:szCs w:val="17"/>
      <w:shd w:val="clear" w:color="auto" w:fill="FFFFFF"/>
      <w:lang w:val="hy-AM" w:eastAsia="hy-AM" w:bidi="hy-AM"/>
    </w:rPr>
  </w:style>
  <w:style w:type="character" w:customStyle="1" w:styleId="Bodytext14TimesNewRoman1">
    <w:name w:val="Body text (14) + Times New Roman1"/>
    <w:aliases w:val="9 pt1,Spacing 0 pt"/>
    <w:basedOn w:val="Bodytext14"/>
    <w:rsid w:val="00CA27E3"/>
    <w:rPr>
      <w:rFonts w:ascii="Times New Roman" w:eastAsia="Times New Roman" w:hAnsi="Times New Roman" w:cs="Times New Roman"/>
      <w:color w:val="000000"/>
      <w:spacing w:val="-10"/>
      <w:w w:val="100"/>
      <w:position w:val="0"/>
      <w:sz w:val="18"/>
      <w:szCs w:val="18"/>
      <w:shd w:val="clear" w:color="auto" w:fill="FFFFFF"/>
      <w:lang w:val="hy-AM" w:eastAsia="hy-AM" w:bidi="hy-AM"/>
    </w:rPr>
  </w:style>
  <w:style w:type="character" w:customStyle="1" w:styleId="Bodytext144">
    <w:name w:val="Body text (14)4"/>
    <w:basedOn w:val="Bodytext14"/>
    <w:rsid w:val="00CA27E3"/>
    <w:rPr>
      <w:rFonts w:ascii="Georgia" w:eastAsia="Georgia" w:hAnsi="Georgia" w:cs="Georgia"/>
      <w:color w:val="000000"/>
      <w:spacing w:val="0"/>
      <w:w w:val="100"/>
      <w:position w:val="0"/>
      <w:sz w:val="17"/>
      <w:szCs w:val="17"/>
      <w:shd w:val="clear" w:color="auto" w:fill="FFFFFF"/>
      <w:lang w:val="hy-AM" w:eastAsia="hy-AM" w:bidi="hy-AM"/>
    </w:rPr>
  </w:style>
  <w:style w:type="character" w:customStyle="1" w:styleId="Bodytext143">
    <w:name w:val="Body text (14)3"/>
    <w:basedOn w:val="Bodytext14"/>
    <w:rsid w:val="00CA27E3"/>
    <w:rPr>
      <w:rFonts w:ascii="Georgia" w:eastAsia="Georgia" w:hAnsi="Georgia" w:cs="Georgia"/>
      <w:color w:val="000000"/>
      <w:spacing w:val="0"/>
      <w:w w:val="100"/>
      <w:position w:val="0"/>
      <w:sz w:val="17"/>
      <w:szCs w:val="17"/>
      <w:shd w:val="clear" w:color="auto" w:fill="FFFFFF"/>
      <w:lang w:val="hy-AM" w:eastAsia="hy-AM" w:bidi="hy-AM"/>
    </w:rPr>
  </w:style>
  <w:style w:type="character" w:customStyle="1" w:styleId="Bodytext142">
    <w:name w:val="Body text (14)2"/>
    <w:basedOn w:val="Bodytext14"/>
    <w:rsid w:val="00CA27E3"/>
    <w:rPr>
      <w:rFonts w:ascii="Georgia" w:eastAsia="Georgia" w:hAnsi="Georgia" w:cs="Georgia"/>
      <w:color w:val="000000"/>
      <w:spacing w:val="0"/>
      <w:w w:val="100"/>
      <w:position w:val="0"/>
      <w:sz w:val="17"/>
      <w:szCs w:val="17"/>
      <w:shd w:val="clear" w:color="auto" w:fill="FFFFFF"/>
      <w:lang w:val="hy-AM" w:eastAsia="hy-AM" w:bidi="hy-AM"/>
    </w:rPr>
  </w:style>
  <w:style w:type="character" w:customStyle="1" w:styleId="Bodytext285pt">
    <w:name w:val="Body text (2) + 8.5 pt"/>
    <w:basedOn w:val="Bodytext2"/>
    <w:rsid w:val="00CA27E3"/>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hy-AM" w:eastAsia="hy-AM" w:bidi="hy-AM"/>
    </w:rPr>
  </w:style>
  <w:style w:type="character" w:customStyle="1" w:styleId="Bodytext213pt5">
    <w:name w:val="Body text (2) + 13 pt5"/>
    <w:aliases w:val="Italic12,Spacing 14 pt"/>
    <w:basedOn w:val="Bodytext2"/>
    <w:rsid w:val="00CA27E3"/>
    <w:rPr>
      <w:rFonts w:ascii="Times New Roman" w:eastAsia="Times New Roman" w:hAnsi="Times New Roman" w:cs="Times New Roman"/>
      <w:b w:val="0"/>
      <w:bCs w:val="0"/>
      <w:i/>
      <w:iCs/>
      <w:smallCaps w:val="0"/>
      <w:strike w:val="0"/>
      <w:color w:val="000000"/>
      <w:spacing w:val="290"/>
      <w:w w:val="100"/>
      <w:position w:val="0"/>
      <w:sz w:val="26"/>
      <w:szCs w:val="26"/>
      <w:u w:val="none"/>
      <w:shd w:val="clear" w:color="auto" w:fill="FFFFFF"/>
      <w:lang w:val="hy-AM" w:eastAsia="hy-AM" w:bidi="hy-AM"/>
    </w:rPr>
  </w:style>
  <w:style w:type="character" w:customStyle="1" w:styleId="Bodytext213pt4">
    <w:name w:val="Body text (2) + 13 pt4"/>
    <w:aliases w:val="Italic11,Spacing 14 pt2"/>
    <w:basedOn w:val="Bodytext2"/>
    <w:rsid w:val="00CA27E3"/>
    <w:rPr>
      <w:rFonts w:ascii="Times New Roman" w:eastAsia="Times New Roman" w:hAnsi="Times New Roman" w:cs="Times New Roman"/>
      <w:b w:val="0"/>
      <w:bCs w:val="0"/>
      <w:i/>
      <w:iCs/>
      <w:smallCaps w:val="0"/>
      <w:strike/>
      <w:color w:val="000000"/>
      <w:spacing w:val="290"/>
      <w:w w:val="100"/>
      <w:position w:val="0"/>
      <w:sz w:val="26"/>
      <w:szCs w:val="26"/>
      <w:u w:val="none"/>
      <w:shd w:val="clear" w:color="auto" w:fill="FFFFFF"/>
      <w:lang w:val="hy-AM" w:eastAsia="hy-AM" w:bidi="hy-AM"/>
    </w:rPr>
  </w:style>
  <w:style w:type="character" w:customStyle="1" w:styleId="Bodytext22">
    <w:name w:val="Body text (2)2"/>
    <w:basedOn w:val="Bodytext2"/>
    <w:rsid w:val="00CA27E3"/>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213pt3">
    <w:name w:val="Body text (2) + 13 pt3"/>
    <w:aliases w:val="Italic10,Spacing 14 pt1"/>
    <w:basedOn w:val="Bodytext2"/>
    <w:rsid w:val="00CA27E3"/>
    <w:rPr>
      <w:rFonts w:ascii="Times New Roman" w:eastAsia="Times New Roman" w:hAnsi="Times New Roman" w:cs="Times New Roman"/>
      <w:b w:val="0"/>
      <w:bCs w:val="0"/>
      <w:i/>
      <w:iCs/>
      <w:smallCaps w:val="0"/>
      <w:strike w:val="0"/>
      <w:color w:val="000000"/>
      <w:spacing w:val="290"/>
      <w:w w:val="100"/>
      <w:position w:val="0"/>
      <w:sz w:val="26"/>
      <w:szCs w:val="26"/>
      <w:u w:val="none"/>
      <w:shd w:val="clear" w:color="auto" w:fill="FFFFFF"/>
      <w:lang w:val="hy-AM" w:eastAsia="hy-AM" w:bidi="hy-AM"/>
    </w:rPr>
  </w:style>
  <w:style w:type="character" w:customStyle="1" w:styleId="Bodytext15">
    <w:name w:val="Body text (15)_"/>
    <w:basedOn w:val="DefaultParagraphFont"/>
    <w:link w:val="Bodytext151"/>
    <w:rsid w:val="00CA27E3"/>
    <w:rPr>
      <w:rFonts w:ascii="Times New Roman" w:eastAsia="Times New Roman" w:hAnsi="Times New Roman" w:cs="Times New Roman"/>
      <w:b/>
      <w:bCs/>
      <w:sz w:val="28"/>
      <w:szCs w:val="28"/>
      <w:shd w:val="clear" w:color="auto" w:fill="FFFFFF"/>
    </w:rPr>
  </w:style>
  <w:style w:type="paragraph" w:customStyle="1" w:styleId="Bodytext151">
    <w:name w:val="Body text (15)1"/>
    <w:basedOn w:val="Normal"/>
    <w:link w:val="Bodytext15"/>
    <w:rsid w:val="00CA27E3"/>
    <w:pPr>
      <w:shd w:val="clear" w:color="auto" w:fill="FFFFFF"/>
      <w:spacing w:after="960" w:line="0" w:lineRule="atLeast"/>
    </w:pPr>
    <w:rPr>
      <w:rFonts w:ascii="Times New Roman" w:eastAsia="Times New Roman" w:hAnsi="Times New Roman" w:cs="Times New Roman"/>
      <w:b/>
      <w:bCs/>
      <w:color w:val="auto"/>
      <w:sz w:val="28"/>
      <w:szCs w:val="28"/>
    </w:rPr>
  </w:style>
  <w:style w:type="character" w:customStyle="1" w:styleId="Bodytext1510pt">
    <w:name w:val="Body text (15) + 10 pt"/>
    <w:aliases w:val="Spacing 1 pt3"/>
    <w:basedOn w:val="Bodytext15"/>
    <w:rsid w:val="00CA27E3"/>
    <w:rPr>
      <w:rFonts w:ascii="Times New Roman" w:eastAsia="Times New Roman" w:hAnsi="Times New Roman" w:cs="Times New Roman"/>
      <w:b/>
      <w:bCs/>
      <w:color w:val="000000"/>
      <w:spacing w:val="20"/>
      <w:w w:val="100"/>
      <w:position w:val="0"/>
      <w:sz w:val="20"/>
      <w:szCs w:val="20"/>
      <w:shd w:val="clear" w:color="auto" w:fill="FFFFFF"/>
    </w:rPr>
  </w:style>
  <w:style w:type="character" w:customStyle="1" w:styleId="Bodytext150">
    <w:name w:val="Body text (15)"/>
    <w:basedOn w:val="Bodytext15"/>
    <w:rsid w:val="00CA27E3"/>
    <w:rPr>
      <w:rFonts w:ascii="Times New Roman" w:eastAsia="Times New Roman" w:hAnsi="Times New Roman" w:cs="Times New Roman"/>
      <w:b/>
      <w:bCs/>
      <w:color w:val="000000"/>
      <w:spacing w:val="0"/>
      <w:w w:val="100"/>
      <w:position w:val="0"/>
      <w:sz w:val="28"/>
      <w:szCs w:val="28"/>
      <w:shd w:val="clear" w:color="auto" w:fill="FFFFFF"/>
    </w:rPr>
  </w:style>
  <w:style w:type="character" w:customStyle="1" w:styleId="Bodytext16">
    <w:name w:val="Body text (16)_"/>
    <w:basedOn w:val="DefaultParagraphFont"/>
    <w:link w:val="Bodytext161"/>
    <w:rsid w:val="00CA27E3"/>
    <w:rPr>
      <w:rFonts w:ascii="Times New Roman" w:eastAsia="Times New Roman" w:hAnsi="Times New Roman" w:cs="Times New Roman"/>
      <w:b/>
      <w:bCs/>
      <w:sz w:val="21"/>
      <w:szCs w:val="21"/>
      <w:shd w:val="clear" w:color="auto" w:fill="FFFFFF"/>
    </w:rPr>
  </w:style>
  <w:style w:type="paragraph" w:customStyle="1" w:styleId="Bodytext161">
    <w:name w:val="Body text (16)1"/>
    <w:basedOn w:val="Normal"/>
    <w:link w:val="Bodytext16"/>
    <w:rsid w:val="00CA27E3"/>
    <w:pPr>
      <w:shd w:val="clear" w:color="auto" w:fill="FFFFFF"/>
      <w:spacing w:before="240" w:line="0" w:lineRule="atLeast"/>
      <w:ind w:firstLine="740"/>
      <w:jc w:val="both"/>
    </w:pPr>
    <w:rPr>
      <w:rFonts w:ascii="Times New Roman" w:eastAsia="Times New Roman" w:hAnsi="Times New Roman" w:cs="Times New Roman"/>
      <w:b/>
      <w:bCs/>
      <w:color w:val="auto"/>
      <w:sz w:val="21"/>
      <w:szCs w:val="21"/>
    </w:rPr>
  </w:style>
  <w:style w:type="character" w:customStyle="1" w:styleId="Bodytext160">
    <w:name w:val="Body text (16)"/>
    <w:basedOn w:val="Bodytext16"/>
    <w:rsid w:val="00CA27E3"/>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6NotBold">
    <w:name w:val="Body text (16) + Not Bold"/>
    <w:aliases w:val="Italic9,Spacing 0 pt7"/>
    <w:basedOn w:val="Bodytext16"/>
    <w:rsid w:val="00CA27E3"/>
    <w:rPr>
      <w:rFonts w:ascii="Times New Roman" w:eastAsia="Times New Roman" w:hAnsi="Times New Roman" w:cs="Times New Roman"/>
      <w:b/>
      <w:bCs/>
      <w:i/>
      <w:iCs/>
      <w:color w:val="000000"/>
      <w:spacing w:val="10"/>
      <w:w w:val="100"/>
      <w:position w:val="0"/>
      <w:sz w:val="21"/>
      <w:szCs w:val="21"/>
      <w:shd w:val="clear" w:color="auto" w:fill="FFFFFF"/>
      <w:lang w:val="hy-AM" w:eastAsia="hy-AM" w:bidi="hy-AM"/>
    </w:rPr>
  </w:style>
  <w:style w:type="character" w:customStyle="1" w:styleId="Bodytext163">
    <w:name w:val="Body text (16)3"/>
    <w:basedOn w:val="Bodytext16"/>
    <w:rsid w:val="00CA27E3"/>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62">
    <w:name w:val="Body text (16)2"/>
    <w:basedOn w:val="Bodytext16"/>
    <w:rsid w:val="00CA27E3"/>
    <w:rPr>
      <w:rFonts w:ascii="Times New Roman" w:eastAsia="Times New Roman" w:hAnsi="Times New Roman" w:cs="Times New Roman"/>
      <w:b/>
      <w:bCs/>
      <w:color w:val="000000"/>
      <w:spacing w:val="0"/>
      <w:w w:val="100"/>
      <w:position w:val="0"/>
      <w:sz w:val="21"/>
      <w:szCs w:val="21"/>
      <w:shd w:val="clear" w:color="auto" w:fill="FFFFFF"/>
      <w:lang w:val="hy-AM" w:eastAsia="hy-AM" w:bidi="hy-AM"/>
    </w:rPr>
  </w:style>
  <w:style w:type="character" w:customStyle="1" w:styleId="Bodytext17">
    <w:name w:val="Body text (17)_"/>
    <w:basedOn w:val="DefaultParagraphFont"/>
    <w:link w:val="Bodytext170"/>
    <w:rsid w:val="00CA27E3"/>
    <w:rPr>
      <w:rFonts w:ascii="Times New Roman" w:eastAsia="Times New Roman" w:hAnsi="Times New Roman" w:cs="Times New Roman"/>
      <w:b/>
      <w:bCs/>
      <w:shd w:val="clear" w:color="auto" w:fill="FFFFFF"/>
    </w:rPr>
  </w:style>
  <w:style w:type="paragraph" w:customStyle="1" w:styleId="Bodytext170">
    <w:name w:val="Body text (17)"/>
    <w:basedOn w:val="Normal"/>
    <w:link w:val="Bodytext17"/>
    <w:rsid w:val="00CA27E3"/>
    <w:pPr>
      <w:shd w:val="clear" w:color="auto" w:fill="FFFFFF"/>
      <w:spacing w:line="0" w:lineRule="atLeast"/>
      <w:ind w:firstLine="740"/>
      <w:jc w:val="both"/>
    </w:pPr>
    <w:rPr>
      <w:rFonts w:ascii="Times New Roman" w:eastAsia="Times New Roman" w:hAnsi="Times New Roman" w:cs="Times New Roman"/>
      <w:b/>
      <w:bCs/>
      <w:color w:val="auto"/>
    </w:rPr>
  </w:style>
  <w:style w:type="character" w:customStyle="1" w:styleId="Bodytext1510pt1">
    <w:name w:val="Body text (15) + 10 pt1"/>
    <w:aliases w:val="Spacing 1 pt2"/>
    <w:basedOn w:val="Bodytext15"/>
    <w:rsid w:val="00CA27E3"/>
    <w:rPr>
      <w:rFonts w:ascii="Times New Roman" w:eastAsia="Times New Roman" w:hAnsi="Times New Roman" w:cs="Times New Roman"/>
      <w:b/>
      <w:bCs/>
      <w:color w:val="000000"/>
      <w:spacing w:val="20"/>
      <w:w w:val="100"/>
      <w:position w:val="0"/>
      <w:sz w:val="20"/>
      <w:szCs w:val="20"/>
      <w:shd w:val="clear" w:color="auto" w:fill="FFFFFF"/>
    </w:rPr>
  </w:style>
  <w:style w:type="character" w:customStyle="1" w:styleId="Bodytext29pt">
    <w:name w:val="Body text (2) + 9 pt"/>
    <w:basedOn w:val="Bodytext2"/>
    <w:rsid w:val="00CA27E3"/>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hy-AM" w:eastAsia="hy-AM" w:bidi="hy-AM"/>
    </w:rPr>
  </w:style>
  <w:style w:type="character" w:customStyle="1" w:styleId="Bodytext2Impact">
    <w:name w:val="Body text (2) + Impact"/>
    <w:aliases w:val="10 pt,Italic8"/>
    <w:basedOn w:val="Bodytext2"/>
    <w:rsid w:val="00CA27E3"/>
    <w:rPr>
      <w:rFonts w:ascii="Impact" w:eastAsia="Impact" w:hAnsi="Impact" w:cs="Impact"/>
      <w:b/>
      <w:bCs/>
      <w:i/>
      <w:iCs/>
      <w:smallCaps w:val="0"/>
      <w:strike w:val="0"/>
      <w:color w:val="000000"/>
      <w:spacing w:val="0"/>
      <w:w w:val="100"/>
      <w:position w:val="0"/>
      <w:sz w:val="20"/>
      <w:szCs w:val="20"/>
      <w:u w:val="none"/>
      <w:shd w:val="clear" w:color="auto" w:fill="FFFFFF"/>
      <w:lang w:val="hy-AM" w:eastAsia="hy-AM" w:bidi="hy-AM"/>
    </w:rPr>
  </w:style>
  <w:style w:type="character" w:customStyle="1" w:styleId="Bodytext18">
    <w:name w:val="Body text (18)_"/>
    <w:basedOn w:val="DefaultParagraphFont"/>
    <w:link w:val="Bodytext180"/>
    <w:rsid w:val="00CA27E3"/>
    <w:rPr>
      <w:rFonts w:ascii="Times New Roman" w:eastAsia="Times New Roman" w:hAnsi="Times New Roman" w:cs="Times New Roman"/>
      <w:b/>
      <w:bCs/>
      <w:i/>
      <w:iCs/>
      <w:sz w:val="26"/>
      <w:szCs w:val="26"/>
      <w:shd w:val="clear" w:color="auto" w:fill="FFFFFF"/>
    </w:rPr>
  </w:style>
  <w:style w:type="paragraph" w:customStyle="1" w:styleId="Bodytext180">
    <w:name w:val="Body text (18)"/>
    <w:basedOn w:val="Normal"/>
    <w:link w:val="Bodytext18"/>
    <w:rsid w:val="00CA27E3"/>
    <w:pPr>
      <w:shd w:val="clear" w:color="auto" w:fill="FFFFFF"/>
      <w:spacing w:after="60" w:line="0" w:lineRule="atLeast"/>
    </w:pPr>
    <w:rPr>
      <w:rFonts w:ascii="Times New Roman" w:eastAsia="Times New Roman" w:hAnsi="Times New Roman" w:cs="Times New Roman"/>
      <w:b/>
      <w:bCs/>
      <w:i/>
      <w:iCs/>
      <w:color w:val="auto"/>
      <w:sz w:val="26"/>
      <w:szCs w:val="26"/>
    </w:rPr>
  </w:style>
  <w:style w:type="character" w:customStyle="1" w:styleId="Bodytext18Impact">
    <w:name w:val="Body text (18) + Impact"/>
    <w:aliases w:val="10 pt2,Not Bold"/>
    <w:basedOn w:val="Bodytext18"/>
    <w:rsid w:val="00CA27E3"/>
    <w:rPr>
      <w:rFonts w:ascii="Impact" w:eastAsia="Impact" w:hAnsi="Impact" w:cs="Impact"/>
      <w:b/>
      <w:bCs/>
      <w:i/>
      <w:iCs/>
      <w:color w:val="000000"/>
      <w:spacing w:val="0"/>
      <w:w w:val="100"/>
      <w:position w:val="0"/>
      <w:sz w:val="20"/>
      <w:szCs w:val="20"/>
      <w:shd w:val="clear" w:color="auto" w:fill="FFFFFF"/>
    </w:rPr>
  </w:style>
  <w:style w:type="character" w:customStyle="1" w:styleId="Heading22">
    <w:name w:val="Heading #22"/>
    <w:basedOn w:val="Heading2"/>
    <w:rsid w:val="00CA27E3"/>
    <w:rPr>
      <w:rFonts w:ascii="Trebuchet MS" w:eastAsia="Trebuchet MS" w:hAnsi="Trebuchet MS" w:cs="Trebuchet MS"/>
      <w:b/>
      <w:bCs/>
      <w:i w:val="0"/>
      <w:iCs w:val="0"/>
      <w:smallCaps w:val="0"/>
      <w:strike w:val="0"/>
      <w:color w:val="000000"/>
      <w:spacing w:val="0"/>
      <w:w w:val="100"/>
      <w:position w:val="0"/>
      <w:sz w:val="28"/>
      <w:szCs w:val="28"/>
      <w:u w:val="none"/>
      <w:lang w:val="hy-AM" w:eastAsia="hy-AM" w:bidi="hy-AM"/>
    </w:rPr>
  </w:style>
  <w:style w:type="character" w:customStyle="1" w:styleId="Bodytext211pt">
    <w:name w:val="Body text (2) + 11 pt"/>
    <w:basedOn w:val="Bodytext2"/>
    <w:rsid w:val="00CA27E3"/>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customStyle="1" w:styleId="Bodytext211pt6">
    <w:name w:val="Body text (2) + 11 pt6"/>
    <w:aliases w:val="Italic7,Small Caps8"/>
    <w:basedOn w:val="Bodytext2"/>
    <w:rsid w:val="00CA27E3"/>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hy-AM" w:eastAsia="hy-AM" w:bidi="hy-AM"/>
    </w:rPr>
  </w:style>
  <w:style w:type="character" w:customStyle="1" w:styleId="Bodytext211pt5">
    <w:name w:val="Body text (2) + 11 pt5"/>
    <w:aliases w:val="Italic6"/>
    <w:basedOn w:val="Bodytext2"/>
    <w:rsid w:val="00CA27E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hy-AM" w:eastAsia="hy-AM" w:bidi="hy-AM"/>
    </w:rPr>
  </w:style>
  <w:style w:type="character" w:customStyle="1" w:styleId="Bodytext211pt4">
    <w:name w:val="Body text (2) + 11 pt4"/>
    <w:aliases w:val="Italic5"/>
    <w:basedOn w:val="Bodytext2"/>
    <w:rsid w:val="00CA27E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hy-AM" w:eastAsia="hy-AM" w:bidi="hy-AM"/>
    </w:rPr>
  </w:style>
  <w:style w:type="character" w:customStyle="1" w:styleId="Bodytext211pt3">
    <w:name w:val="Body text (2) + 11 pt3"/>
    <w:aliases w:val="Italic4,Small Caps7"/>
    <w:basedOn w:val="Bodytext2"/>
    <w:rsid w:val="00CA27E3"/>
    <w:rPr>
      <w:rFonts w:ascii="Times New Roman" w:eastAsia="Times New Roman" w:hAnsi="Times New Roman" w:cs="Times New Roman"/>
      <w:b w:val="0"/>
      <w:bCs w:val="0"/>
      <w:i/>
      <w:iCs/>
      <w:smallCaps/>
      <w:strike w:val="0"/>
      <w:color w:val="000000"/>
      <w:spacing w:val="0"/>
      <w:w w:val="100"/>
      <w:position w:val="0"/>
      <w:sz w:val="22"/>
      <w:szCs w:val="22"/>
      <w:u w:val="none"/>
      <w:shd w:val="clear" w:color="auto" w:fill="FFFFFF"/>
      <w:lang w:val="hy-AM" w:eastAsia="hy-AM" w:bidi="hy-AM"/>
    </w:rPr>
  </w:style>
  <w:style w:type="character" w:customStyle="1" w:styleId="Bodytext211pt2">
    <w:name w:val="Body text (2) + 11 pt2"/>
    <w:aliases w:val="Small Caps6"/>
    <w:basedOn w:val="Bodytext2"/>
    <w:rsid w:val="00CA27E3"/>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hy-AM" w:eastAsia="hy-AM" w:bidi="hy-AM"/>
    </w:rPr>
  </w:style>
  <w:style w:type="character" w:customStyle="1" w:styleId="Bodytext211pt1">
    <w:name w:val="Body text (2) + 11 pt1"/>
    <w:aliases w:val="Italic3,Spacing -1 pt"/>
    <w:basedOn w:val="Bodytext2"/>
    <w:rsid w:val="00CA27E3"/>
    <w:rPr>
      <w:rFonts w:ascii="Times New Roman" w:eastAsia="Times New Roman" w:hAnsi="Times New Roman" w:cs="Times New Roman"/>
      <w:b w:val="0"/>
      <w:bCs w:val="0"/>
      <w:i/>
      <w:iCs/>
      <w:smallCaps w:val="0"/>
      <w:strike w:val="0"/>
      <w:color w:val="000000"/>
      <w:spacing w:val="-20"/>
      <w:w w:val="100"/>
      <w:position w:val="0"/>
      <w:sz w:val="22"/>
      <w:szCs w:val="22"/>
      <w:u w:val="none"/>
      <w:shd w:val="clear" w:color="auto" w:fill="FFFFFF"/>
      <w:lang w:val="hy-AM" w:eastAsia="hy-AM" w:bidi="hy-AM"/>
    </w:rPr>
  </w:style>
  <w:style w:type="character" w:customStyle="1" w:styleId="Bodytext10">
    <w:name w:val="Body text (10)_"/>
    <w:basedOn w:val="DefaultParagraphFont"/>
    <w:link w:val="Bodytext100"/>
    <w:rsid w:val="00CA27E3"/>
    <w:rPr>
      <w:rFonts w:ascii="Times New Roman" w:eastAsia="Times New Roman" w:hAnsi="Times New Roman" w:cs="Times New Roman"/>
      <w:sz w:val="22"/>
      <w:szCs w:val="22"/>
      <w:shd w:val="clear" w:color="auto" w:fill="FFFFFF"/>
    </w:rPr>
  </w:style>
  <w:style w:type="paragraph" w:customStyle="1" w:styleId="Bodytext100">
    <w:name w:val="Body text (10)"/>
    <w:basedOn w:val="Normal"/>
    <w:link w:val="Bodytext10"/>
    <w:rsid w:val="00CA27E3"/>
    <w:pPr>
      <w:shd w:val="clear" w:color="auto" w:fill="FFFFFF"/>
      <w:spacing w:before="240" w:after="180" w:line="0" w:lineRule="atLeast"/>
      <w:jc w:val="both"/>
    </w:pPr>
    <w:rPr>
      <w:rFonts w:ascii="Times New Roman" w:eastAsia="Times New Roman" w:hAnsi="Times New Roman" w:cs="Times New Roman"/>
      <w:color w:val="auto"/>
      <w:sz w:val="22"/>
      <w:szCs w:val="22"/>
    </w:rPr>
  </w:style>
  <w:style w:type="character" w:customStyle="1" w:styleId="Heading3">
    <w:name w:val="Heading #3_"/>
    <w:basedOn w:val="DefaultParagraphFont"/>
    <w:link w:val="Heading31"/>
    <w:rsid w:val="00CA27E3"/>
    <w:rPr>
      <w:rFonts w:ascii="Tahoma" w:eastAsia="Tahoma" w:hAnsi="Tahoma" w:cs="Tahoma"/>
      <w:spacing w:val="10"/>
      <w:sz w:val="22"/>
      <w:szCs w:val="22"/>
      <w:shd w:val="clear" w:color="auto" w:fill="FFFFFF"/>
    </w:rPr>
  </w:style>
  <w:style w:type="paragraph" w:customStyle="1" w:styleId="Heading31">
    <w:name w:val="Heading #31"/>
    <w:basedOn w:val="Normal"/>
    <w:link w:val="Heading3"/>
    <w:rsid w:val="00CA27E3"/>
    <w:pPr>
      <w:shd w:val="clear" w:color="auto" w:fill="FFFFFF"/>
      <w:spacing w:before="240" w:line="0" w:lineRule="atLeast"/>
      <w:jc w:val="both"/>
      <w:outlineLvl w:val="2"/>
    </w:pPr>
    <w:rPr>
      <w:rFonts w:ascii="Tahoma" w:eastAsia="Tahoma" w:hAnsi="Tahoma" w:cs="Tahoma"/>
      <w:color w:val="auto"/>
      <w:spacing w:val="10"/>
      <w:sz w:val="22"/>
      <w:szCs w:val="22"/>
    </w:rPr>
  </w:style>
  <w:style w:type="character" w:customStyle="1" w:styleId="Heading30">
    <w:name w:val="Heading #3"/>
    <w:basedOn w:val="Heading3"/>
    <w:rsid w:val="00CA27E3"/>
    <w:rPr>
      <w:rFonts w:ascii="Tahoma" w:eastAsia="Tahoma" w:hAnsi="Tahoma" w:cs="Tahoma"/>
      <w:color w:val="000000"/>
      <w:spacing w:val="10"/>
      <w:w w:val="100"/>
      <w:position w:val="0"/>
      <w:sz w:val="22"/>
      <w:szCs w:val="22"/>
      <w:shd w:val="clear" w:color="auto" w:fill="FFFFFF"/>
      <w:lang w:val="hy-AM" w:eastAsia="hy-AM" w:bidi="hy-AM"/>
    </w:rPr>
  </w:style>
  <w:style w:type="character" w:customStyle="1" w:styleId="Heading319pt">
    <w:name w:val="Heading #3 + 19 pt"/>
    <w:aliases w:val="Italic2,Spacing 0 pt6"/>
    <w:basedOn w:val="Heading3"/>
    <w:rsid w:val="00CA27E3"/>
    <w:rPr>
      <w:rFonts w:ascii="Tahoma" w:eastAsia="Tahoma" w:hAnsi="Tahoma" w:cs="Tahoma"/>
      <w:b/>
      <w:bCs/>
      <w:i/>
      <w:iCs/>
      <w:color w:val="000000"/>
      <w:spacing w:val="0"/>
      <w:w w:val="100"/>
      <w:position w:val="0"/>
      <w:sz w:val="38"/>
      <w:szCs w:val="38"/>
      <w:shd w:val="clear" w:color="auto" w:fill="FFFFFF"/>
      <w:lang w:val="hy-AM" w:eastAsia="hy-AM" w:bidi="hy-AM"/>
    </w:rPr>
  </w:style>
  <w:style w:type="character" w:customStyle="1" w:styleId="Heading32">
    <w:name w:val="Heading #32"/>
    <w:basedOn w:val="Heading3"/>
    <w:rsid w:val="00CA27E3"/>
    <w:rPr>
      <w:rFonts w:ascii="Tahoma" w:eastAsia="Tahoma" w:hAnsi="Tahoma" w:cs="Tahoma"/>
      <w:color w:val="000000"/>
      <w:spacing w:val="10"/>
      <w:w w:val="100"/>
      <w:position w:val="0"/>
      <w:sz w:val="22"/>
      <w:szCs w:val="22"/>
      <w:shd w:val="clear" w:color="auto" w:fill="FFFFFF"/>
      <w:lang w:val="hy-AM" w:eastAsia="hy-AM" w:bidi="hy-AM"/>
    </w:rPr>
  </w:style>
  <w:style w:type="character" w:customStyle="1" w:styleId="Bodytext9">
    <w:name w:val="Body text (9)_"/>
    <w:basedOn w:val="DefaultParagraphFont"/>
    <w:link w:val="Bodytext90"/>
    <w:rsid w:val="00CA27E3"/>
    <w:rPr>
      <w:rFonts w:ascii="Times New Roman" w:eastAsia="Times New Roman" w:hAnsi="Times New Roman" w:cs="Times New Roman"/>
      <w:b/>
      <w:bCs/>
      <w:sz w:val="26"/>
      <w:szCs w:val="26"/>
      <w:shd w:val="clear" w:color="auto" w:fill="FFFFFF"/>
    </w:rPr>
  </w:style>
  <w:style w:type="paragraph" w:customStyle="1" w:styleId="Bodytext90">
    <w:name w:val="Body text (9)"/>
    <w:basedOn w:val="Normal"/>
    <w:link w:val="Bodytext9"/>
    <w:rsid w:val="00CA27E3"/>
    <w:pPr>
      <w:shd w:val="clear" w:color="auto" w:fill="FFFFFF"/>
      <w:spacing w:before="180" w:after="540" w:line="0" w:lineRule="atLeast"/>
    </w:pPr>
    <w:rPr>
      <w:rFonts w:ascii="Times New Roman" w:eastAsia="Times New Roman" w:hAnsi="Times New Roman" w:cs="Times New Roman"/>
      <w:b/>
      <w:bCs/>
      <w:color w:val="auto"/>
      <w:sz w:val="26"/>
      <w:szCs w:val="26"/>
    </w:rPr>
  </w:style>
  <w:style w:type="character" w:customStyle="1" w:styleId="Bodytext9Tahoma">
    <w:name w:val="Body text (9) + Tahoma"/>
    <w:aliases w:val="Not Bold2,Italic1"/>
    <w:basedOn w:val="Bodytext9"/>
    <w:rsid w:val="00CA27E3"/>
    <w:rPr>
      <w:rFonts w:ascii="Tahoma" w:eastAsia="Tahoma" w:hAnsi="Tahoma" w:cs="Tahoma"/>
      <w:b/>
      <w:bCs/>
      <w:i/>
      <w:iCs/>
      <w:color w:val="000000"/>
      <w:spacing w:val="0"/>
      <w:w w:val="100"/>
      <w:position w:val="0"/>
      <w:sz w:val="26"/>
      <w:szCs w:val="26"/>
      <w:shd w:val="clear" w:color="auto" w:fill="FFFFFF"/>
      <w:lang w:val="hy-AM" w:eastAsia="hy-AM" w:bidi="hy-AM"/>
    </w:rPr>
  </w:style>
  <w:style w:type="character" w:customStyle="1" w:styleId="Bodytext9Spacing4pt">
    <w:name w:val="Body text (9) + Spacing 4 pt"/>
    <w:basedOn w:val="Bodytext9"/>
    <w:rsid w:val="00CA27E3"/>
    <w:rPr>
      <w:rFonts w:ascii="Times New Roman" w:eastAsia="Times New Roman" w:hAnsi="Times New Roman" w:cs="Times New Roman"/>
      <w:b/>
      <w:bCs/>
      <w:color w:val="000000"/>
      <w:spacing w:val="80"/>
      <w:w w:val="100"/>
      <w:position w:val="0"/>
      <w:sz w:val="26"/>
      <w:szCs w:val="26"/>
      <w:shd w:val="clear" w:color="auto" w:fill="FFFFFF"/>
      <w:lang w:val="hy-AM" w:eastAsia="hy-AM" w:bidi="hy-AM"/>
    </w:rPr>
  </w:style>
  <w:style w:type="character" w:customStyle="1" w:styleId="Bodytext9Spacing4pt1">
    <w:name w:val="Body text (9) + Spacing 4 pt1"/>
    <w:basedOn w:val="Bodytext9"/>
    <w:rsid w:val="00CA27E3"/>
    <w:rPr>
      <w:rFonts w:ascii="Times New Roman" w:eastAsia="Times New Roman" w:hAnsi="Times New Roman" w:cs="Times New Roman"/>
      <w:b/>
      <w:bCs/>
      <w:color w:val="000000"/>
      <w:spacing w:val="80"/>
      <w:w w:val="100"/>
      <w:position w:val="0"/>
      <w:sz w:val="26"/>
      <w:szCs w:val="26"/>
      <w:shd w:val="clear" w:color="auto" w:fill="FFFFFF"/>
      <w:lang w:val="hy-AM" w:eastAsia="hy-AM" w:bidi="hy-AM"/>
    </w:rPr>
  </w:style>
  <w:style w:type="character" w:customStyle="1" w:styleId="Bodytext9Spacing1pt">
    <w:name w:val="Body text (9) + Spacing 1 pt"/>
    <w:basedOn w:val="Bodytext9"/>
    <w:rsid w:val="00CA27E3"/>
    <w:rPr>
      <w:rFonts w:ascii="Times New Roman" w:eastAsia="Times New Roman" w:hAnsi="Times New Roman" w:cs="Times New Roman"/>
      <w:b/>
      <w:bCs/>
      <w:color w:val="000000"/>
      <w:spacing w:val="20"/>
      <w:w w:val="100"/>
      <w:position w:val="0"/>
      <w:sz w:val="26"/>
      <w:szCs w:val="26"/>
      <w:shd w:val="clear" w:color="auto" w:fill="FFFFFF"/>
      <w:lang w:val="hy-AM" w:eastAsia="hy-AM" w:bidi="hy-AM"/>
    </w:rPr>
  </w:style>
  <w:style w:type="character" w:customStyle="1" w:styleId="Bodytext914pt">
    <w:name w:val="Body text (9) + 14 pt"/>
    <w:aliases w:val="Not Bold1"/>
    <w:basedOn w:val="Bodytext9"/>
    <w:rsid w:val="00CA27E3"/>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9Spacing1pt4">
    <w:name w:val="Body text (9) + Spacing 1 pt4"/>
    <w:basedOn w:val="Bodytext9"/>
    <w:rsid w:val="00CA27E3"/>
    <w:rPr>
      <w:rFonts w:ascii="Times New Roman" w:eastAsia="Times New Roman" w:hAnsi="Times New Roman" w:cs="Times New Roman"/>
      <w:b/>
      <w:bCs/>
      <w:color w:val="000000"/>
      <w:spacing w:val="20"/>
      <w:w w:val="100"/>
      <w:position w:val="0"/>
      <w:sz w:val="26"/>
      <w:szCs w:val="26"/>
      <w:shd w:val="clear" w:color="auto" w:fill="FFFFFF"/>
      <w:lang w:val="hy-AM" w:eastAsia="hy-AM" w:bidi="hy-AM"/>
    </w:rPr>
  </w:style>
  <w:style w:type="character" w:customStyle="1" w:styleId="Bodytext9Spacing1pt3">
    <w:name w:val="Body text (9) + Spacing 1 pt3"/>
    <w:basedOn w:val="Bodytext9"/>
    <w:rsid w:val="00CA27E3"/>
    <w:rPr>
      <w:rFonts w:ascii="Times New Roman" w:eastAsia="Times New Roman" w:hAnsi="Times New Roman" w:cs="Times New Roman"/>
      <w:b/>
      <w:bCs/>
      <w:color w:val="000000"/>
      <w:spacing w:val="20"/>
      <w:w w:val="100"/>
      <w:position w:val="0"/>
      <w:sz w:val="26"/>
      <w:szCs w:val="26"/>
      <w:shd w:val="clear" w:color="auto" w:fill="FFFFFF"/>
      <w:lang w:val="hy-AM" w:eastAsia="hy-AM" w:bidi="hy-AM"/>
    </w:rPr>
  </w:style>
  <w:style w:type="character" w:customStyle="1" w:styleId="Bodytext200">
    <w:name w:val="Body text (20)_"/>
    <w:basedOn w:val="DefaultParagraphFont"/>
    <w:link w:val="Bodytext201"/>
    <w:rsid w:val="00CA27E3"/>
    <w:rPr>
      <w:rFonts w:ascii="Times New Roman" w:eastAsia="Times New Roman" w:hAnsi="Times New Roman" w:cs="Times New Roman"/>
      <w:spacing w:val="20"/>
      <w:sz w:val="26"/>
      <w:szCs w:val="26"/>
      <w:shd w:val="clear" w:color="auto" w:fill="FFFFFF"/>
    </w:rPr>
  </w:style>
  <w:style w:type="paragraph" w:customStyle="1" w:styleId="Bodytext201">
    <w:name w:val="Body text (20)1"/>
    <w:basedOn w:val="Normal"/>
    <w:link w:val="Bodytext200"/>
    <w:rsid w:val="00CA27E3"/>
    <w:pPr>
      <w:shd w:val="clear" w:color="auto" w:fill="FFFFFF"/>
      <w:spacing w:after="540" w:line="0" w:lineRule="atLeast"/>
    </w:pPr>
    <w:rPr>
      <w:rFonts w:ascii="Times New Roman" w:eastAsia="Times New Roman" w:hAnsi="Times New Roman" w:cs="Times New Roman"/>
      <w:color w:val="auto"/>
      <w:spacing w:val="20"/>
      <w:sz w:val="26"/>
      <w:szCs w:val="26"/>
    </w:rPr>
  </w:style>
  <w:style w:type="character" w:customStyle="1" w:styleId="Bodytext202">
    <w:name w:val="Body text (20)"/>
    <w:basedOn w:val="Bodytext200"/>
    <w:rsid w:val="00CA27E3"/>
    <w:rPr>
      <w:rFonts w:ascii="Times New Roman" w:eastAsia="Times New Roman" w:hAnsi="Times New Roman" w:cs="Times New Roman"/>
      <w:color w:val="000000"/>
      <w:spacing w:val="20"/>
      <w:w w:val="100"/>
      <w:position w:val="0"/>
      <w:sz w:val="26"/>
      <w:szCs w:val="26"/>
      <w:shd w:val="clear" w:color="auto" w:fill="FFFFFF"/>
      <w:lang w:val="hy-AM" w:eastAsia="hy-AM" w:bidi="hy-AM"/>
    </w:rPr>
  </w:style>
  <w:style w:type="character" w:customStyle="1" w:styleId="Bodytext20Italic">
    <w:name w:val="Body text (20) + Italic"/>
    <w:aliases w:val="Spacing 0 pt5"/>
    <w:basedOn w:val="Bodytext200"/>
    <w:rsid w:val="00CA27E3"/>
    <w:rPr>
      <w:rFonts w:ascii="Times New Roman" w:eastAsia="Times New Roman" w:hAnsi="Times New Roman" w:cs="Times New Roman"/>
      <w:b/>
      <w:bCs/>
      <w:i/>
      <w:iCs/>
      <w:color w:val="000000"/>
      <w:spacing w:val="-10"/>
      <w:w w:val="100"/>
      <w:position w:val="0"/>
      <w:sz w:val="26"/>
      <w:szCs w:val="26"/>
      <w:shd w:val="clear" w:color="auto" w:fill="FFFFFF"/>
      <w:lang w:val="hy-AM" w:eastAsia="hy-AM" w:bidi="hy-AM"/>
    </w:rPr>
  </w:style>
  <w:style w:type="character" w:customStyle="1" w:styleId="Bodytext2020">
    <w:name w:val="Body text (20)2"/>
    <w:basedOn w:val="Bodytext200"/>
    <w:rsid w:val="00CA27E3"/>
    <w:rPr>
      <w:rFonts w:ascii="Times New Roman" w:eastAsia="Times New Roman" w:hAnsi="Times New Roman" w:cs="Times New Roman"/>
      <w:color w:val="000000"/>
      <w:spacing w:val="20"/>
      <w:w w:val="100"/>
      <w:position w:val="0"/>
      <w:sz w:val="26"/>
      <w:szCs w:val="26"/>
      <w:shd w:val="clear" w:color="auto" w:fill="FFFFFF"/>
      <w:lang w:val="hy-AM" w:eastAsia="hy-AM" w:bidi="hy-AM"/>
    </w:rPr>
  </w:style>
  <w:style w:type="character" w:customStyle="1" w:styleId="Bodytext914pt1">
    <w:name w:val="Body text (9) + 14 pt1"/>
    <w:basedOn w:val="Bodytext9"/>
    <w:rsid w:val="00CA27E3"/>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9Spacing1pt2">
    <w:name w:val="Body text (9) + Spacing 1 pt2"/>
    <w:basedOn w:val="Bodytext9"/>
    <w:rsid w:val="00CA27E3"/>
    <w:rPr>
      <w:rFonts w:ascii="Times New Roman" w:eastAsia="Times New Roman" w:hAnsi="Times New Roman" w:cs="Times New Roman"/>
      <w:b/>
      <w:bCs/>
      <w:color w:val="000000"/>
      <w:spacing w:val="20"/>
      <w:w w:val="100"/>
      <w:position w:val="0"/>
      <w:sz w:val="26"/>
      <w:szCs w:val="26"/>
      <w:shd w:val="clear" w:color="auto" w:fill="FFFFFF"/>
      <w:lang w:val="hy-AM" w:eastAsia="hy-AM" w:bidi="hy-AM"/>
    </w:rPr>
  </w:style>
  <w:style w:type="character" w:customStyle="1" w:styleId="Bodytext9Spacing1pt1">
    <w:name w:val="Body text (9) + Spacing 1 pt1"/>
    <w:basedOn w:val="Bodytext9"/>
    <w:rsid w:val="00CA27E3"/>
    <w:rPr>
      <w:rFonts w:ascii="Times New Roman" w:eastAsia="Times New Roman" w:hAnsi="Times New Roman" w:cs="Times New Roman"/>
      <w:b/>
      <w:bCs/>
      <w:color w:val="000000"/>
      <w:spacing w:val="20"/>
      <w:w w:val="100"/>
      <w:position w:val="0"/>
      <w:sz w:val="26"/>
      <w:szCs w:val="26"/>
      <w:shd w:val="clear" w:color="auto" w:fill="FFFFFF"/>
      <w:lang w:val="hy-AM" w:eastAsia="hy-AM" w:bidi="hy-AM"/>
    </w:rPr>
  </w:style>
  <w:style w:type="character" w:customStyle="1" w:styleId="Bodytext21">
    <w:name w:val="Body text (21)_"/>
    <w:basedOn w:val="DefaultParagraphFont"/>
    <w:link w:val="Bodytext211"/>
    <w:rsid w:val="00CA27E3"/>
    <w:rPr>
      <w:rFonts w:ascii="Times New Roman" w:eastAsia="Times New Roman" w:hAnsi="Times New Roman" w:cs="Times New Roman"/>
      <w:b/>
      <w:bCs/>
      <w:sz w:val="26"/>
      <w:szCs w:val="26"/>
      <w:shd w:val="clear" w:color="auto" w:fill="FFFFFF"/>
    </w:rPr>
  </w:style>
  <w:style w:type="paragraph" w:customStyle="1" w:styleId="Bodytext211">
    <w:name w:val="Body text (21)1"/>
    <w:basedOn w:val="Normal"/>
    <w:link w:val="Bodytext21"/>
    <w:rsid w:val="00CA27E3"/>
    <w:pPr>
      <w:shd w:val="clear" w:color="auto" w:fill="FFFFFF"/>
      <w:spacing w:before="180" w:after="540" w:line="0" w:lineRule="atLeast"/>
    </w:pPr>
    <w:rPr>
      <w:rFonts w:ascii="Times New Roman" w:eastAsia="Times New Roman" w:hAnsi="Times New Roman" w:cs="Times New Roman"/>
      <w:b/>
      <w:bCs/>
      <w:color w:val="auto"/>
      <w:sz w:val="26"/>
      <w:szCs w:val="26"/>
    </w:rPr>
  </w:style>
  <w:style w:type="character" w:customStyle="1" w:styleId="Bodytext210">
    <w:name w:val="Body text (21)"/>
    <w:basedOn w:val="Bodytext21"/>
    <w:rsid w:val="00CA27E3"/>
    <w:rPr>
      <w:rFonts w:ascii="Times New Roman" w:eastAsia="Times New Roman" w:hAnsi="Times New Roman" w:cs="Times New Roman"/>
      <w:b/>
      <w:bCs/>
      <w:color w:val="000000"/>
      <w:spacing w:val="0"/>
      <w:w w:val="100"/>
      <w:position w:val="0"/>
      <w:sz w:val="26"/>
      <w:szCs w:val="26"/>
      <w:shd w:val="clear" w:color="auto" w:fill="FFFFFF"/>
    </w:rPr>
  </w:style>
  <w:style w:type="character" w:customStyle="1" w:styleId="Bodytext220">
    <w:name w:val="Body text (22)_"/>
    <w:basedOn w:val="DefaultParagraphFont"/>
    <w:link w:val="Bodytext221"/>
    <w:rsid w:val="00CA27E3"/>
    <w:rPr>
      <w:rFonts w:ascii="David" w:eastAsia="David" w:hAnsi="David" w:cs="David"/>
      <w:spacing w:val="20"/>
      <w:sz w:val="26"/>
      <w:szCs w:val="26"/>
      <w:shd w:val="clear" w:color="auto" w:fill="FFFFFF"/>
    </w:rPr>
  </w:style>
  <w:style w:type="paragraph" w:customStyle="1" w:styleId="Bodytext221">
    <w:name w:val="Body text (22)1"/>
    <w:basedOn w:val="Normal"/>
    <w:link w:val="Bodytext220"/>
    <w:rsid w:val="00CA27E3"/>
    <w:pPr>
      <w:shd w:val="clear" w:color="auto" w:fill="FFFFFF"/>
      <w:spacing w:after="300" w:line="0" w:lineRule="atLeast"/>
      <w:jc w:val="both"/>
    </w:pPr>
    <w:rPr>
      <w:rFonts w:ascii="David" w:eastAsia="David" w:hAnsi="David" w:cs="David"/>
      <w:color w:val="auto"/>
      <w:spacing w:val="20"/>
      <w:sz w:val="26"/>
      <w:szCs w:val="26"/>
    </w:rPr>
  </w:style>
  <w:style w:type="character" w:customStyle="1" w:styleId="Bodytext222">
    <w:name w:val="Body text (22)"/>
    <w:basedOn w:val="Bodytext220"/>
    <w:rsid w:val="00CA27E3"/>
    <w:rPr>
      <w:rFonts w:ascii="David" w:eastAsia="David" w:hAnsi="David" w:cs="David"/>
      <w:color w:val="000000"/>
      <w:spacing w:val="20"/>
      <w:w w:val="100"/>
      <w:position w:val="0"/>
      <w:sz w:val="26"/>
      <w:szCs w:val="26"/>
      <w:shd w:val="clear" w:color="auto" w:fill="FFFFFF"/>
      <w:lang w:val="hy-AM" w:eastAsia="hy-AM" w:bidi="hy-AM"/>
    </w:rPr>
  </w:style>
  <w:style w:type="character" w:customStyle="1" w:styleId="Bodytext2Spacing1pt">
    <w:name w:val="Body text (2) + Spacing 1 pt"/>
    <w:basedOn w:val="Bodytext2"/>
    <w:rsid w:val="00CA27E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hy-AM" w:eastAsia="hy-AM" w:bidi="hy-AM"/>
    </w:rPr>
  </w:style>
  <w:style w:type="character" w:customStyle="1" w:styleId="Heading12">
    <w:name w:val="Heading #1 (2)_"/>
    <w:basedOn w:val="DefaultParagraphFont"/>
    <w:link w:val="Heading120"/>
    <w:rsid w:val="00CA27E3"/>
    <w:rPr>
      <w:rFonts w:ascii="Arial Black" w:eastAsia="Arial Black" w:hAnsi="Arial Black" w:cs="Arial Black"/>
      <w:sz w:val="44"/>
      <w:szCs w:val="44"/>
      <w:shd w:val="clear" w:color="auto" w:fill="FFFFFF"/>
    </w:rPr>
  </w:style>
  <w:style w:type="paragraph" w:customStyle="1" w:styleId="Heading120">
    <w:name w:val="Heading #1 (2)"/>
    <w:basedOn w:val="Normal"/>
    <w:link w:val="Heading12"/>
    <w:rsid w:val="00CA27E3"/>
    <w:pPr>
      <w:shd w:val="clear" w:color="auto" w:fill="FFFFFF"/>
      <w:spacing w:before="360" w:after="600" w:line="0" w:lineRule="atLeast"/>
      <w:jc w:val="center"/>
      <w:outlineLvl w:val="0"/>
    </w:pPr>
    <w:rPr>
      <w:rFonts w:ascii="Arial Black" w:eastAsia="Arial Black" w:hAnsi="Arial Black" w:cs="Arial Black"/>
      <w:color w:val="auto"/>
      <w:sz w:val="44"/>
      <w:szCs w:val="44"/>
    </w:rPr>
  </w:style>
  <w:style w:type="character" w:customStyle="1" w:styleId="Heading12Spacing2pt">
    <w:name w:val="Heading #1 (2) + Spacing 2 pt"/>
    <w:basedOn w:val="Heading12"/>
    <w:rsid w:val="00CA27E3"/>
    <w:rPr>
      <w:rFonts w:ascii="Arial Black" w:eastAsia="Arial Black" w:hAnsi="Arial Black" w:cs="Arial Black"/>
      <w:color w:val="000000"/>
      <w:spacing w:val="40"/>
      <w:w w:val="100"/>
      <w:position w:val="0"/>
      <w:sz w:val="44"/>
      <w:szCs w:val="44"/>
      <w:shd w:val="clear" w:color="auto" w:fill="FFFFFF"/>
    </w:rPr>
  </w:style>
  <w:style w:type="character" w:customStyle="1" w:styleId="Bodytext2CenturyGothic">
    <w:name w:val="Body text (2) + Century Gothic"/>
    <w:basedOn w:val="Bodytext2"/>
    <w:rsid w:val="00CA27E3"/>
    <w:rPr>
      <w:rFonts w:ascii="Century Gothic" w:eastAsia="Century Gothic" w:hAnsi="Century Gothic" w:cs="Century Gothic"/>
      <w:b w:val="0"/>
      <w:bCs w:val="0"/>
      <w:i w:val="0"/>
      <w:iCs w:val="0"/>
      <w:smallCaps w:val="0"/>
      <w:strike w:val="0"/>
      <w:color w:val="000000"/>
      <w:spacing w:val="0"/>
      <w:w w:val="100"/>
      <w:position w:val="0"/>
      <w:sz w:val="28"/>
      <w:szCs w:val="28"/>
      <w:u w:val="none"/>
      <w:shd w:val="clear" w:color="auto" w:fill="FFFFFF"/>
      <w:lang w:val="hy-AM" w:eastAsia="hy-AM" w:bidi="hy-AM"/>
    </w:rPr>
  </w:style>
  <w:style w:type="character" w:customStyle="1" w:styleId="Bodytext10Tahoma">
    <w:name w:val="Body text (10) + Tahoma"/>
    <w:aliases w:val="9.5 pt"/>
    <w:basedOn w:val="Bodytext10"/>
    <w:rsid w:val="00CA27E3"/>
    <w:rPr>
      <w:rFonts w:ascii="Tahoma" w:eastAsia="Tahoma" w:hAnsi="Tahoma" w:cs="Tahoma"/>
      <w:color w:val="000000"/>
      <w:spacing w:val="0"/>
      <w:w w:val="100"/>
      <w:position w:val="0"/>
      <w:sz w:val="19"/>
      <w:szCs w:val="19"/>
      <w:shd w:val="clear" w:color="auto" w:fill="FFFFFF"/>
      <w:lang w:val="hy-AM" w:eastAsia="hy-AM" w:bidi="hy-AM"/>
    </w:rPr>
  </w:style>
  <w:style w:type="character" w:customStyle="1" w:styleId="Bodytext11">
    <w:name w:val="Body text (11)_"/>
    <w:basedOn w:val="DefaultParagraphFont"/>
    <w:link w:val="Bodytext110"/>
    <w:rsid w:val="00CA27E3"/>
    <w:rPr>
      <w:rFonts w:ascii="Times New Roman" w:eastAsia="Times New Roman" w:hAnsi="Times New Roman" w:cs="Times New Roman"/>
      <w:shd w:val="clear" w:color="auto" w:fill="FFFFFF"/>
    </w:rPr>
  </w:style>
  <w:style w:type="paragraph" w:customStyle="1" w:styleId="Bodytext110">
    <w:name w:val="Body text (11)"/>
    <w:basedOn w:val="Normal"/>
    <w:link w:val="Bodytext11"/>
    <w:rsid w:val="00CA27E3"/>
    <w:pPr>
      <w:shd w:val="clear" w:color="auto" w:fill="FFFFFF"/>
      <w:spacing w:before="180" w:after="720" w:line="0" w:lineRule="atLeast"/>
    </w:pPr>
    <w:rPr>
      <w:rFonts w:ascii="Times New Roman" w:eastAsia="Times New Roman" w:hAnsi="Times New Roman" w:cs="Times New Roman"/>
      <w:color w:val="auto"/>
    </w:rPr>
  </w:style>
  <w:style w:type="character" w:customStyle="1" w:styleId="Bodytext11Tahoma">
    <w:name w:val="Body text (11) + Tahoma"/>
    <w:aliases w:val="11 pt"/>
    <w:basedOn w:val="Bodytext11"/>
    <w:rsid w:val="00CA27E3"/>
    <w:rPr>
      <w:rFonts w:ascii="Tahoma" w:eastAsia="Tahoma" w:hAnsi="Tahoma" w:cs="Tahoma"/>
      <w:color w:val="000000"/>
      <w:w w:val="100"/>
      <w:position w:val="0"/>
      <w:sz w:val="22"/>
      <w:szCs w:val="22"/>
      <w:shd w:val="clear" w:color="auto" w:fill="FFFFFF"/>
      <w:lang w:val="hy-AM" w:eastAsia="hy-AM" w:bidi="hy-AM"/>
    </w:rPr>
  </w:style>
  <w:style w:type="character" w:customStyle="1" w:styleId="Bodytext11Tahoma1">
    <w:name w:val="Body text (11) + Tahoma1"/>
    <w:aliases w:val="9.5 pt1"/>
    <w:basedOn w:val="Bodytext11"/>
    <w:rsid w:val="00CA27E3"/>
    <w:rPr>
      <w:rFonts w:ascii="Tahoma" w:eastAsia="Tahoma" w:hAnsi="Tahoma" w:cs="Tahoma"/>
      <w:color w:val="000000"/>
      <w:w w:val="100"/>
      <w:position w:val="0"/>
      <w:sz w:val="19"/>
      <w:szCs w:val="19"/>
      <w:shd w:val="clear" w:color="auto" w:fill="FFFFFF"/>
      <w:lang w:val="hy-AM" w:eastAsia="hy-AM" w:bidi="hy-AM"/>
    </w:rPr>
  </w:style>
  <w:style w:type="character" w:customStyle="1" w:styleId="Bodytext22TimesNewRoman">
    <w:name w:val="Body text (22) + Times New Roman"/>
    <w:aliases w:val="14 pt,Spacing 0 pt4"/>
    <w:basedOn w:val="Bodytext220"/>
    <w:rsid w:val="00CA27E3"/>
    <w:rPr>
      <w:rFonts w:ascii="Times New Roman" w:eastAsia="Times New Roman" w:hAnsi="Times New Roman" w:cs="Times New Roman"/>
      <w:b/>
      <w:bCs/>
      <w:color w:val="000000"/>
      <w:spacing w:val="0"/>
      <w:w w:val="100"/>
      <w:position w:val="0"/>
      <w:sz w:val="28"/>
      <w:szCs w:val="28"/>
      <w:shd w:val="clear" w:color="auto" w:fill="FFFFFF"/>
      <w:lang w:val="hy-AM" w:eastAsia="hy-AM" w:bidi="hy-AM"/>
    </w:rPr>
  </w:style>
  <w:style w:type="character" w:customStyle="1" w:styleId="Bodytext22TimesNewRoman4">
    <w:name w:val="Body text (22) + Times New Roman4"/>
    <w:aliases w:val="Spacing 0 pt3"/>
    <w:basedOn w:val="Bodytext220"/>
    <w:rsid w:val="00CA27E3"/>
    <w:rPr>
      <w:rFonts w:ascii="Times New Roman" w:eastAsia="Times New Roman" w:hAnsi="Times New Roman" w:cs="Times New Roman"/>
      <w:b/>
      <w:bCs/>
      <w:color w:val="000000"/>
      <w:spacing w:val="0"/>
      <w:w w:val="100"/>
      <w:position w:val="0"/>
      <w:sz w:val="26"/>
      <w:szCs w:val="26"/>
      <w:shd w:val="clear" w:color="auto" w:fill="FFFFFF"/>
      <w:lang w:val="hy-AM" w:eastAsia="hy-AM" w:bidi="hy-AM"/>
    </w:rPr>
  </w:style>
  <w:style w:type="character" w:customStyle="1" w:styleId="Bodytext22TimesNewRoman3">
    <w:name w:val="Body text (22) + Times New Roman3"/>
    <w:aliases w:val="14 pt1,Small Caps5,Spacing 0 pt2"/>
    <w:basedOn w:val="Bodytext220"/>
    <w:rsid w:val="00CA27E3"/>
    <w:rPr>
      <w:rFonts w:ascii="Times New Roman" w:eastAsia="Times New Roman" w:hAnsi="Times New Roman" w:cs="Times New Roman"/>
      <w:b/>
      <w:bCs/>
      <w:smallCaps/>
      <w:color w:val="000000"/>
      <w:spacing w:val="0"/>
      <w:w w:val="100"/>
      <w:position w:val="0"/>
      <w:sz w:val="28"/>
      <w:szCs w:val="28"/>
      <w:shd w:val="clear" w:color="auto" w:fill="FFFFFF"/>
      <w:lang w:val="hy-AM" w:eastAsia="hy-AM" w:bidi="hy-AM"/>
    </w:rPr>
  </w:style>
  <w:style w:type="character" w:customStyle="1" w:styleId="Bodytext22TimesNewRoman2">
    <w:name w:val="Body text (22) + Times New Roman2"/>
    <w:aliases w:val="Small Caps4,Spacing 0 pt1"/>
    <w:basedOn w:val="Bodytext220"/>
    <w:rsid w:val="00CA27E3"/>
    <w:rPr>
      <w:rFonts w:ascii="Times New Roman" w:eastAsia="Times New Roman" w:hAnsi="Times New Roman" w:cs="Times New Roman"/>
      <w:b/>
      <w:bCs/>
      <w:smallCaps/>
      <w:color w:val="000000"/>
      <w:spacing w:val="0"/>
      <w:w w:val="100"/>
      <w:position w:val="0"/>
      <w:sz w:val="26"/>
      <w:szCs w:val="26"/>
      <w:shd w:val="clear" w:color="auto" w:fill="FFFFFF"/>
      <w:lang w:val="hy-AM" w:eastAsia="hy-AM" w:bidi="hy-AM"/>
    </w:rPr>
  </w:style>
  <w:style w:type="character" w:customStyle="1" w:styleId="Bodytext22TimesNewRoman1">
    <w:name w:val="Body text (22) + Times New Roman1"/>
    <w:aliases w:val="Small Caps3,Spacing 1 pt1"/>
    <w:basedOn w:val="Bodytext220"/>
    <w:rsid w:val="00CA27E3"/>
    <w:rPr>
      <w:rFonts w:ascii="Times New Roman" w:eastAsia="Times New Roman" w:hAnsi="Times New Roman" w:cs="Times New Roman"/>
      <w:b/>
      <w:bCs/>
      <w:smallCaps/>
      <w:color w:val="000000"/>
      <w:spacing w:val="30"/>
      <w:w w:val="100"/>
      <w:position w:val="0"/>
      <w:sz w:val="26"/>
      <w:szCs w:val="26"/>
      <w:shd w:val="clear" w:color="auto" w:fill="FFFFFF"/>
      <w:lang w:val="hy-AM" w:eastAsia="hy-AM" w:bidi="hy-AM"/>
    </w:rPr>
  </w:style>
  <w:style w:type="character" w:customStyle="1" w:styleId="Bodytext2SmallCaps">
    <w:name w:val="Body text (2) + Small Caps"/>
    <w:basedOn w:val="Bodytext2"/>
    <w:rsid w:val="00CA27E3"/>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hy-AM" w:eastAsia="hy-AM" w:bidi="hy-AM"/>
    </w:rPr>
  </w:style>
  <w:style w:type="character" w:customStyle="1" w:styleId="Bodytext213pt2">
    <w:name w:val="Body text (2) + 13 pt2"/>
    <w:aliases w:val="Small Caps2"/>
    <w:basedOn w:val="Bodytext2"/>
    <w:rsid w:val="00CA27E3"/>
    <w:rPr>
      <w:rFonts w:ascii="Times New Roman" w:eastAsia="Times New Roman" w:hAnsi="Times New Roman" w:cs="Times New Roman"/>
      <w:b w:val="0"/>
      <w:bCs w:val="0"/>
      <w:i w:val="0"/>
      <w:iCs w:val="0"/>
      <w:smallCaps/>
      <w:strike w:val="0"/>
      <w:color w:val="000000"/>
      <w:spacing w:val="0"/>
      <w:w w:val="100"/>
      <w:position w:val="0"/>
      <w:sz w:val="26"/>
      <w:szCs w:val="26"/>
      <w:u w:val="none"/>
      <w:shd w:val="clear" w:color="auto" w:fill="FFFFFF"/>
      <w:lang w:val="hy-AM" w:eastAsia="hy-AM" w:bidi="hy-AM"/>
    </w:rPr>
  </w:style>
  <w:style w:type="character" w:customStyle="1" w:styleId="Tablecaption2">
    <w:name w:val="Table caption (2)_"/>
    <w:basedOn w:val="DefaultParagraphFont"/>
    <w:link w:val="Tablecaption20"/>
    <w:rsid w:val="00CA27E3"/>
    <w:rPr>
      <w:rFonts w:ascii="Times New Roman" w:eastAsia="Times New Roman" w:hAnsi="Times New Roman" w:cs="Times New Roman"/>
      <w:sz w:val="28"/>
      <w:szCs w:val="28"/>
      <w:shd w:val="clear" w:color="auto" w:fill="FFFFFF"/>
    </w:rPr>
  </w:style>
  <w:style w:type="paragraph" w:customStyle="1" w:styleId="Tablecaption20">
    <w:name w:val="Table caption (2)"/>
    <w:basedOn w:val="Normal"/>
    <w:link w:val="Tablecaption2"/>
    <w:rsid w:val="00CA27E3"/>
    <w:pPr>
      <w:shd w:val="clear" w:color="auto" w:fill="FFFFFF"/>
      <w:spacing w:line="0" w:lineRule="atLeast"/>
    </w:pPr>
    <w:rPr>
      <w:rFonts w:ascii="Times New Roman" w:eastAsia="Times New Roman" w:hAnsi="Times New Roman" w:cs="Times New Roman"/>
      <w:color w:val="auto"/>
      <w:sz w:val="28"/>
      <w:szCs w:val="28"/>
    </w:rPr>
  </w:style>
  <w:style w:type="character" w:customStyle="1" w:styleId="Bodytext2Impact1">
    <w:name w:val="Body text (2) + Impact1"/>
    <w:aliases w:val="10 pt1"/>
    <w:basedOn w:val="Bodytext2"/>
    <w:rsid w:val="00CA27E3"/>
    <w:rPr>
      <w:rFonts w:ascii="Impact" w:eastAsia="Impact" w:hAnsi="Impact" w:cs="Impact"/>
      <w:b/>
      <w:bCs/>
      <w:i w:val="0"/>
      <w:iCs w:val="0"/>
      <w:smallCaps w:val="0"/>
      <w:strike w:val="0"/>
      <w:color w:val="000000"/>
      <w:spacing w:val="0"/>
      <w:w w:val="100"/>
      <w:position w:val="0"/>
      <w:sz w:val="20"/>
      <w:szCs w:val="20"/>
      <w:u w:val="none"/>
      <w:shd w:val="clear" w:color="auto" w:fill="FFFFFF"/>
      <w:lang w:val="hy-AM" w:eastAsia="hy-AM" w:bidi="hy-AM"/>
    </w:rPr>
  </w:style>
  <w:style w:type="character" w:customStyle="1" w:styleId="Bodytext213pt1">
    <w:name w:val="Body text (2) + 13 pt1"/>
    <w:aliases w:val="Bold,Small Caps1"/>
    <w:basedOn w:val="Bodytext2"/>
    <w:rsid w:val="00CA27E3"/>
    <w:rPr>
      <w:rFonts w:ascii="Times New Roman" w:eastAsia="Times New Roman" w:hAnsi="Times New Roman" w:cs="Times New Roman"/>
      <w:b/>
      <w:bCs/>
      <w:i w:val="0"/>
      <w:iCs w:val="0"/>
      <w:smallCaps/>
      <w:strike w:val="0"/>
      <w:color w:val="000000"/>
      <w:spacing w:val="0"/>
      <w:w w:val="100"/>
      <w:position w:val="0"/>
      <w:sz w:val="26"/>
      <w:szCs w:val="26"/>
      <w:u w:val="none"/>
      <w:shd w:val="clear" w:color="auto" w:fill="FFFFFF"/>
      <w:lang w:val="hy-AM" w:eastAsia="hy-AM" w:bidi="hy-AM"/>
    </w:rPr>
  </w:style>
  <w:style w:type="paragraph" w:customStyle="1" w:styleId="Bodytext212">
    <w:name w:val="Body text (2)1"/>
    <w:basedOn w:val="Normal"/>
    <w:rsid w:val="00CA27E3"/>
    <w:pPr>
      <w:shd w:val="clear" w:color="auto" w:fill="FFFFFF"/>
      <w:spacing w:after="420" w:line="0" w:lineRule="atLeast"/>
      <w:ind w:hanging="740"/>
    </w:pPr>
    <w:rPr>
      <w:rFonts w:ascii="Times New Roman" w:eastAsia="Times New Roman" w:hAnsi="Times New Roman" w:cs="Times New Roman"/>
      <w:sz w:val="28"/>
      <w:szCs w:val="28"/>
    </w:rPr>
  </w:style>
  <w:style w:type="paragraph" w:customStyle="1" w:styleId="Bodytext31">
    <w:name w:val="Body text (3)1"/>
    <w:basedOn w:val="Normal"/>
    <w:rsid w:val="00CA27E3"/>
    <w:pPr>
      <w:shd w:val="clear" w:color="auto" w:fill="FFFFFF"/>
      <w:spacing w:before="660" w:after="660" w:line="341" w:lineRule="exact"/>
      <w:jc w:val="center"/>
    </w:pPr>
    <w:rPr>
      <w:rFonts w:ascii="Times New Roman" w:eastAsia="Times New Roman" w:hAnsi="Times New Roman" w:cs="Times New Roman"/>
      <w:b/>
      <w:bCs/>
      <w:sz w:val="30"/>
      <w:szCs w:val="30"/>
    </w:rPr>
  </w:style>
  <w:style w:type="paragraph" w:customStyle="1" w:styleId="Heading21">
    <w:name w:val="Heading #21"/>
    <w:basedOn w:val="Normal"/>
    <w:rsid w:val="00CA27E3"/>
    <w:pPr>
      <w:shd w:val="clear" w:color="auto" w:fill="FFFFFF"/>
      <w:spacing w:before="480" w:after="660" w:line="0" w:lineRule="atLeast"/>
      <w:jc w:val="both"/>
      <w:outlineLvl w:val="1"/>
    </w:pPr>
    <w:rPr>
      <w:rFonts w:ascii="Trebuchet MS" w:eastAsia="Trebuchet MS" w:hAnsi="Trebuchet MS" w:cs="Trebuchet MS"/>
      <w:b/>
      <w:bCs/>
      <w:sz w:val="28"/>
      <w:szCs w:val="28"/>
    </w:rPr>
  </w:style>
  <w:style w:type="character" w:customStyle="1" w:styleId="Bodytext7">
    <w:name w:val="Body text (7)_"/>
    <w:basedOn w:val="DefaultParagraphFont"/>
    <w:link w:val="Bodytext70"/>
    <w:rsid w:val="009338B9"/>
    <w:rPr>
      <w:rFonts w:ascii="Times New Roman" w:eastAsia="Times New Roman" w:hAnsi="Times New Roman" w:cs="Times New Roman"/>
      <w:b/>
      <w:bCs/>
      <w:shd w:val="clear" w:color="auto" w:fill="FFFFFF"/>
    </w:rPr>
  </w:style>
  <w:style w:type="paragraph" w:customStyle="1" w:styleId="Bodytext70">
    <w:name w:val="Body text (7)"/>
    <w:basedOn w:val="Normal"/>
    <w:link w:val="Bodytext7"/>
    <w:rsid w:val="009338B9"/>
    <w:pPr>
      <w:shd w:val="clear" w:color="auto" w:fill="FFFFFF"/>
      <w:spacing w:before="180" w:after="660" w:line="0" w:lineRule="atLeast"/>
      <w:jc w:val="center"/>
    </w:pPr>
    <w:rPr>
      <w:rFonts w:ascii="Times New Roman" w:eastAsia="Times New Roman" w:hAnsi="Times New Roman" w:cs="Times New Roman"/>
      <w:b/>
      <w:bCs/>
      <w:color w:val="auto"/>
    </w:rPr>
  </w:style>
  <w:style w:type="character" w:customStyle="1" w:styleId="Bodytext8">
    <w:name w:val="Body text (8)_"/>
    <w:basedOn w:val="DefaultParagraphFont"/>
    <w:link w:val="Bodytext80"/>
    <w:rsid w:val="009338B9"/>
    <w:rPr>
      <w:rFonts w:ascii="Times New Roman" w:eastAsia="Times New Roman" w:hAnsi="Times New Roman" w:cs="Times New Roman"/>
      <w:sz w:val="18"/>
      <w:szCs w:val="18"/>
      <w:shd w:val="clear" w:color="auto" w:fill="FFFFFF"/>
    </w:rPr>
  </w:style>
  <w:style w:type="paragraph" w:customStyle="1" w:styleId="Bodytext80">
    <w:name w:val="Body text (8)"/>
    <w:basedOn w:val="Normal"/>
    <w:link w:val="Bodytext8"/>
    <w:rsid w:val="009338B9"/>
    <w:pPr>
      <w:shd w:val="clear" w:color="auto" w:fill="FFFFFF"/>
      <w:spacing w:line="0" w:lineRule="atLeast"/>
    </w:pPr>
    <w:rPr>
      <w:rFonts w:ascii="Times New Roman" w:eastAsia="Times New Roman" w:hAnsi="Times New Roman" w:cs="Times New Roman"/>
      <w:color w:val="auto"/>
      <w:sz w:val="18"/>
      <w:szCs w:val="18"/>
    </w:rPr>
  </w:style>
  <w:style w:type="character" w:customStyle="1" w:styleId="Bodytext295pt">
    <w:name w:val="Body text (2) + 9.5 pt"/>
    <w:basedOn w:val="Bodytext2"/>
    <w:rsid w:val="009338B9"/>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hy-AM" w:eastAsia="hy-AM" w:bidi="hy-AM"/>
    </w:rPr>
  </w:style>
  <w:style w:type="character" w:customStyle="1" w:styleId="Bodytext915pt">
    <w:name w:val="Body text (9) + 15 pt"/>
    <w:basedOn w:val="Bodytext9"/>
    <w:rsid w:val="009338B9"/>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5">
    <w:name w:val="Body text (5)_"/>
    <w:basedOn w:val="DefaultParagraphFont"/>
    <w:link w:val="Bodytext50"/>
    <w:rsid w:val="009338B9"/>
    <w:rPr>
      <w:rFonts w:ascii="Times New Roman" w:eastAsia="Times New Roman" w:hAnsi="Times New Roman" w:cs="Times New Roman"/>
      <w:sz w:val="22"/>
      <w:szCs w:val="22"/>
      <w:shd w:val="clear" w:color="auto" w:fill="FFFFFF"/>
    </w:rPr>
  </w:style>
  <w:style w:type="paragraph" w:customStyle="1" w:styleId="Bodytext50">
    <w:name w:val="Body text (5)"/>
    <w:basedOn w:val="Normal"/>
    <w:link w:val="Bodytext5"/>
    <w:rsid w:val="009338B9"/>
    <w:pPr>
      <w:shd w:val="clear" w:color="auto" w:fill="FFFFFF"/>
      <w:spacing w:before="480" w:line="274" w:lineRule="exact"/>
      <w:jc w:val="both"/>
    </w:pPr>
    <w:rPr>
      <w:rFonts w:ascii="Times New Roman" w:eastAsia="Times New Roman" w:hAnsi="Times New Roman" w:cs="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settings" Target="settings.xml"/><Relationship Id="rId21" Type="http://schemas.openxmlformats.org/officeDocument/2006/relationships/image" Target="media/image13.emf"/><Relationship Id="rId34" Type="http://schemas.openxmlformats.org/officeDocument/2006/relationships/hyperlink" Target="http://www.multitran.ru/c/m.exe?t=1403648_2_3" TargetMode="External"/><Relationship Id="rId7" Type="http://schemas.openxmlformats.org/officeDocument/2006/relationships/footer" Target="footer1.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hyperlink" Target="http://www.multitran.ru/c/m.exe?t=1403648_2_3" TargetMode="External"/><Relationship Id="rId2" Type="http://schemas.openxmlformats.org/officeDocument/2006/relationships/styles" Target="styles.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hyperlink" Target="http://www.multitran.ru/c/m.exe?t=1403648_2_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ultitran.ru/c/m.exe?t=1105840_2_3" TargetMode="External"/><Relationship Id="rId24" Type="http://schemas.openxmlformats.org/officeDocument/2006/relationships/image" Target="media/image16.emf"/><Relationship Id="rId32" Type="http://schemas.openxmlformats.org/officeDocument/2006/relationships/hyperlink" Target="http://www.multitran.ru/c/m.exe?t=1403648_2_3"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1.emf"/><Relationship Id="rId31" Type="http://schemas.openxmlformats.org/officeDocument/2006/relationships/hyperlink" Target="http://www.multitran.ru/c/m.exe?t=1403648_2_3"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hyperlink" Target="http://www.multitran.ru/c/m.exe?t=1403648_2_3" TargetMode="External"/><Relationship Id="rId35" Type="http://schemas.openxmlformats.org/officeDocument/2006/relationships/hyperlink" Target="http://www.multitran.ru/c/m.exe?t=1403648_2_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403</TotalTime>
  <Pages>319</Pages>
  <Words>61138</Words>
  <Characters>348487</Characters>
  <Application>Microsoft Office Word</Application>
  <DocSecurity>0</DocSecurity>
  <Lines>2904</Lines>
  <Paragraphs>817</Paragraphs>
  <ScaleCrop>false</ScaleCrop>
  <HeadingPairs>
    <vt:vector size="2" baseType="variant">
      <vt:variant>
        <vt:lpstr>Title</vt:lpstr>
      </vt:variant>
      <vt:variant>
        <vt:i4>1</vt:i4>
      </vt:variant>
    </vt:vector>
  </HeadingPairs>
  <TitlesOfParts>
    <vt:vector size="1" baseType="lpstr">
      <vt:lpstr>ПРИЛОЖЕНИЕ № 2</vt:lpstr>
    </vt:vector>
  </TitlesOfParts>
  <Company>SPecialiST RePack</Company>
  <LinksUpToDate>false</LinksUpToDate>
  <CharactersWithSpaces>408808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Максимов Игорь Анатольевич</dc:creator>
  <cp:keywords/>
  <cp:lastModifiedBy>Lusine Gasparyan</cp:lastModifiedBy>
  <cp:revision>12</cp:revision>
  <dcterms:created xsi:type="dcterms:W3CDTF">2019-09-06T13:57:00Z</dcterms:created>
  <dcterms:modified xsi:type="dcterms:W3CDTF">2025-09-30T10:14:00Z</dcterms:modified>
</cp:coreProperties>
</file>